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F97" w:rsidRPr="00A60380" w:rsidRDefault="00533F97" w:rsidP="006B7159">
      <w:pPr>
        <w:pStyle w:val="Header"/>
        <w:tabs>
          <w:tab w:val="clear" w:pos="4536"/>
        </w:tabs>
        <w:jc w:val="both"/>
        <w:rPr>
          <w:lang w:val="de-DE"/>
        </w:rPr>
      </w:pPr>
      <w:bookmarkStart w:id="0" w:name="OLE_LINK1"/>
      <w:bookmarkStart w:id="1" w:name="_GoBack"/>
      <w:bookmarkEnd w:id="1"/>
      <w:r w:rsidRPr="00A60380">
        <w:rPr>
          <w:lang w:val="de-DE"/>
        </w:rPr>
        <w:t>3GPP TSG-RAN WG1#</w:t>
      </w:r>
      <w:r>
        <w:rPr>
          <w:lang w:val="de-DE"/>
        </w:rPr>
        <w:t>80</w:t>
      </w:r>
      <w:r w:rsidRPr="00A60380">
        <w:rPr>
          <w:lang w:val="de-DE"/>
        </w:rPr>
        <w:tab/>
        <w:t>R1-1</w:t>
      </w:r>
      <w:r>
        <w:rPr>
          <w:lang w:val="de-DE"/>
        </w:rPr>
        <w:t>5</w:t>
      </w:r>
      <w:r w:rsidR="00595BC8">
        <w:rPr>
          <w:lang w:val="de-DE"/>
        </w:rPr>
        <w:t>0324</w:t>
      </w:r>
    </w:p>
    <w:bookmarkEnd w:id="0"/>
    <w:p w:rsidR="00533F97" w:rsidRDefault="00533F97" w:rsidP="006B7159">
      <w:pPr>
        <w:pStyle w:val="Header"/>
        <w:jc w:val="both"/>
      </w:pPr>
      <w:r>
        <w:t>Athens</w:t>
      </w:r>
      <w:r w:rsidRPr="00D60A8E">
        <w:t xml:space="preserve">, </w:t>
      </w:r>
      <w:r>
        <w:t>Greece,</w:t>
      </w:r>
      <w:r w:rsidRPr="00D60A8E">
        <w:t xml:space="preserve"> </w:t>
      </w:r>
      <w:r>
        <w:t>9-13 February 2015</w:t>
      </w:r>
    </w:p>
    <w:p w:rsidR="00533F97" w:rsidRPr="009D2B97" w:rsidRDefault="00533F97" w:rsidP="006B7159">
      <w:pPr>
        <w:pStyle w:val="Header"/>
        <w:jc w:val="both"/>
      </w:pPr>
    </w:p>
    <w:p w:rsidR="00533F97" w:rsidRPr="009D2B97" w:rsidRDefault="00533F97" w:rsidP="006B7159">
      <w:pPr>
        <w:pStyle w:val="Header"/>
        <w:tabs>
          <w:tab w:val="clear" w:pos="4536"/>
          <w:tab w:val="left" w:pos="1800"/>
        </w:tabs>
        <w:ind w:left="1800" w:hanging="1800"/>
        <w:jc w:val="both"/>
      </w:pPr>
      <w:r w:rsidRPr="009D2B97">
        <w:t>Source:</w:t>
      </w:r>
      <w:r w:rsidRPr="009D2B97">
        <w:tab/>
        <w:t>Ericsson</w:t>
      </w:r>
    </w:p>
    <w:p w:rsidR="00533F97" w:rsidRDefault="00533F97" w:rsidP="006B7159">
      <w:pPr>
        <w:pStyle w:val="Header"/>
        <w:tabs>
          <w:tab w:val="clear" w:pos="4536"/>
          <w:tab w:val="left" w:pos="1800"/>
        </w:tabs>
        <w:jc w:val="both"/>
      </w:pPr>
      <w:r w:rsidRPr="009D2B97">
        <w:t>Title:</w:t>
      </w:r>
      <w:bookmarkStart w:id="2" w:name="Title"/>
      <w:bookmarkEnd w:id="2"/>
      <w:r w:rsidRPr="009D2B97">
        <w:tab/>
      </w:r>
      <w:r w:rsidR="00D46061">
        <w:t>U</w:t>
      </w:r>
      <w:r>
        <w:t>L control signaling enhancement</w:t>
      </w:r>
      <w:r w:rsidR="00107913">
        <w:t>s</w:t>
      </w:r>
      <w:r>
        <w:t xml:space="preserve"> for up to 32 CCs</w:t>
      </w:r>
    </w:p>
    <w:p w:rsidR="00533F97" w:rsidRPr="009D2B97" w:rsidRDefault="00533F97" w:rsidP="006B7159">
      <w:pPr>
        <w:pStyle w:val="Header"/>
        <w:tabs>
          <w:tab w:val="clear" w:pos="4536"/>
          <w:tab w:val="left" w:pos="1800"/>
        </w:tabs>
        <w:jc w:val="both"/>
      </w:pPr>
      <w:r w:rsidRPr="009D2B97">
        <w:t>Agenda Item:</w:t>
      </w:r>
      <w:bookmarkStart w:id="3" w:name="Source"/>
      <w:bookmarkEnd w:id="3"/>
      <w:r w:rsidRPr="009D2B97">
        <w:tab/>
      </w:r>
      <w:r>
        <w:t>7.2.2.2.</w:t>
      </w:r>
      <w:r w:rsidR="00D46061">
        <w:t>3</w:t>
      </w:r>
    </w:p>
    <w:p w:rsidR="00533F97" w:rsidRPr="009D2B97" w:rsidRDefault="00533F97" w:rsidP="006B7159">
      <w:pPr>
        <w:pStyle w:val="Header"/>
        <w:tabs>
          <w:tab w:val="left" w:pos="1800"/>
        </w:tabs>
        <w:jc w:val="both"/>
      </w:pPr>
      <w:r w:rsidRPr="009D2B97">
        <w:t>Document for:</w:t>
      </w:r>
      <w:r w:rsidRPr="009D2B97">
        <w:tab/>
      </w:r>
      <w:bookmarkStart w:id="4" w:name="DocumentFor"/>
      <w:bookmarkEnd w:id="4"/>
      <w:r w:rsidRPr="009D2B97">
        <w:t>Discussion and Decision</w:t>
      </w:r>
    </w:p>
    <w:p w:rsidR="00533F97" w:rsidRPr="009D2B97" w:rsidRDefault="00533F97" w:rsidP="006B7159">
      <w:pPr>
        <w:pBdr>
          <w:bottom w:val="single" w:sz="4" w:space="1" w:color="auto"/>
        </w:pBdr>
        <w:tabs>
          <w:tab w:val="left" w:pos="2552"/>
        </w:tabs>
        <w:jc w:val="both"/>
      </w:pPr>
    </w:p>
    <w:p w:rsidR="00533F97" w:rsidRDefault="00533F97" w:rsidP="006B7159">
      <w:pPr>
        <w:pStyle w:val="Heading1"/>
        <w:jc w:val="both"/>
      </w:pPr>
      <w:r w:rsidRPr="003178F4">
        <w:t>Introduction</w:t>
      </w:r>
    </w:p>
    <w:p w:rsidR="00055EDA" w:rsidRDefault="00533F97" w:rsidP="007E5C4B">
      <w:pPr>
        <w:spacing w:after="120"/>
        <w:jc w:val="both"/>
      </w:pPr>
      <w:r>
        <w:t xml:space="preserve">A new WI was agreed at RAN #66 plenary meeting to support LTE </w:t>
      </w:r>
      <w:r w:rsidR="00D12632">
        <w:t>carrier aggregation beyond 5 carriers</w:t>
      </w:r>
      <w:r w:rsidR="0012736F">
        <w:t xml:space="preserve"> </w:t>
      </w:r>
      <w:r w:rsidR="0012736F">
        <w:fldChar w:fldCharType="begin"/>
      </w:r>
      <w:r w:rsidR="0012736F">
        <w:instrText xml:space="preserve"> REF _Ref409528764 \r \h </w:instrText>
      </w:r>
      <w:r w:rsidR="007E5C4B">
        <w:instrText xml:space="preserve"> \* MERGEFORMAT </w:instrText>
      </w:r>
      <w:r w:rsidR="0012736F">
        <w:fldChar w:fldCharType="separate"/>
      </w:r>
      <w:r w:rsidR="0012736F">
        <w:t>[1]</w:t>
      </w:r>
      <w:r w:rsidR="0012736F">
        <w:fldChar w:fldCharType="end"/>
      </w:r>
      <w:r>
        <w:t xml:space="preserve">. </w:t>
      </w:r>
      <w:r w:rsidR="00CB0DF6">
        <w:t>One of the</w:t>
      </w:r>
      <w:r w:rsidR="00D12632">
        <w:t xml:space="preserve"> objectives</w:t>
      </w:r>
      <w:r w:rsidR="00CB0DF6">
        <w:t xml:space="preserve"> is</w:t>
      </w:r>
      <w:r w:rsidR="00D12632">
        <w:t xml:space="preserve"> </w:t>
      </w:r>
      <w:r w:rsidR="00CB0DF6">
        <w:t>to specify</w:t>
      </w:r>
      <w:r w:rsidR="00D12632">
        <w:t xml:space="preserve"> necessary mechanisms to enable LTE CA extension</w:t>
      </w:r>
      <w:r w:rsidR="00CB0DF6">
        <w:t xml:space="preserve"> with</w:t>
      </w:r>
      <w:r w:rsidR="00D12632">
        <w:t xml:space="preserve"> up to 32</w:t>
      </w:r>
      <w:r w:rsidR="00CB0DF6">
        <w:t xml:space="preserve"> component carriers, including:</w:t>
      </w:r>
    </w:p>
    <w:p w:rsidR="00055EDA" w:rsidRDefault="00CB0DF6">
      <w:pPr>
        <w:pStyle w:val="ListParagraph"/>
        <w:numPr>
          <w:ilvl w:val="0"/>
          <w:numId w:val="7"/>
        </w:numPr>
        <w:jc w:val="both"/>
      </w:pPr>
      <w:r w:rsidRPr="00055EDA">
        <w:rPr>
          <w:rFonts w:eastAsia="MS Mincho" w:hint="eastAsia"/>
        </w:rPr>
        <w:t>E</w:t>
      </w:r>
      <w:r>
        <w:rPr>
          <w:lang w:eastAsia="zh-CN"/>
        </w:rPr>
        <w:t>nhancements to DL control signalling for up to 32 component carriers including both self-scheduling and cross-carrier scheduling</w:t>
      </w:r>
      <w:r w:rsidRPr="00055EDA">
        <w:rPr>
          <w:rFonts w:eastAsia="MS Mincho" w:hint="eastAsia"/>
        </w:rPr>
        <w:t>, if any</w:t>
      </w:r>
      <w:r>
        <w:rPr>
          <w:lang w:eastAsia="zh-CN"/>
        </w:rPr>
        <w:t xml:space="preserve"> [RAN1]</w:t>
      </w:r>
    </w:p>
    <w:p w:rsidR="00055EDA" w:rsidRPr="00055EDA" w:rsidRDefault="00CB0DF6">
      <w:pPr>
        <w:pStyle w:val="ListParagraph"/>
        <w:numPr>
          <w:ilvl w:val="0"/>
          <w:numId w:val="7"/>
        </w:numPr>
        <w:jc w:val="both"/>
      </w:pPr>
      <w:r w:rsidRPr="00055EDA">
        <w:rPr>
          <w:rFonts w:eastAsia="MS Mincho" w:hint="eastAsia"/>
        </w:rPr>
        <w:t>E</w:t>
      </w:r>
      <w:r>
        <w:rPr>
          <w:lang w:eastAsia="zh-CN"/>
        </w:rPr>
        <w:t xml:space="preserve">nhancements </w:t>
      </w:r>
      <w:r w:rsidRPr="00055EDA">
        <w:rPr>
          <w:rFonts w:eastAsia="MS Mincho" w:hint="eastAsia"/>
        </w:rPr>
        <w:t>to</w:t>
      </w:r>
      <w:r>
        <w:rPr>
          <w:lang w:eastAsia="zh-CN"/>
        </w:rPr>
        <w:t xml:space="preserve"> UL control signalling</w:t>
      </w:r>
      <w:r w:rsidRPr="00055EDA">
        <w:rPr>
          <w:rFonts w:eastAsia="MS Mincho" w:hint="eastAsia"/>
        </w:rPr>
        <w:t xml:space="preserve"> for up to </w:t>
      </w:r>
      <w:r w:rsidRPr="00055EDA">
        <w:rPr>
          <w:rFonts w:eastAsia="MS Mincho"/>
        </w:rPr>
        <w:t>32</w:t>
      </w:r>
      <w:r w:rsidRPr="00055EDA">
        <w:rPr>
          <w:rFonts w:eastAsia="MS Mincho" w:hint="eastAsia"/>
        </w:rPr>
        <w:t xml:space="preserve"> component carriers [RAN1]</w:t>
      </w:r>
    </w:p>
    <w:p w:rsidR="00CB0DF6" w:rsidRPr="00055EDA" w:rsidRDefault="00CB0DF6">
      <w:pPr>
        <w:pStyle w:val="ListParagraph"/>
        <w:numPr>
          <w:ilvl w:val="1"/>
          <w:numId w:val="7"/>
        </w:numPr>
        <w:jc w:val="both"/>
      </w:pPr>
      <w:r w:rsidRPr="00055EDA">
        <w:rPr>
          <w:rFonts w:eastAsia="MS Mincho" w:hint="eastAsia"/>
        </w:rPr>
        <w:t>E</w:t>
      </w:r>
      <w:r>
        <w:rPr>
          <w:lang w:eastAsia="zh-CN"/>
        </w:rPr>
        <w:t>nhancements to support UCI feedback on PUCCH for up to 32 DL carriers</w:t>
      </w:r>
    </w:p>
    <w:p w:rsidR="00055EDA" w:rsidRPr="00055EDA" w:rsidRDefault="00CB0DF6" w:rsidP="006B7159">
      <w:pPr>
        <w:pStyle w:val="ListParagraph"/>
        <w:numPr>
          <w:ilvl w:val="2"/>
          <w:numId w:val="7"/>
        </w:numPr>
        <w:overflowPunct w:val="0"/>
        <w:autoSpaceDE w:val="0"/>
        <w:autoSpaceDN w:val="0"/>
        <w:adjustRightInd w:val="0"/>
        <w:spacing w:after="180"/>
        <w:ind w:right="-99"/>
        <w:jc w:val="both"/>
        <w:textAlignment w:val="baseline"/>
        <w:rPr>
          <w:rFonts w:eastAsia="MS Mincho"/>
          <w:u w:val="single"/>
        </w:rPr>
      </w:pPr>
      <w:r>
        <w:rPr>
          <w:lang w:eastAsia="zh-CN"/>
        </w:rPr>
        <w:t xml:space="preserve">Specify the necessary enhancements to </w:t>
      </w:r>
      <w:r w:rsidRPr="00055EDA">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055EDA" w:rsidRPr="00055EDA" w:rsidRDefault="00CB0DF6" w:rsidP="006B7159">
      <w:pPr>
        <w:pStyle w:val="ListParagraph"/>
        <w:numPr>
          <w:ilvl w:val="1"/>
          <w:numId w:val="7"/>
        </w:numPr>
        <w:overflowPunct w:val="0"/>
        <w:autoSpaceDE w:val="0"/>
        <w:autoSpaceDN w:val="0"/>
        <w:adjustRightInd w:val="0"/>
        <w:spacing w:after="180"/>
        <w:ind w:right="-99"/>
        <w:jc w:val="both"/>
        <w:textAlignment w:val="baseline"/>
        <w:rPr>
          <w:rFonts w:eastAsia="MS Mincho"/>
          <w:u w:val="single"/>
        </w:rPr>
      </w:pPr>
      <w:r w:rsidRPr="00055EDA">
        <w:rPr>
          <w:rFonts w:eastAsia="MS Mincho" w:hint="eastAsia"/>
        </w:rPr>
        <w:t>E</w:t>
      </w:r>
      <w:r>
        <w:rPr>
          <w:lang w:eastAsia="zh-CN"/>
        </w:rPr>
        <w:t xml:space="preserve">nhancements to support UCI </w:t>
      </w:r>
      <w:r w:rsidRPr="00055EDA">
        <w:rPr>
          <w:rFonts w:eastAsia="MS Mincho" w:hint="eastAsia"/>
        </w:rPr>
        <w:t>feedback on PUSCH</w:t>
      </w:r>
      <w:r>
        <w:rPr>
          <w:lang w:eastAsia="zh-CN"/>
        </w:rPr>
        <w:t xml:space="preserve"> for up to 32</w:t>
      </w:r>
      <w:r w:rsidRPr="00055EDA">
        <w:rPr>
          <w:rFonts w:eastAsia="MS Mincho" w:hint="eastAsia"/>
        </w:rPr>
        <w:t xml:space="preserve"> DL</w:t>
      </w:r>
      <w:r>
        <w:rPr>
          <w:lang w:eastAsia="zh-CN"/>
        </w:rPr>
        <w:t xml:space="preserve"> carriers</w:t>
      </w:r>
    </w:p>
    <w:p w:rsidR="00CB0DF6" w:rsidRPr="00055EDA" w:rsidRDefault="00CB0DF6" w:rsidP="006B7159">
      <w:pPr>
        <w:pStyle w:val="ListParagraph"/>
        <w:numPr>
          <w:ilvl w:val="0"/>
          <w:numId w:val="7"/>
        </w:numPr>
        <w:overflowPunct w:val="0"/>
        <w:autoSpaceDE w:val="0"/>
        <w:autoSpaceDN w:val="0"/>
        <w:adjustRightInd w:val="0"/>
        <w:spacing w:after="180"/>
        <w:ind w:right="-99"/>
        <w:jc w:val="both"/>
        <w:textAlignment w:val="baseline"/>
        <w:rPr>
          <w:rFonts w:eastAsia="MS Mincho"/>
          <w:u w:val="single"/>
        </w:rPr>
      </w:pPr>
      <w:r w:rsidRPr="00055EDA">
        <w:rPr>
          <w:rFonts w:eastAsia="MS Mincho" w:hint="eastAsia"/>
        </w:rPr>
        <w:t>H</w:t>
      </w:r>
      <w:r>
        <w:rPr>
          <w:lang w:eastAsia="zh-CN"/>
        </w:rPr>
        <w:t xml:space="preserve">igher layer enhancements for a UE to aggregate up to 32 </w:t>
      </w:r>
      <w:r w:rsidRPr="00055EDA">
        <w:rPr>
          <w:rFonts w:eastAsia="MS Mincho" w:hint="eastAsia"/>
        </w:rPr>
        <w:t>component carriers, if identified</w:t>
      </w:r>
      <w:r>
        <w:rPr>
          <w:lang w:eastAsia="zh-CN"/>
        </w:rPr>
        <w:t xml:space="preserve"> [RAN2]</w:t>
      </w:r>
    </w:p>
    <w:p w:rsidR="00533F97" w:rsidRDefault="003E02F4" w:rsidP="007E5C4B">
      <w:pPr>
        <w:spacing w:after="120"/>
        <w:jc w:val="both"/>
      </w:pPr>
      <w:r>
        <w:t xml:space="preserve">In this contribution, we discuss the enhancements to </w:t>
      </w:r>
      <w:r w:rsidR="00D46061">
        <w:t>U</w:t>
      </w:r>
      <w:r>
        <w:t>L control signaling for up to 32 component carriers.</w:t>
      </w:r>
    </w:p>
    <w:p w:rsidR="003E02F4" w:rsidRDefault="003E02F4" w:rsidP="006B7159">
      <w:pPr>
        <w:pStyle w:val="Heading1"/>
        <w:jc w:val="both"/>
      </w:pPr>
      <w:r>
        <w:t>Discussion</w:t>
      </w:r>
    </w:p>
    <w:p w:rsidR="002265DB" w:rsidRDefault="002265DB" w:rsidP="007E5C4B">
      <w:pPr>
        <w:spacing w:after="120"/>
        <w:jc w:val="both"/>
      </w:pPr>
      <w:r>
        <w:t>In 3GPP up to Rel-12, maximum 5 component carriers (CC) are supported</w:t>
      </w:r>
      <w:r w:rsidR="006B7159">
        <w:t xml:space="preserve"> for CA</w:t>
      </w:r>
      <w:r>
        <w:t>. Aggregating more CCs, i.e., up to 32 carriers may significantly increase the load of UL control signaling and current design is insufficient due to limited</w:t>
      </w:r>
      <w:r w:rsidR="006B7159">
        <w:t xml:space="preserve"> capacity. Herein we discuss potential</w:t>
      </w:r>
      <w:r>
        <w:t xml:space="preserve"> enhancements to UL control signaling. </w:t>
      </w:r>
      <w:r w:rsidR="0003334A">
        <w:t>The</w:t>
      </w:r>
      <w:r w:rsidR="00324E4C">
        <w:t xml:space="preserve"> general </w:t>
      </w:r>
      <w:r w:rsidR="0003334A">
        <w:t>aim</w:t>
      </w:r>
      <w:r>
        <w:t xml:space="preserve"> is to simplify</w:t>
      </w:r>
      <w:r w:rsidR="00324E4C">
        <w:t xml:space="preserve"> the</w:t>
      </w:r>
      <w:r>
        <w:t xml:space="preserve"> scheduling and UCI handling for </w:t>
      </w:r>
      <w:r w:rsidR="00324E4C">
        <w:t>u</w:t>
      </w:r>
      <w:r>
        <w:t>p to 32 CCs.</w:t>
      </w:r>
    </w:p>
    <w:p w:rsidR="001027CB" w:rsidRDefault="001027CB" w:rsidP="006B7159">
      <w:pPr>
        <w:pStyle w:val="Heading2"/>
        <w:jc w:val="both"/>
      </w:pPr>
      <w:r>
        <w:t>UCI on PUCCH</w:t>
      </w:r>
    </w:p>
    <w:p w:rsidR="00124FA1" w:rsidRPr="00124FA1" w:rsidRDefault="001027CB" w:rsidP="006B7159">
      <w:pPr>
        <w:pStyle w:val="Heading3"/>
        <w:jc w:val="both"/>
      </w:pPr>
      <w:bookmarkStart w:id="5" w:name="_Ref410219919"/>
      <w:r>
        <w:t>UCI on single UL CC</w:t>
      </w:r>
      <w:bookmarkEnd w:id="5"/>
    </w:p>
    <w:p w:rsidR="00FA4357" w:rsidRDefault="00124FA1" w:rsidP="006B7159">
      <w:pPr>
        <w:spacing w:after="120"/>
        <w:jc w:val="both"/>
      </w:pPr>
      <w:r>
        <w:t xml:space="preserve">To support carrier aggregation with up to 32 CCs, </w:t>
      </w:r>
      <w:r w:rsidR="00324E4C">
        <w:t xml:space="preserve">UCI payload size will be significantly increased. For example, </w:t>
      </w:r>
      <w:r>
        <w:t xml:space="preserve">the HARQ-ACK bits </w:t>
      </w:r>
      <w:r w:rsidR="00324E4C">
        <w:t xml:space="preserve">could be up to </w:t>
      </w:r>
      <w:r w:rsidR="00D55FFF">
        <w:t>64 bits in case of FDD PCell and up to 128 bits in case of TDD PCell</w:t>
      </w:r>
      <w:r w:rsidR="00324E4C">
        <w:t xml:space="preserve">. </w:t>
      </w:r>
      <w:r w:rsidR="006B7159">
        <w:t xml:space="preserve">Herein </w:t>
      </w:r>
      <w:r w:rsidR="00324E4C">
        <w:t xml:space="preserve">TDD UL/DL configuration 5 as the PCell is not </w:t>
      </w:r>
      <w:r w:rsidR="00D55FFF">
        <w:t>taken</w:t>
      </w:r>
      <w:r w:rsidR="00324E4C">
        <w:t xml:space="preserve"> into consideration because it doesn’</w:t>
      </w:r>
      <w:r w:rsidR="0003334A">
        <w:t xml:space="preserve">t support </w:t>
      </w:r>
      <w:r w:rsidR="00324E4C">
        <w:t xml:space="preserve">5CCs in </w:t>
      </w:r>
      <w:r w:rsidR="00722C4B">
        <w:t>3GPP up to Rel-12</w:t>
      </w:r>
      <w:r>
        <w:t xml:space="preserve">. </w:t>
      </w:r>
      <w:r w:rsidR="00D83AAC">
        <w:t xml:space="preserve">If all </w:t>
      </w:r>
      <w:r w:rsidR="00324E4C">
        <w:t xml:space="preserve">128 HARQ-ACK </w:t>
      </w:r>
      <w:r w:rsidR="00D83AAC">
        <w:t xml:space="preserve">bits are sent </w:t>
      </w:r>
      <w:r w:rsidR="00AF0360">
        <w:t>over</w:t>
      </w:r>
      <w:r w:rsidR="00D83AAC">
        <w:t xml:space="preserve"> PUCCH on a single UL CC, </w:t>
      </w:r>
      <w:r>
        <w:t xml:space="preserve">current PUCCH format 3 </w:t>
      </w:r>
      <w:r w:rsidR="00D83AAC">
        <w:t xml:space="preserve">which supports up to 20 HARQ-ACK bits </w:t>
      </w:r>
      <w:r>
        <w:t xml:space="preserve">is </w:t>
      </w:r>
      <w:r w:rsidR="00D83AAC">
        <w:t>not sufficient</w:t>
      </w:r>
      <w:r>
        <w:t xml:space="preserve">. </w:t>
      </w:r>
    </w:p>
    <w:p w:rsidR="00B76B84" w:rsidRDefault="00B76B84" w:rsidP="006B7159">
      <w:pPr>
        <w:spacing w:after="120"/>
        <w:jc w:val="both"/>
      </w:pPr>
      <w:r>
        <w:t xml:space="preserve">It is important to remember in the design of HARQ feedback that DL CA is a feature not only to reach peak data rates on paper, but mainly to increase the data rate of the UE in the whole cell coverage area. </w:t>
      </w:r>
      <w:r w:rsidR="005F13A4">
        <w:t>The</w:t>
      </w:r>
      <w:r w:rsidR="00522B2E">
        <w:t xml:space="preserve"> operating</w:t>
      </w:r>
      <w:r w:rsidR="005F13A4">
        <w:t xml:space="preserve"> </w:t>
      </w:r>
      <w:r w:rsidR="00522B2E">
        <w:t>SNR increments</w:t>
      </w:r>
      <w:r w:rsidR="005F13A4">
        <w:t xml:space="preserve"> for PUCCH format 3 under different channel model assumptions are examined in </w:t>
      </w:r>
      <w:r w:rsidR="005F13A4">
        <w:fldChar w:fldCharType="begin"/>
      </w:r>
      <w:r w:rsidR="005F13A4">
        <w:instrText xml:space="preserve"> REF _Ref410216103 \h </w:instrText>
      </w:r>
      <w:r w:rsidR="007E5C4B">
        <w:instrText xml:space="preserve"> \* MERGEFORMAT </w:instrText>
      </w:r>
      <w:r w:rsidR="005F13A4">
        <w:fldChar w:fldCharType="separate"/>
      </w:r>
      <w:r w:rsidR="005F13A4" w:rsidRPr="00D616F2">
        <w:rPr>
          <w:szCs w:val="20"/>
        </w:rPr>
        <w:t xml:space="preserve">Figure </w:t>
      </w:r>
      <w:r w:rsidR="005F13A4" w:rsidRPr="00D616F2">
        <w:rPr>
          <w:noProof/>
          <w:szCs w:val="20"/>
        </w:rPr>
        <w:t>1</w:t>
      </w:r>
      <w:r w:rsidR="005F13A4">
        <w:fldChar w:fldCharType="end"/>
      </w:r>
      <w:r w:rsidR="005F13A4">
        <w:t xml:space="preserve">. </w:t>
      </w:r>
      <w:r>
        <w:t xml:space="preserve">It can be observed that transmitting </w:t>
      </w:r>
      <w:r w:rsidR="00522B2E">
        <w:t>2</w:t>
      </w:r>
      <w:r>
        <w:t xml:space="preserve">0 HARQ-ACK bits requires </w:t>
      </w:r>
      <w:r w:rsidR="00522B2E">
        <w:t>more than 4dB SNR than transmitting 10</w:t>
      </w:r>
      <w:r>
        <w:t xml:space="preserve"> HARQ-ACK bits. </w:t>
      </w:r>
      <w:r w:rsidR="00500D95">
        <w:t>Therefore, i</w:t>
      </w:r>
      <w:r>
        <w:t xml:space="preserve">t is </w:t>
      </w:r>
      <w:r w:rsidR="00500D95">
        <w:t xml:space="preserve">imperative </w:t>
      </w:r>
      <w:r>
        <w:t>to</w:t>
      </w:r>
      <w:r w:rsidR="00500D95">
        <w:t xml:space="preserve"> determine</w:t>
      </w:r>
      <w:r>
        <w:t xml:space="preserve"> what SNR the HARQ feedback should be supported so that a target is set on what coverage area DL CA can be operated within. This</w:t>
      </w:r>
      <w:r w:rsidR="00500D95">
        <w:t xml:space="preserve"> is</w:t>
      </w:r>
      <w:r>
        <w:t xml:space="preserve"> to enable that </w:t>
      </w:r>
      <w:r w:rsidR="00500D95">
        <w:t xml:space="preserve">a </w:t>
      </w:r>
      <w:r>
        <w:t>sufficient number of UE</w:t>
      </w:r>
      <w:r w:rsidR="00500D95">
        <w:t>s</w:t>
      </w:r>
      <w:r>
        <w:t xml:space="preserve"> can operate DL CA. </w:t>
      </w:r>
    </w:p>
    <w:p w:rsidR="00B76B84" w:rsidRDefault="005F13A4" w:rsidP="006B7159">
      <w:pPr>
        <w:spacing w:after="120"/>
        <w:jc w:val="center"/>
      </w:pPr>
      <w:r>
        <w:rPr>
          <w:noProof/>
          <w:lang w:eastAsia="zh-CN"/>
        </w:rPr>
        <w:lastRenderedPageBreak/>
        <w:drawing>
          <wp:inline distT="0" distB="0" distL="0" distR="0" wp14:anchorId="519DEDB4" wp14:editId="32B4FE83">
            <wp:extent cx="3983604" cy="27466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t="5714" b="2380"/>
                    <a:stretch>
                      <a:fillRect/>
                    </a:stretch>
                  </pic:blipFill>
                  <pic:spPr bwMode="auto">
                    <a:xfrm>
                      <a:off x="0" y="0"/>
                      <a:ext cx="3985851" cy="2748181"/>
                    </a:xfrm>
                    <a:prstGeom prst="rect">
                      <a:avLst/>
                    </a:prstGeom>
                    <a:noFill/>
                    <a:ln>
                      <a:noFill/>
                    </a:ln>
                  </pic:spPr>
                </pic:pic>
              </a:graphicData>
            </a:graphic>
          </wp:inline>
        </w:drawing>
      </w:r>
    </w:p>
    <w:p w:rsidR="005F13A4" w:rsidRDefault="005F13A4" w:rsidP="006B7159">
      <w:pPr>
        <w:pStyle w:val="Caption"/>
        <w:jc w:val="center"/>
      </w:pPr>
      <w:r w:rsidRPr="007E5C4B">
        <w:rPr>
          <w:color w:val="auto"/>
          <w:sz w:val="20"/>
          <w:szCs w:val="20"/>
        </w:rPr>
        <w:t xml:space="preserve">Figure </w:t>
      </w:r>
      <w:r w:rsidRPr="00263985">
        <w:rPr>
          <w:szCs w:val="20"/>
        </w:rPr>
        <w:fldChar w:fldCharType="begin"/>
      </w:r>
      <w:r w:rsidRPr="00522B2E">
        <w:rPr>
          <w:b w:val="0"/>
          <w:bCs w:val="0"/>
          <w:szCs w:val="20"/>
        </w:rPr>
        <w:instrText xml:space="preserve"> SEQ Figure \* ARABIC </w:instrText>
      </w:r>
      <w:r w:rsidRPr="00263985">
        <w:rPr>
          <w:szCs w:val="20"/>
        </w:rPr>
        <w:fldChar w:fldCharType="separate"/>
      </w:r>
      <w:r w:rsidRPr="00263985">
        <w:rPr>
          <w:noProof/>
          <w:color w:val="auto"/>
          <w:sz w:val="20"/>
          <w:szCs w:val="20"/>
        </w:rPr>
        <w:t>1</w:t>
      </w:r>
      <w:r w:rsidRPr="00263985">
        <w:rPr>
          <w:szCs w:val="20"/>
        </w:rPr>
        <w:fldChar w:fldCharType="end"/>
      </w:r>
      <w:r w:rsidRPr="007E5C4B">
        <w:rPr>
          <w:color w:val="auto"/>
          <w:sz w:val="20"/>
          <w:szCs w:val="20"/>
        </w:rPr>
        <w:t xml:space="preserve"> </w:t>
      </w:r>
      <w:r w:rsidRPr="006B7159">
        <w:rPr>
          <w:color w:val="auto"/>
          <w:sz w:val="20"/>
          <w:szCs w:val="20"/>
        </w:rPr>
        <w:t>Operating SNR increments and power control functions</w:t>
      </w:r>
      <w:r w:rsidR="00522B2E" w:rsidRPr="006B7159">
        <w:rPr>
          <w:color w:val="auto"/>
          <w:sz w:val="20"/>
          <w:szCs w:val="20"/>
        </w:rPr>
        <w:t xml:space="preserve"> from </w:t>
      </w:r>
      <w:r w:rsidRPr="00263985">
        <w:rPr>
          <w:szCs w:val="20"/>
        </w:rPr>
        <w:fldChar w:fldCharType="begin"/>
      </w:r>
      <w:r w:rsidRPr="00522B2E">
        <w:rPr>
          <w:b w:val="0"/>
          <w:bCs w:val="0"/>
          <w:szCs w:val="20"/>
        </w:rPr>
        <w:instrText xml:space="preserve"> REF _Ref410216260 \r \h  \* MERGEFORMAT </w:instrText>
      </w:r>
      <w:r w:rsidRPr="00263985">
        <w:rPr>
          <w:szCs w:val="20"/>
        </w:rPr>
      </w:r>
      <w:r w:rsidRPr="00263985">
        <w:rPr>
          <w:szCs w:val="20"/>
        </w:rPr>
        <w:fldChar w:fldCharType="separate"/>
      </w:r>
      <w:r w:rsidRPr="00263985">
        <w:rPr>
          <w:color w:val="auto"/>
          <w:sz w:val="20"/>
          <w:szCs w:val="20"/>
        </w:rPr>
        <w:t>[2]</w:t>
      </w:r>
      <w:r w:rsidRPr="00263985">
        <w:rPr>
          <w:szCs w:val="20"/>
        </w:rPr>
        <w:fldChar w:fldCharType="end"/>
      </w:r>
      <w:r w:rsidRPr="007E5C4B">
        <w:rPr>
          <w:color w:val="auto"/>
          <w:sz w:val="20"/>
          <w:szCs w:val="20"/>
        </w:rPr>
        <w:t>.</w:t>
      </w:r>
    </w:p>
    <w:p w:rsidR="00226C85" w:rsidRDefault="00047662" w:rsidP="006B7159">
      <w:pPr>
        <w:spacing w:after="120"/>
        <w:jc w:val="both"/>
      </w:pPr>
      <w:r>
        <w:t xml:space="preserve">Depending on the supported SNR, there are several options to design the HARQ-ACK feedback on one single UL CC. </w:t>
      </w:r>
    </w:p>
    <w:p w:rsidR="006B7159" w:rsidRDefault="00047662" w:rsidP="006B7159">
      <w:pPr>
        <w:spacing w:after="120"/>
        <w:jc w:val="both"/>
      </w:pPr>
      <w:r>
        <w:t>O</w:t>
      </w:r>
      <w:r w:rsidR="00124FA1">
        <w:t xml:space="preserve">ne straightforward way </w:t>
      </w:r>
      <w:r w:rsidR="00AF0360">
        <w:t xml:space="preserve">could be to </w:t>
      </w:r>
      <w:r w:rsidR="00FF598F">
        <w:t xml:space="preserve">use more </w:t>
      </w:r>
      <w:r>
        <w:t xml:space="preserve">resources, i.e., to carry </w:t>
      </w:r>
      <w:r w:rsidR="00FF598F">
        <w:t>more</w:t>
      </w:r>
      <w:r w:rsidR="00722C4B">
        <w:t xml:space="preserve"> </w:t>
      </w:r>
      <w:r>
        <w:t xml:space="preserve">HARQ-ACK </w:t>
      </w:r>
      <w:r w:rsidR="00FF598F">
        <w:t>bits on PUCCH</w:t>
      </w:r>
      <w:r w:rsidR="00226C85">
        <w:t xml:space="preserve"> by </w:t>
      </w:r>
      <w:r>
        <w:t>using PUCCH format 3 on multiple PRB pairs instead of 1 PRB pair.</w:t>
      </w:r>
      <w:r w:rsidR="00124FA1">
        <w:t xml:space="preserve"> However, this option increases the PUCCH load</w:t>
      </w:r>
      <w:r w:rsidR="001B7887">
        <w:t>.</w:t>
      </w:r>
      <w:r w:rsidR="00226C85">
        <w:t xml:space="preserve"> It could be a problem if </w:t>
      </w:r>
      <w:r w:rsidR="001B7887">
        <w:t xml:space="preserve">multiple UEs transmit </w:t>
      </w:r>
      <w:r w:rsidR="00226C85">
        <w:t xml:space="preserve">PUCCH and/or PUSCH </w:t>
      </w:r>
      <w:r w:rsidR="001B7887">
        <w:t>on the same UL CC</w:t>
      </w:r>
      <w:r w:rsidR="00226C85">
        <w:t xml:space="preserve"> and</w:t>
      </w:r>
      <w:r w:rsidR="001B7887">
        <w:t xml:space="preserve"> the capacity </w:t>
      </w:r>
      <w:r w:rsidR="003919A1">
        <w:t xml:space="preserve">can be </w:t>
      </w:r>
      <w:r w:rsidR="006B7159">
        <w:t>limited</w:t>
      </w:r>
      <w:r w:rsidR="001B7887">
        <w:t>.</w:t>
      </w:r>
      <w:r w:rsidR="00D83AAC">
        <w:t xml:space="preserve"> </w:t>
      </w:r>
      <w:r w:rsidR="00877BD9">
        <w:t>It is however notable that there would be a gain of about 1 dB</w:t>
      </w:r>
      <w:r w:rsidR="003B77C4">
        <w:t xml:space="preserve"> </w:t>
      </w:r>
      <w:r w:rsidR="00877BD9">
        <w:t xml:space="preserve">in SNR by providing two PRBs with 10 ACK/NACK bits each instead operating on a single PRB with 20 ACK/NACK bits, as shown in </w:t>
      </w:r>
      <w:r w:rsidR="00877BD9">
        <w:fldChar w:fldCharType="begin"/>
      </w:r>
      <w:r w:rsidR="00877BD9">
        <w:instrText xml:space="preserve"> REF _Ref410216103 \h  \* MERGEFORMAT </w:instrText>
      </w:r>
      <w:r w:rsidR="00877BD9">
        <w:fldChar w:fldCharType="separate"/>
      </w:r>
      <w:r w:rsidR="00877BD9" w:rsidRPr="00D616F2">
        <w:rPr>
          <w:szCs w:val="20"/>
        </w:rPr>
        <w:t xml:space="preserve">Figure </w:t>
      </w:r>
      <w:r w:rsidR="00877BD9" w:rsidRPr="00D616F2">
        <w:rPr>
          <w:noProof/>
          <w:szCs w:val="20"/>
        </w:rPr>
        <w:t>1</w:t>
      </w:r>
      <w:r w:rsidR="00877BD9">
        <w:fldChar w:fldCharType="end"/>
      </w:r>
      <w:r w:rsidR="00877BD9">
        <w:t>. In the end it is a trade-o</w:t>
      </w:r>
      <w:r w:rsidR="006B7159">
        <w:t>f</w:t>
      </w:r>
      <w:r w:rsidR="00877BD9">
        <w:t xml:space="preserve">f between number of PBR resources and required SNR to operate on. A key aspect </w:t>
      </w:r>
      <w:r w:rsidR="00B5043F">
        <w:t>t</w:t>
      </w:r>
      <w:r w:rsidR="00877BD9">
        <w:t xml:space="preserve">here </w:t>
      </w:r>
      <w:r w:rsidR="00B5043F">
        <w:t xml:space="preserve">is </w:t>
      </w:r>
      <w:r w:rsidR="00877BD9">
        <w:t xml:space="preserve">for what operating SNR is required and what is the acceptable overhead. </w:t>
      </w:r>
    </w:p>
    <w:p w:rsidR="00124FA1" w:rsidRDefault="00FF598F" w:rsidP="006B7159">
      <w:pPr>
        <w:spacing w:after="120"/>
        <w:jc w:val="both"/>
      </w:pPr>
      <w:r>
        <w:t xml:space="preserve">Another option is to </w:t>
      </w:r>
      <w:r w:rsidR="00722C4B">
        <w:t>use</w:t>
      </w:r>
      <w:r>
        <w:t xml:space="preserve"> bundling for the HARQ-ACK bits to have a reasonable UCI payload size even for aggregating 32 DL CCs. Spatia</w:t>
      </w:r>
      <w:r w:rsidR="00722C4B">
        <w:t>l bundling has been already adopted in TDD</w:t>
      </w:r>
      <w:r>
        <w:t xml:space="preserve"> to squeeze the HARQ-ACK feedback on limited PUCCH resources. Similar pri</w:t>
      </w:r>
      <w:r w:rsidR="00722C4B">
        <w:t>nciple could be adopted for the case with</w:t>
      </w:r>
      <w:r>
        <w:t xml:space="preserve"> up to 32 CCs. </w:t>
      </w:r>
      <w:r w:rsidR="00722C4B">
        <w:t>Besides spatial bundling across codewords, the bundling can</w:t>
      </w:r>
      <w:r>
        <w:t xml:space="preserve"> be </w:t>
      </w:r>
      <w:r w:rsidR="00494A47">
        <w:t xml:space="preserve">done </w:t>
      </w:r>
      <w:r>
        <w:t xml:space="preserve">across time </w:t>
      </w:r>
      <w:r w:rsidR="00722C4B">
        <w:t>and/</w:t>
      </w:r>
      <w:r>
        <w:t xml:space="preserve">or frequency to </w:t>
      </w:r>
      <w:r w:rsidR="00722C4B">
        <w:t xml:space="preserve">further </w:t>
      </w:r>
      <w:r>
        <w:t>compress the HARQ-ACK payload size</w:t>
      </w:r>
      <w:r w:rsidR="00722C4B">
        <w:t xml:space="preserve"> if needed</w:t>
      </w:r>
      <w:r>
        <w:t>.</w:t>
      </w:r>
      <w:r w:rsidR="00227FF0">
        <w:t xml:space="preserve"> </w:t>
      </w:r>
      <w:r w:rsidR="00EC3DBD">
        <w:t xml:space="preserve">The bundling could be done based on carrier grouping as discussed in </w:t>
      </w:r>
      <w:r w:rsidR="00EC3DBD">
        <w:fldChar w:fldCharType="begin"/>
      </w:r>
      <w:r w:rsidR="00EC3DBD">
        <w:instrText xml:space="preserve"> REF _Ref410218941 \r \h </w:instrText>
      </w:r>
      <w:r w:rsidR="007E5C4B">
        <w:instrText xml:space="preserve"> \* MERGEFORMAT </w:instrText>
      </w:r>
      <w:r w:rsidR="00EC3DBD">
        <w:fldChar w:fldCharType="separate"/>
      </w:r>
      <w:r w:rsidR="00EC3DBD">
        <w:t>[3]</w:t>
      </w:r>
      <w:r w:rsidR="00EC3DBD">
        <w:fldChar w:fldCharType="end"/>
      </w:r>
      <w:r w:rsidR="008B6592">
        <w:t xml:space="preserve">. Continuous carrier in the same band could be configured as one aggregation group and HARQ-ACK feedback for </w:t>
      </w:r>
      <w:r w:rsidR="00EC3DBD">
        <w:t>all DL CCs</w:t>
      </w:r>
      <w:r w:rsidR="008B6592">
        <w:t xml:space="preserve"> in one aggregation group could be bundled together. </w:t>
      </w:r>
      <w:r w:rsidR="002F3323">
        <w:t xml:space="preserve">A potential framework is </w:t>
      </w:r>
      <w:r w:rsidR="008B6592" w:rsidRPr="008B6592">
        <w:t>to support up to 8 groups and up to 8 CCs per group</w:t>
      </w:r>
      <w:r w:rsidR="008B6592">
        <w:t xml:space="preserve"> so that PUCCH format 3 could be largely reused.</w:t>
      </w:r>
      <w:r w:rsidR="00BF58A2">
        <w:t xml:space="preserve"> This approach should be adopted if the determined operating SNR for DL CA is low. It can also be combined with the first approach.</w:t>
      </w:r>
    </w:p>
    <w:p w:rsidR="00167C09" w:rsidRDefault="00496B81" w:rsidP="007E5C4B">
      <w:pPr>
        <w:spacing w:after="120"/>
        <w:jc w:val="both"/>
        <w:rPr>
          <w:noProof/>
        </w:rPr>
      </w:pPr>
      <w:r>
        <w:rPr>
          <w:noProof/>
        </w:rPr>
        <w:t xml:space="preserve">Regarding periodic CSI, it is not necessary to further enhance the capacity on PUCCH due to more DL CCs. </w:t>
      </w:r>
      <w:r w:rsidR="00167C09">
        <w:rPr>
          <w:noProof/>
        </w:rPr>
        <w:t xml:space="preserve">It can be expected that a large number of DL CCs are used mainly to expand the data rate, i.e. if the eNB has large amount of DL data to schedule to UE, the eNB will utilise many DL SCells. Correspondlingly the DL SCells will be used for </w:t>
      </w:r>
      <w:r>
        <w:rPr>
          <w:noProof/>
        </w:rPr>
        <w:t xml:space="preserve">a </w:t>
      </w:r>
      <w:r w:rsidR="00167C09">
        <w:rPr>
          <w:noProof/>
        </w:rPr>
        <w:t xml:space="preserve">significant time before the eNB has emptied its transmission buffer. It is very unlikely that the eNB will activate many SCells without scheduling data on them for a long period of time. Periodic CSI reports are mainly used to get a good starting point for the link </w:t>
      </w:r>
      <w:r>
        <w:rPr>
          <w:noProof/>
        </w:rPr>
        <w:t>adapation and scheduling. W</w:t>
      </w:r>
      <w:r w:rsidR="00167C09">
        <w:rPr>
          <w:noProof/>
        </w:rPr>
        <w:t>hen data is being contintuously scheduled</w:t>
      </w:r>
      <w:r>
        <w:rPr>
          <w:noProof/>
        </w:rPr>
        <w:t>,</w:t>
      </w:r>
      <w:r w:rsidR="00167C09">
        <w:rPr>
          <w:noProof/>
        </w:rPr>
        <w:t xml:space="preserve"> the resolution of the periodic CSI report is not good enough</w:t>
      </w:r>
      <w:r w:rsidR="002F3323">
        <w:rPr>
          <w:noProof/>
        </w:rPr>
        <w:t xml:space="preserve"> for continous data scheduling</w:t>
      </w:r>
      <w:r w:rsidR="00167C09">
        <w:rPr>
          <w:noProof/>
        </w:rPr>
        <w:t xml:space="preserve">. Therefore, the most practical approach would be to realy only on aperiodic CSI reports. Based on above consideration, there </w:t>
      </w:r>
      <w:r>
        <w:rPr>
          <w:noProof/>
        </w:rPr>
        <w:t>seems to be</w:t>
      </w:r>
      <w:r w:rsidR="00167C09">
        <w:rPr>
          <w:noProof/>
        </w:rPr>
        <w:t xml:space="preserve"> no need to enhance the periodic CSI for CA with a large number of DL CCs.</w:t>
      </w:r>
    </w:p>
    <w:p w:rsidR="004E5B0E" w:rsidRPr="006B7159" w:rsidRDefault="004E5B0E">
      <w:pPr>
        <w:spacing w:after="120"/>
        <w:jc w:val="both"/>
        <w:rPr>
          <w:b/>
        </w:rPr>
      </w:pPr>
      <w:r w:rsidRPr="006B7159">
        <w:rPr>
          <w:b/>
        </w:rPr>
        <w:t>Observation:</w:t>
      </w:r>
    </w:p>
    <w:p w:rsidR="00722C4B" w:rsidRPr="006B7159" w:rsidRDefault="00BF58A2" w:rsidP="007E5C4B">
      <w:pPr>
        <w:pStyle w:val="ListParagraph"/>
        <w:numPr>
          <w:ilvl w:val="0"/>
          <w:numId w:val="15"/>
        </w:numPr>
        <w:spacing w:after="120"/>
        <w:jc w:val="both"/>
        <w:rPr>
          <w:b/>
        </w:rPr>
      </w:pPr>
      <w:r w:rsidRPr="006B7159">
        <w:rPr>
          <w:b/>
        </w:rPr>
        <w:t>Enhancements to HARQ-ACK for CA with a large number of DL CCs are needed</w:t>
      </w:r>
      <w:r w:rsidR="004E5B0E" w:rsidRPr="006B7159">
        <w:rPr>
          <w:b/>
        </w:rPr>
        <w:t>.</w:t>
      </w:r>
      <w:r w:rsidRPr="006B7159">
        <w:rPr>
          <w:b/>
        </w:rPr>
        <w:t xml:space="preserve"> Options include using PUCCH format 3 on multiple PRB pairs, and/or using carrier grouping and HARQ-ACK bundling. </w:t>
      </w:r>
    </w:p>
    <w:p w:rsidR="00BF58A2" w:rsidRPr="006B7159" w:rsidRDefault="00167C09" w:rsidP="007E5C4B">
      <w:pPr>
        <w:pStyle w:val="ListParagraph"/>
        <w:numPr>
          <w:ilvl w:val="0"/>
          <w:numId w:val="15"/>
        </w:numPr>
        <w:spacing w:after="120"/>
        <w:jc w:val="both"/>
        <w:rPr>
          <w:b/>
        </w:rPr>
      </w:pPr>
      <w:r w:rsidRPr="006B7159">
        <w:rPr>
          <w:b/>
        </w:rPr>
        <w:t>It is not necessary to enhance the periodic CSI for CA with a large number of DL CCs.</w:t>
      </w:r>
    </w:p>
    <w:p w:rsidR="00BF58A2" w:rsidRPr="006B7159" w:rsidRDefault="00BF58A2" w:rsidP="006B7159">
      <w:pPr>
        <w:spacing w:after="120"/>
        <w:jc w:val="both"/>
        <w:rPr>
          <w:b/>
        </w:rPr>
      </w:pPr>
      <w:r w:rsidRPr="006B7159">
        <w:rPr>
          <w:b/>
        </w:rPr>
        <w:lastRenderedPageBreak/>
        <w:t>Proposal:</w:t>
      </w:r>
    </w:p>
    <w:p w:rsidR="00BF58A2" w:rsidRPr="006B7159" w:rsidRDefault="00BF58A2" w:rsidP="006B7159">
      <w:pPr>
        <w:pStyle w:val="ListParagraph"/>
        <w:numPr>
          <w:ilvl w:val="0"/>
          <w:numId w:val="20"/>
        </w:numPr>
        <w:spacing w:after="120"/>
        <w:jc w:val="both"/>
        <w:rPr>
          <w:b/>
        </w:rPr>
      </w:pPr>
      <w:r w:rsidRPr="006B7159">
        <w:rPr>
          <w:b/>
        </w:rPr>
        <w:t xml:space="preserve">Determine what SNR DL CA shall be supported for. </w:t>
      </w:r>
    </w:p>
    <w:p w:rsidR="00BF58A2" w:rsidRPr="006B7159" w:rsidRDefault="00BF58A2" w:rsidP="006B7159">
      <w:pPr>
        <w:pStyle w:val="ListParagraph"/>
        <w:numPr>
          <w:ilvl w:val="0"/>
          <w:numId w:val="20"/>
        </w:numPr>
        <w:spacing w:after="120"/>
        <w:jc w:val="both"/>
        <w:rPr>
          <w:b/>
        </w:rPr>
      </w:pPr>
      <w:r w:rsidRPr="006B7159">
        <w:rPr>
          <w:b/>
        </w:rPr>
        <w:t>Further study the enhancements on HARQ-ACK on PUCCH based on the determined SNR.</w:t>
      </w:r>
    </w:p>
    <w:p w:rsidR="001027CB" w:rsidRDefault="001027CB" w:rsidP="006B7159">
      <w:pPr>
        <w:pStyle w:val="Heading3"/>
        <w:jc w:val="both"/>
      </w:pPr>
      <w:r>
        <w:t>UCI on multiple UL CCs</w:t>
      </w:r>
    </w:p>
    <w:p w:rsidR="00FA4357" w:rsidRDefault="00496B81" w:rsidP="006B7159">
      <w:pPr>
        <w:spacing w:after="120"/>
        <w:jc w:val="both"/>
      </w:pPr>
      <w:r>
        <w:t xml:space="preserve">When there are multiple UL CCs available, carrier grouping </w:t>
      </w:r>
      <w:r w:rsidR="008B6592">
        <w:t>can</w:t>
      </w:r>
      <w:r>
        <w:t xml:space="preserve"> be applied. </w:t>
      </w:r>
      <w:r w:rsidR="00EC3DBD">
        <w:t>It can be configured that wi</w:t>
      </w:r>
      <w:r w:rsidR="00FA4357">
        <w:t xml:space="preserve">thin one aggregation group, there </w:t>
      </w:r>
      <w:r w:rsidR="00EC3DBD">
        <w:t>is</w:t>
      </w:r>
      <w:r w:rsidR="00FA4357">
        <w:t xml:space="preserve"> a carrier allocated as PUCCH Cell, on which PUCCH </w:t>
      </w:r>
      <w:r w:rsidR="00EC3DBD">
        <w:t>is</w:t>
      </w:r>
      <w:r w:rsidR="00FA4357">
        <w:t xml:space="preserve"> transmitted. And one of PUCCH Cell</w:t>
      </w:r>
      <w:r w:rsidR="00EC3DBD">
        <w:t xml:space="preserve"> should be</w:t>
      </w:r>
      <w:r w:rsidR="00FA4357">
        <w:t xml:space="preserve"> the legacy primary cell, on which a UE perform Random Access, paging/system information reception, etc. The scheduling and HARQ-ACK feedback timings and procedures can be treated independently within each aggregation group. </w:t>
      </w:r>
      <w:r w:rsidR="007E5C4B">
        <w:t>And t</w:t>
      </w:r>
      <w:r w:rsidR="00FA4357">
        <w:t>he scheduling timing and HARQ-ACK timing can simply follow Rel-11/12 principles within each group, i.e., reference timing is based on PUCCH Cell.</w:t>
      </w:r>
    </w:p>
    <w:p w:rsidR="008B6592" w:rsidRDefault="007E5C4B" w:rsidP="006B7159">
      <w:pPr>
        <w:spacing w:after="120"/>
        <w:jc w:val="both"/>
      </w:pPr>
      <w:r>
        <w:t xml:space="preserve">With a smaller number of CCs in a group, PUCCH format 3 may be applied to feedback HARQ-ACK bits on the PUCCH Cell in the group. </w:t>
      </w:r>
      <w:r w:rsidR="00BF5084">
        <w:t>However, the UL coverage when there are multiple PUCCH</w:t>
      </w:r>
      <w:r w:rsidR="007F7678">
        <w:t xml:space="preserve"> on different CCs</w:t>
      </w:r>
      <w:r w:rsidR="00BF5084">
        <w:t xml:space="preserve"> should be carefully studied. </w:t>
      </w:r>
      <w:r w:rsidR="008B6592">
        <w:t>In case there is a large number of CCs in one group</w:t>
      </w:r>
      <w:r>
        <w:t xml:space="preserve"> </w:t>
      </w:r>
      <w:r w:rsidR="00250334">
        <w:t>and the HARQ-ACK feedback</w:t>
      </w:r>
      <w:r>
        <w:t xml:space="preserve"> </w:t>
      </w:r>
      <w:r w:rsidR="00250334">
        <w:t xml:space="preserve">exceeds the </w:t>
      </w:r>
      <w:r w:rsidR="00BF5084">
        <w:t xml:space="preserve">maximum </w:t>
      </w:r>
      <w:r w:rsidR="00250334">
        <w:t>capability of</w:t>
      </w:r>
      <w:r>
        <w:t xml:space="preserve"> PUCCH format 3</w:t>
      </w:r>
      <w:r w:rsidR="008B6592">
        <w:t xml:space="preserve">, the enhancements for a single UL CC discussed in </w:t>
      </w:r>
      <w:r w:rsidR="008B6592">
        <w:fldChar w:fldCharType="begin"/>
      </w:r>
      <w:r w:rsidR="008B6592">
        <w:instrText xml:space="preserve"> REF _Ref410219919 \r \h </w:instrText>
      </w:r>
      <w:r>
        <w:instrText xml:space="preserve"> \* MERGEFORMAT </w:instrText>
      </w:r>
      <w:r w:rsidR="008B6592">
        <w:fldChar w:fldCharType="separate"/>
      </w:r>
      <w:r w:rsidR="008B6592">
        <w:t>2.1.1</w:t>
      </w:r>
      <w:r w:rsidR="008B6592">
        <w:fldChar w:fldCharType="end"/>
      </w:r>
      <w:r w:rsidR="008B6592">
        <w:t xml:space="preserve"> </w:t>
      </w:r>
      <w:r w:rsidR="00287C48">
        <w:t xml:space="preserve">shall </w:t>
      </w:r>
      <w:r w:rsidR="008B6592">
        <w:t xml:space="preserve">be </w:t>
      </w:r>
      <w:r w:rsidR="00287C48">
        <w:t xml:space="preserve">studied and </w:t>
      </w:r>
      <w:r w:rsidR="008B6592">
        <w:t>applied.</w:t>
      </w:r>
    </w:p>
    <w:p w:rsidR="008B6592" w:rsidRPr="006B7159" w:rsidRDefault="008B6592" w:rsidP="007E5C4B">
      <w:pPr>
        <w:spacing w:after="120"/>
        <w:jc w:val="both"/>
        <w:rPr>
          <w:b/>
        </w:rPr>
      </w:pPr>
      <w:r w:rsidRPr="006B7159">
        <w:rPr>
          <w:b/>
        </w:rPr>
        <w:t>Observation:</w:t>
      </w:r>
    </w:p>
    <w:p w:rsidR="00500AC4" w:rsidRDefault="008B6592" w:rsidP="006B7159">
      <w:pPr>
        <w:pStyle w:val="ListParagraph"/>
        <w:numPr>
          <w:ilvl w:val="0"/>
          <w:numId w:val="19"/>
        </w:numPr>
        <w:spacing w:after="120"/>
        <w:jc w:val="both"/>
        <w:rPr>
          <w:b/>
        </w:rPr>
      </w:pPr>
      <w:r w:rsidRPr="006B7159">
        <w:rPr>
          <w:b/>
        </w:rPr>
        <w:t>Carrier grouping can be applied for UCI on multiple UL CCs. It can be configured that within one aggregation group, there is a carrier allocated as PUCCH Cell, on which PUCCH is transmitted.</w:t>
      </w:r>
      <w:r w:rsidR="00BF5084" w:rsidRPr="006B7159">
        <w:rPr>
          <w:b/>
        </w:rPr>
        <w:t xml:space="preserve"> </w:t>
      </w:r>
    </w:p>
    <w:p w:rsidR="008B6592" w:rsidRPr="006B7159" w:rsidRDefault="00263985" w:rsidP="006B7159">
      <w:pPr>
        <w:pStyle w:val="ListParagraph"/>
        <w:numPr>
          <w:ilvl w:val="0"/>
          <w:numId w:val="19"/>
        </w:numPr>
        <w:spacing w:after="120"/>
        <w:jc w:val="both"/>
        <w:rPr>
          <w:b/>
        </w:rPr>
      </w:pPr>
      <w:r w:rsidRPr="006B7159">
        <w:rPr>
          <w:b/>
        </w:rPr>
        <w:t xml:space="preserve">The </w:t>
      </w:r>
      <w:r w:rsidR="00BF5084" w:rsidRPr="006B7159">
        <w:rPr>
          <w:b/>
        </w:rPr>
        <w:t>UL coverage when there are multiple PUCCH</w:t>
      </w:r>
      <w:r w:rsidR="007F7678" w:rsidRPr="006B7159">
        <w:rPr>
          <w:b/>
        </w:rPr>
        <w:t xml:space="preserve"> on different CCs</w:t>
      </w:r>
      <w:r w:rsidR="00BF5084" w:rsidRPr="006B7159">
        <w:rPr>
          <w:b/>
        </w:rPr>
        <w:t xml:space="preserve"> should be studied.</w:t>
      </w:r>
    </w:p>
    <w:p w:rsidR="0010269E" w:rsidRDefault="0010269E" w:rsidP="006B7159">
      <w:pPr>
        <w:pStyle w:val="Heading2"/>
        <w:jc w:val="both"/>
      </w:pPr>
      <w:r>
        <w:t>UCI on PUSCH</w:t>
      </w:r>
    </w:p>
    <w:p w:rsidR="008A2613" w:rsidRDefault="0010269E" w:rsidP="006B7159">
      <w:pPr>
        <w:pStyle w:val="Heading3"/>
        <w:jc w:val="both"/>
      </w:pPr>
      <w:bookmarkStart w:id="6" w:name="_Ref410313361"/>
      <w:r>
        <w:t>UCI on single UL CC</w:t>
      </w:r>
      <w:bookmarkEnd w:id="6"/>
    </w:p>
    <w:p w:rsidR="007E5C4B" w:rsidRDefault="005C00D0" w:rsidP="007E5C4B">
      <w:pPr>
        <w:spacing w:after="120"/>
        <w:jc w:val="both"/>
      </w:pPr>
      <w:r>
        <w:t xml:space="preserve">As discussed earlier, </w:t>
      </w:r>
      <w:r>
        <w:rPr>
          <w:noProof/>
        </w:rPr>
        <w:t>the eNB utilises a large number of DL SCells only if the eNB has large amount of DL data to transmit to the UE.</w:t>
      </w:r>
      <w:r>
        <w:t xml:space="preserve"> It is very likely that there will also be UL data (e.g. TCP ACK) w</w:t>
      </w:r>
      <w:r w:rsidR="0054510F">
        <w:t xml:space="preserve">hen aggregating </w:t>
      </w:r>
      <w:r>
        <w:t xml:space="preserve">many DL CCs. </w:t>
      </w:r>
      <w:r w:rsidR="0054510F">
        <w:t>Hence</w:t>
      </w:r>
      <w:r>
        <w:t xml:space="preserve">, multiplexing UCI on PUSCH is deemed to be a </w:t>
      </w:r>
      <w:r w:rsidR="0054510F">
        <w:t>common user case.</w:t>
      </w:r>
      <w:r>
        <w:t xml:space="preserve"> </w:t>
      </w:r>
    </w:p>
    <w:p w:rsidR="00746E85" w:rsidRPr="0054510F" w:rsidRDefault="0087559A" w:rsidP="007E5C4B">
      <w:pPr>
        <w:spacing w:after="120"/>
        <w:jc w:val="both"/>
      </w:pPr>
      <w:r>
        <w:t xml:space="preserve">How UCI is handled need to be separated into a discussion </w:t>
      </w:r>
      <w:r w:rsidR="006E47A1">
        <w:t xml:space="preserve">on </w:t>
      </w:r>
      <w:r>
        <w:t>how aperiodic CSI reports and HARQ-ACK is handled. For the HARQ-ACK feedback it is similar as for the PUCCH design</w:t>
      </w:r>
      <w:r w:rsidR="007E5C4B">
        <w:t xml:space="preserve"> so that</w:t>
      </w:r>
      <w:r>
        <w:t xml:space="preserve"> sufficient </w:t>
      </w:r>
      <w:r w:rsidR="00500AC4">
        <w:t>coverage needs to be</w:t>
      </w:r>
      <w:r>
        <w:t xml:space="preserve"> achieved. The aperiodic CSI reports are large in size and when multiplexing many more carriers there are several aspects that need to be considered. Firstly</w:t>
      </w:r>
      <w:r w:rsidR="00500AC4">
        <w:t>,</w:t>
      </w:r>
      <w:r>
        <w:t xml:space="preserve"> combining aperiodic CSI from 32 carriers into a single PUSCH with convolutional code is not an optimal design choice in terms of coding method due </w:t>
      </w:r>
      <w:r w:rsidR="00500AC4">
        <w:t xml:space="preserve">to </w:t>
      </w:r>
      <w:r>
        <w:t>that the number of bits to transmit is very large. Secondly</w:t>
      </w:r>
      <w:r w:rsidR="00500AC4">
        <w:t>,</w:t>
      </w:r>
      <w:r>
        <w:t xml:space="preserve"> the vast number of bits will potentially limit the</w:t>
      </w:r>
      <w:r w:rsidR="00BF5084">
        <w:t xml:space="preserve"> UL</w:t>
      </w:r>
      <w:r>
        <w:t xml:space="preserve"> coverage of the report. Before studying methods to compress the aperiodic CSI reports it is hence fruitful to </w:t>
      </w:r>
      <w:r w:rsidR="00E168E4">
        <w:t>conduct</w:t>
      </w:r>
      <w:r>
        <w:t xml:space="preserve"> a study on what the corresponding coverage would be for an aperiodic CSI reports for 32 carriers are. </w:t>
      </w:r>
    </w:p>
    <w:p w:rsidR="00A20B0B" w:rsidRPr="00500AC4" w:rsidRDefault="00A20B0B" w:rsidP="006B7159">
      <w:pPr>
        <w:spacing w:after="120"/>
        <w:jc w:val="both"/>
        <w:rPr>
          <w:b/>
        </w:rPr>
      </w:pPr>
      <w:r w:rsidRPr="00500AC4">
        <w:rPr>
          <w:b/>
        </w:rPr>
        <w:t>Proposal</w:t>
      </w:r>
      <w:r w:rsidR="007F7678" w:rsidRPr="00500AC4">
        <w:rPr>
          <w:b/>
        </w:rPr>
        <w:t>:</w:t>
      </w:r>
    </w:p>
    <w:p w:rsidR="00A20B0B" w:rsidRPr="00500AC4" w:rsidRDefault="00A20B0B" w:rsidP="007E5C4B">
      <w:pPr>
        <w:pStyle w:val="ListParagraph"/>
        <w:numPr>
          <w:ilvl w:val="0"/>
          <w:numId w:val="16"/>
        </w:numPr>
        <w:spacing w:after="120"/>
        <w:jc w:val="both"/>
        <w:rPr>
          <w:b/>
        </w:rPr>
      </w:pPr>
      <w:r w:rsidRPr="00500AC4">
        <w:rPr>
          <w:b/>
        </w:rPr>
        <w:t>Study the UL coverage of HARQ-ACK and aperiodic CSI for 32 carriers</w:t>
      </w:r>
      <w:r w:rsidR="007F7678" w:rsidRPr="00500AC4">
        <w:rPr>
          <w:b/>
        </w:rPr>
        <w:t xml:space="preserve"> on PUSCH</w:t>
      </w:r>
      <w:r w:rsidR="00BF5084" w:rsidRPr="00500AC4">
        <w:rPr>
          <w:b/>
        </w:rPr>
        <w:t>.</w:t>
      </w:r>
    </w:p>
    <w:p w:rsidR="001027CB" w:rsidRDefault="0010269E" w:rsidP="006B7159">
      <w:pPr>
        <w:pStyle w:val="Heading3"/>
        <w:jc w:val="both"/>
      </w:pPr>
      <w:r>
        <w:t>UCI on multiple UL CCs</w:t>
      </w:r>
    </w:p>
    <w:p w:rsidR="003F0D60" w:rsidRDefault="00EF7C8F" w:rsidP="007E5C4B">
      <w:pPr>
        <w:spacing w:after="120"/>
        <w:jc w:val="both"/>
      </w:pPr>
      <w:r>
        <w:t xml:space="preserve">When there are multiple UL CCs available, </w:t>
      </w:r>
      <w:r w:rsidR="00E73F98">
        <w:t>one option could be</w:t>
      </w:r>
      <w:r>
        <w:t xml:space="preserve"> to apply carrier grouping so that UCI bits for carriers within one group are feedback on a UL CC in this group.</w:t>
      </w:r>
      <w:r w:rsidR="00AA2C51">
        <w:t xml:space="preserve"> The UL cove</w:t>
      </w:r>
      <w:r w:rsidR="00263985">
        <w:t>rage when there are multiple PUS</w:t>
      </w:r>
      <w:r w:rsidR="00AA2C51">
        <w:t xml:space="preserve">CH on different CCs should be studied. </w:t>
      </w:r>
      <w:r w:rsidR="005364C0">
        <w:t xml:space="preserve"> In case there is a large number of CCs in one group and the UCI feedback exceeds the maximum capability, the enhancements for a single UL CC discussed in </w:t>
      </w:r>
      <w:r w:rsidR="005364C0">
        <w:fldChar w:fldCharType="begin"/>
      </w:r>
      <w:r w:rsidR="005364C0">
        <w:instrText xml:space="preserve"> REF _Ref410313361 \r \h </w:instrText>
      </w:r>
      <w:r w:rsidR="005364C0">
        <w:fldChar w:fldCharType="separate"/>
      </w:r>
      <w:r w:rsidR="005364C0">
        <w:t>2.2.1</w:t>
      </w:r>
      <w:r w:rsidR="005364C0">
        <w:fldChar w:fldCharType="end"/>
      </w:r>
      <w:r w:rsidR="005364C0">
        <w:t xml:space="preserve"> shall be studied and applied</w:t>
      </w:r>
      <w:r w:rsidR="00AA2C51">
        <w:t>.</w:t>
      </w:r>
    </w:p>
    <w:p w:rsidR="003F0D60" w:rsidRPr="00500AC4" w:rsidRDefault="003F0D60" w:rsidP="003F0D60">
      <w:pPr>
        <w:spacing w:after="120"/>
        <w:jc w:val="both"/>
        <w:rPr>
          <w:b/>
        </w:rPr>
      </w:pPr>
      <w:r w:rsidRPr="00500AC4">
        <w:rPr>
          <w:b/>
        </w:rPr>
        <w:t>Observation:</w:t>
      </w:r>
    </w:p>
    <w:p w:rsidR="003F0D60" w:rsidRPr="00500AC4" w:rsidRDefault="003F0D60" w:rsidP="003F0D60">
      <w:pPr>
        <w:pStyle w:val="ListParagraph"/>
        <w:numPr>
          <w:ilvl w:val="0"/>
          <w:numId w:val="19"/>
        </w:numPr>
        <w:spacing w:after="120"/>
        <w:jc w:val="both"/>
        <w:rPr>
          <w:b/>
        </w:rPr>
      </w:pPr>
      <w:r w:rsidRPr="00500AC4">
        <w:rPr>
          <w:b/>
        </w:rPr>
        <w:t>The UL coverage when there are multiple PUSCH on different CCs should be studied.</w:t>
      </w:r>
    </w:p>
    <w:p w:rsidR="00D80C07" w:rsidRDefault="00D80C07" w:rsidP="007E5C4B">
      <w:pPr>
        <w:spacing w:after="120"/>
        <w:jc w:val="both"/>
      </w:pPr>
    </w:p>
    <w:p w:rsidR="00533F97" w:rsidRDefault="00533F97" w:rsidP="006B7159">
      <w:pPr>
        <w:pStyle w:val="Heading1"/>
        <w:jc w:val="both"/>
      </w:pPr>
      <w:r>
        <w:lastRenderedPageBreak/>
        <w:t>Conclusion</w:t>
      </w:r>
    </w:p>
    <w:p w:rsidR="006E454C" w:rsidRDefault="006E454C" w:rsidP="007E5C4B">
      <w:pPr>
        <w:keepNext/>
        <w:spacing w:after="120"/>
        <w:jc w:val="both"/>
      </w:pPr>
      <w:r>
        <w:t xml:space="preserve">In this contribution, we discussed possible enhancements for UL control signaling and made the following </w:t>
      </w:r>
      <w:r w:rsidR="00500AC4">
        <w:t xml:space="preserve">proposals and </w:t>
      </w:r>
      <w:r>
        <w:t>observations:</w:t>
      </w:r>
    </w:p>
    <w:p w:rsidR="00500AC4" w:rsidRPr="006B7159" w:rsidRDefault="00500AC4" w:rsidP="00500AC4">
      <w:pPr>
        <w:spacing w:after="120"/>
        <w:jc w:val="both"/>
        <w:rPr>
          <w:b/>
        </w:rPr>
      </w:pPr>
      <w:r w:rsidRPr="006B7159">
        <w:rPr>
          <w:b/>
        </w:rPr>
        <w:t>Observation:</w:t>
      </w:r>
    </w:p>
    <w:p w:rsidR="00500AC4" w:rsidRPr="006B7159" w:rsidRDefault="00500AC4" w:rsidP="00500AC4">
      <w:pPr>
        <w:pStyle w:val="ListParagraph"/>
        <w:numPr>
          <w:ilvl w:val="0"/>
          <w:numId w:val="15"/>
        </w:numPr>
        <w:spacing w:after="120"/>
        <w:jc w:val="both"/>
        <w:rPr>
          <w:b/>
        </w:rPr>
      </w:pPr>
      <w:r w:rsidRPr="006B7159">
        <w:rPr>
          <w:b/>
        </w:rPr>
        <w:t xml:space="preserve">Enhancements to HARQ-ACK for CA with a large number of DL CCs are needed. Options include using PUCCH format 3 on multiple PRB pairs, and/or using carrier grouping and HARQ-ACK bundling. </w:t>
      </w:r>
    </w:p>
    <w:p w:rsidR="00500AC4" w:rsidRDefault="00500AC4" w:rsidP="00500AC4">
      <w:pPr>
        <w:pStyle w:val="ListParagraph"/>
        <w:numPr>
          <w:ilvl w:val="0"/>
          <w:numId w:val="15"/>
        </w:numPr>
        <w:spacing w:after="120"/>
        <w:jc w:val="both"/>
        <w:rPr>
          <w:b/>
        </w:rPr>
      </w:pPr>
      <w:r w:rsidRPr="006B7159">
        <w:rPr>
          <w:b/>
        </w:rPr>
        <w:t>It is not necessary to enhance the periodic CSI for CA with a large number of DL CCs.</w:t>
      </w:r>
    </w:p>
    <w:p w:rsidR="00500AC4" w:rsidRDefault="00500AC4" w:rsidP="00500AC4">
      <w:pPr>
        <w:pStyle w:val="ListParagraph"/>
        <w:numPr>
          <w:ilvl w:val="0"/>
          <w:numId w:val="15"/>
        </w:numPr>
        <w:spacing w:after="120"/>
        <w:jc w:val="both"/>
        <w:rPr>
          <w:b/>
        </w:rPr>
      </w:pPr>
      <w:r w:rsidRPr="006B7159">
        <w:rPr>
          <w:b/>
        </w:rPr>
        <w:t xml:space="preserve">Carrier grouping can be applied for UCI on multiple UL CCs. It can be configured that within one aggregation group, there is a carrier allocated as PUCCH Cell, on which PUCCH is transmitted. </w:t>
      </w:r>
    </w:p>
    <w:p w:rsidR="00500AC4" w:rsidRPr="006B7159" w:rsidRDefault="00500AC4" w:rsidP="00500AC4">
      <w:pPr>
        <w:pStyle w:val="ListParagraph"/>
        <w:numPr>
          <w:ilvl w:val="0"/>
          <w:numId w:val="15"/>
        </w:numPr>
        <w:spacing w:after="120"/>
        <w:jc w:val="both"/>
        <w:rPr>
          <w:b/>
        </w:rPr>
      </w:pPr>
      <w:r w:rsidRPr="006B7159">
        <w:rPr>
          <w:b/>
        </w:rPr>
        <w:t>The UL coverage when there are multiple PUCCH on different CCs should be studied.</w:t>
      </w:r>
    </w:p>
    <w:p w:rsidR="00500AC4" w:rsidRPr="00500AC4" w:rsidRDefault="00500AC4" w:rsidP="00500AC4">
      <w:pPr>
        <w:pStyle w:val="ListParagraph"/>
        <w:numPr>
          <w:ilvl w:val="0"/>
          <w:numId w:val="15"/>
        </w:numPr>
        <w:spacing w:after="120"/>
        <w:jc w:val="both"/>
        <w:rPr>
          <w:b/>
        </w:rPr>
      </w:pPr>
      <w:r w:rsidRPr="00500AC4">
        <w:rPr>
          <w:b/>
        </w:rPr>
        <w:t>The UL coverage when there are multiple PUSCH on different CCs should be studied.</w:t>
      </w:r>
    </w:p>
    <w:p w:rsidR="00500AC4" w:rsidRPr="006B7159" w:rsidRDefault="00500AC4" w:rsidP="00500AC4">
      <w:pPr>
        <w:spacing w:after="120"/>
        <w:jc w:val="both"/>
        <w:rPr>
          <w:b/>
        </w:rPr>
      </w:pPr>
      <w:r w:rsidRPr="006B7159">
        <w:rPr>
          <w:b/>
        </w:rPr>
        <w:t>Proposal:</w:t>
      </w:r>
    </w:p>
    <w:p w:rsidR="00500AC4" w:rsidRPr="006B7159" w:rsidRDefault="00500AC4" w:rsidP="00500AC4">
      <w:pPr>
        <w:pStyle w:val="ListParagraph"/>
        <w:numPr>
          <w:ilvl w:val="0"/>
          <w:numId w:val="15"/>
        </w:numPr>
        <w:spacing w:after="120"/>
        <w:jc w:val="both"/>
        <w:rPr>
          <w:b/>
        </w:rPr>
      </w:pPr>
      <w:r w:rsidRPr="006B7159">
        <w:rPr>
          <w:b/>
        </w:rPr>
        <w:t xml:space="preserve">Determine what SNR DL CA shall be supported for. </w:t>
      </w:r>
    </w:p>
    <w:p w:rsidR="00500AC4" w:rsidRPr="006B7159" w:rsidRDefault="00500AC4" w:rsidP="00500AC4">
      <w:pPr>
        <w:pStyle w:val="ListParagraph"/>
        <w:numPr>
          <w:ilvl w:val="0"/>
          <w:numId w:val="15"/>
        </w:numPr>
        <w:spacing w:after="120"/>
        <w:jc w:val="both"/>
        <w:rPr>
          <w:b/>
        </w:rPr>
      </w:pPr>
      <w:r w:rsidRPr="006B7159">
        <w:rPr>
          <w:b/>
        </w:rPr>
        <w:t>Further study the enhancements on HARQ-ACK on PUCCH based on the determined SNR.</w:t>
      </w:r>
    </w:p>
    <w:p w:rsidR="00500AC4" w:rsidRPr="00500AC4" w:rsidRDefault="00500AC4" w:rsidP="00500AC4">
      <w:pPr>
        <w:pStyle w:val="ListParagraph"/>
        <w:numPr>
          <w:ilvl w:val="0"/>
          <w:numId w:val="15"/>
        </w:numPr>
        <w:spacing w:after="120"/>
        <w:jc w:val="both"/>
        <w:rPr>
          <w:b/>
        </w:rPr>
      </w:pPr>
      <w:r w:rsidRPr="00500AC4">
        <w:rPr>
          <w:b/>
        </w:rPr>
        <w:t>Study the UL coverage of HARQ-ACK and aperiodic CSI for 32 carriers on PUSCH.</w:t>
      </w:r>
    </w:p>
    <w:p w:rsidR="00533F97" w:rsidRDefault="00533F97" w:rsidP="006B7159">
      <w:pPr>
        <w:pStyle w:val="Heading1"/>
        <w:jc w:val="both"/>
        <w:rPr>
          <w:lang w:eastAsia="ja-JP"/>
        </w:rPr>
      </w:pPr>
      <w:r w:rsidRPr="00AA4666">
        <w:rPr>
          <w:lang w:eastAsia="ja-JP"/>
        </w:rPr>
        <w:t>References</w:t>
      </w:r>
    </w:p>
    <w:p w:rsidR="00533F97" w:rsidRPr="005D4488" w:rsidRDefault="00533F97" w:rsidP="007E5C4B">
      <w:pPr>
        <w:pStyle w:val="references"/>
        <w:spacing w:after="120" w:line="240" w:lineRule="auto"/>
        <w:rPr>
          <w:b/>
          <w:szCs w:val="20"/>
          <w:lang w:val="en-GB"/>
        </w:rPr>
      </w:pPr>
      <w:bookmarkStart w:id="7" w:name="_Ref399492251"/>
      <w:bookmarkStart w:id="8" w:name="_Ref409528764"/>
      <w:r w:rsidRPr="00A428B8">
        <w:rPr>
          <w:sz w:val="20"/>
          <w:szCs w:val="20"/>
        </w:rPr>
        <w:t>RP-14</w:t>
      </w:r>
      <w:r w:rsidR="0012736F">
        <w:rPr>
          <w:sz w:val="20"/>
          <w:szCs w:val="20"/>
        </w:rPr>
        <w:t>2286</w:t>
      </w:r>
      <w:r w:rsidRPr="00A428B8">
        <w:rPr>
          <w:sz w:val="20"/>
          <w:szCs w:val="20"/>
        </w:rPr>
        <w:t>, “</w:t>
      </w:r>
      <w:bookmarkEnd w:id="7"/>
      <w:r w:rsidR="0012736F" w:rsidRPr="0012736F">
        <w:rPr>
          <w:sz w:val="20"/>
          <w:szCs w:val="20"/>
        </w:rPr>
        <w:t xml:space="preserve">New WI proposal: LTE Carrier Aggregation Enhancement Beyond 5 Carriers </w:t>
      </w:r>
      <w:r w:rsidRPr="0012736F">
        <w:rPr>
          <w:sz w:val="20"/>
          <w:szCs w:val="20"/>
        </w:rPr>
        <w:t>On the number of antenna columns”, RAN</w:t>
      </w:r>
      <w:r w:rsidR="0012736F">
        <w:rPr>
          <w:sz w:val="20"/>
          <w:szCs w:val="20"/>
        </w:rPr>
        <w:t>#66</w:t>
      </w:r>
      <w:r w:rsidRPr="0012736F">
        <w:rPr>
          <w:sz w:val="20"/>
          <w:szCs w:val="20"/>
        </w:rPr>
        <w:t xml:space="preserve">, </w:t>
      </w:r>
      <w:bookmarkEnd w:id="8"/>
    </w:p>
    <w:p w:rsidR="005D4488" w:rsidRDefault="00911949">
      <w:pPr>
        <w:pStyle w:val="references"/>
        <w:spacing w:after="120" w:line="240" w:lineRule="auto"/>
        <w:rPr>
          <w:sz w:val="20"/>
          <w:szCs w:val="20"/>
        </w:rPr>
      </w:pPr>
      <w:bookmarkStart w:id="9" w:name="_Ref409699007"/>
      <w:bookmarkStart w:id="10" w:name="_Ref410216260"/>
      <w:r w:rsidRPr="00D616F2">
        <w:rPr>
          <w:sz w:val="20"/>
          <w:szCs w:val="20"/>
        </w:rPr>
        <w:t>R1-</w:t>
      </w:r>
      <w:r w:rsidR="00D616F2" w:rsidRPr="00D616F2">
        <w:rPr>
          <w:sz w:val="20"/>
          <w:szCs w:val="20"/>
        </w:rPr>
        <w:t>105859</w:t>
      </w:r>
      <w:r w:rsidRPr="00D616F2">
        <w:rPr>
          <w:sz w:val="20"/>
          <w:szCs w:val="20"/>
        </w:rPr>
        <w:t>, “</w:t>
      </w:r>
      <w:r w:rsidR="00D616F2" w:rsidRPr="00D616F2">
        <w:rPr>
          <w:sz w:val="20"/>
          <w:szCs w:val="20"/>
        </w:rPr>
        <w:t>Power</w:t>
      </w:r>
      <w:r w:rsidR="00D616F2">
        <w:rPr>
          <w:sz w:val="20"/>
          <w:szCs w:val="20"/>
        </w:rPr>
        <w:t xml:space="preserve"> control for PUCCH format 3”, RAN1#63</w:t>
      </w:r>
      <w:r w:rsidRPr="00911949">
        <w:rPr>
          <w:sz w:val="20"/>
          <w:szCs w:val="20"/>
        </w:rPr>
        <w:t>, Ericsson</w:t>
      </w:r>
      <w:bookmarkEnd w:id="9"/>
      <w:r w:rsidR="00D616F2">
        <w:rPr>
          <w:sz w:val="20"/>
          <w:szCs w:val="20"/>
        </w:rPr>
        <w:t>, ST-Ericsson.</w:t>
      </w:r>
      <w:bookmarkEnd w:id="10"/>
    </w:p>
    <w:p w:rsidR="00D616F2" w:rsidRPr="00911949" w:rsidRDefault="00C3012E">
      <w:pPr>
        <w:pStyle w:val="references"/>
        <w:spacing w:after="120" w:line="240" w:lineRule="auto"/>
        <w:rPr>
          <w:sz w:val="20"/>
          <w:szCs w:val="20"/>
        </w:rPr>
      </w:pPr>
      <w:bookmarkStart w:id="11" w:name="_Ref410218941"/>
      <w:r w:rsidRPr="00C3012E">
        <w:rPr>
          <w:sz w:val="20"/>
          <w:szCs w:val="20"/>
        </w:rPr>
        <w:t>R1-150323</w:t>
      </w:r>
      <w:r w:rsidR="00496B81">
        <w:rPr>
          <w:sz w:val="20"/>
          <w:szCs w:val="20"/>
        </w:rPr>
        <w:t>, “DL control signaling enhancements for up to 32 CCs”, RAN1#80, Ericsson.</w:t>
      </w:r>
      <w:bookmarkEnd w:id="11"/>
    </w:p>
    <w:p w:rsidR="000E2141" w:rsidRPr="00911949" w:rsidRDefault="000E2141" w:rsidP="006B7159">
      <w:pPr>
        <w:jc w:val="both"/>
        <w:rPr>
          <w:lang w:val="en-GB"/>
        </w:rPr>
      </w:pPr>
    </w:p>
    <w:sectPr w:rsidR="000E2141" w:rsidRPr="00911949">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06A" w:rsidRDefault="00D4206A">
      <w:r>
        <w:separator/>
      </w:r>
    </w:p>
  </w:endnote>
  <w:endnote w:type="continuationSeparator" w:id="0">
    <w:p w:rsidR="00D4206A" w:rsidRDefault="00D4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06A" w:rsidRDefault="00D4206A">
      <w:r>
        <w:separator/>
      </w:r>
    </w:p>
  </w:footnote>
  <w:footnote w:type="continuationSeparator" w:id="0">
    <w:p w:rsidR="00D4206A" w:rsidRDefault="00D42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AAC" w:rsidRDefault="00D83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1420DC"/>
    <w:multiLevelType w:val="hybridMultilevel"/>
    <w:tmpl w:val="61E4F6C6"/>
    <w:lvl w:ilvl="0" w:tplc="356CBD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DD1529"/>
    <w:multiLevelType w:val="hybridMultilevel"/>
    <w:tmpl w:val="04B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63852"/>
    <w:multiLevelType w:val="hybridMultilevel"/>
    <w:tmpl w:val="E7903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0013A"/>
    <w:multiLevelType w:val="hybridMultilevel"/>
    <w:tmpl w:val="627C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405852"/>
    <w:multiLevelType w:val="hybridMultilevel"/>
    <w:tmpl w:val="04D22E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6266CB"/>
    <w:multiLevelType w:val="hybridMultilevel"/>
    <w:tmpl w:val="8E526552"/>
    <w:lvl w:ilvl="0" w:tplc="8C702FDE">
      <w:start w:val="1"/>
      <w:numFmt w:val="bullet"/>
      <w:lvlText w:val="–"/>
      <w:lvlJc w:val="left"/>
      <w:pPr>
        <w:tabs>
          <w:tab w:val="num" w:pos="720"/>
        </w:tabs>
        <w:ind w:left="720" w:hanging="360"/>
      </w:pPr>
      <w:rPr>
        <w:rFonts w:ascii="Ericsson Capital TT" w:hAnsi="Ericsson Capital TT" w:hint="default"/>
      </w:rPr>
    </w:lvl>
    <w:lvl w:ilvl="1" w:tplc="CFC8D7C6">
      <w:start w:val="1"/>
      <w:numFmt w:val="bullet"/>
      <w:lvlText w:val="–"/>
      <w:lvlJc w:val="left"/>
      <w:pPr>
        <w:tabs>
          <w:tab w:val="num" w:pos="1440"/>
        </w:tabs>
        <w:ind w:left="1440" w:hanging="360"/>
      </w:pPr>
      <w:rPr>
        <w:rFonts w:ascii="Ericsson Capital TT" w:hAnsi="Ericsson Capital TT" w:hint="default"/>
      </w:rPr>
    </w:lvl>
    <w:lvl w:ilvl="2" w:tplc="477EFA14">
      <w:start w:val="1815"/>
      <w:numFmt w:val="bullet"/>
      <w:lvlText w:val="›"/>
      <w:lvlJc w:val="left"/>
      <w:pPr>
        <w:tabs>
          <w:tab w:val="num" w:pos="2160"/>
        </w:tabs>
        <w:ind w:left="2160" w:hanging="360"/>
      </w:pPr>
      <w:rPr>
        <w:rFonts w:ascii="Ericsson Capital TT" w:hAnsi="Ericsson Capital TT" w:hint="default"/>
      </w:rPr>
    </w:lvl>
    <w:lvl w:ilvl="3" w:tplc="7AC8BEEC" w:tentative="1">
      <w:start w:val="1"/>
      <w:numFmt w:val="bullet"/>
      <w:lvlText w:val="–"/>
      <w:lvlJc w:val="left"/>
      <w:pPr>
        <w:tabs>
          <w:tab w:val="num" w:pos="2880"/>
        </w:tabs>
        <w:ind w:left="2880" w:hanging="360"/>
      </w:pPr>
      <w:rPr>
        <w:rFonts w:ascii="Ericsson Capital TT" w:hAnsi="Ericsson Capital TT" w:hint="default"/>
      </w:rPr>
    </w:lvl>
    <w:lvl w:ilvl="4" w:tplc="1D105802" w:tentative="1">
      <w:start w:val="1"/>
      <w:numFmt w:val="bullet"/>
      <w:lvlText w:val="–"/>
      <w:lvlJc w:val="left"/>
      <w:pPr>
        <w:tabs>
          <w:tab w:val="num" w:pos="3600"/>
        </w:tabs>
        <w:ind w:left="3600" w:hanging="360"/>
      </w:pPr>
      <w:rPr>
        <w:rFonts w:ascii="Ericsson Capital TT" w:hAnsi="Ericsson Capital TT" w:hint="default"/>
      </w:rPr>
    </w:lvl>
    <w:lvl w:ilvl="5" w:tplc="DE2E0370" w:tentative="1">
      <w:start w:val="1"/>
      <w:numFmt w:val="bullet"/>
      <w:lvlText w:val="–"/>
      <w:lvlJc w:val="left"/>
      <w:pPr>
        <w:tabs>
          <w:tab w:val="num" w:pos="4320"/>
        </w:tabs>
        <w:ind w:left="4320" w:hanging="360"/>
      </w:pPr>
      <w:rPr>
        <w:rFonts w:ascii="Ericsson Capital TT" w:hAnsi="Ericsson Capital TT" w:hint="default"/>
      </w:rPr>
    </w:lvl>
    <w:lvl w:ilvl="6" w:tplc="4FD40F80" w:tentative="1">
      <w:start w:val="1"/>
      <w:numFmt w:val="bullet"/>
      <w:lvlText w:val="–"/>
      <w:lvlJc w:val="left"/>
      <w:pPr>
        <w:tabs>
          <w:tab w:val="num" w:pos="5040"/>
        </w:tabs>
        <w:ind w:left="5040" w:hanging="360"/>
      </w:pPr>
      <w:rPr>
        <w:rFonts w:ascii="Ericsson Capital TT" w:hAnsi="Ericsson Capital TT" w:hint="default"/>
      </w:rPr>
    </w:lvl>
    <w:lvl w:ilvl="7" w:tplc="115E8C2A" w:tentative="1">
      <w:start w:val="1"/>
      <w:numFmt w:val="bullet"/>
      <w:lvlText w:val="–"/>
      <w:lvlJc w:val="left"/>
      <w:pPr>
        <w:tabs>
          <w:tab w:val="num" w:pos="5760"/>
        </w:tabs>
        <w:ind w:left="5760" w:hanging="360"/>
      </w:pPr>
      <w:rPr>
        <w:rFonts w:ascii="Ericsson Capital TT" w:hAnsi="Ericsson Capital TT" w:hint="default"/>
      </w:rPr>
    </w:lvl>
    <w:lvl w:ilvl="8" w:tplc="C1509B50"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3B634A5"/>
    <w:multiLevelType w:val="hybridMultilevel"/>
    <w:tmpl w:val="95B0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886BD1"/>
    <w:multiLevelType w:val="hybridMultilevel"/>
    <w:tmpl w:val="108A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3E54F7"/>
    <w:multiLevelType w:val="hybridMultilevel"/>
    <w:tmpl w:val="1ECA6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6B1B3134"/>
    <w:multiLevelType w:val="hybridMultilevel"/>
    <w:tmpl w:val="D466F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F972FB"/>
    <w:multiLevelType w:val="hybridMultilevel"/>
    <w:tmpl w:val="E1BC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3E6399"/>
    <w:multiLevelType w:val="hybridMultilevel"/>
    <w:tmpl w:val="5FCA4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3"/>
  </w:num>
  <w:num w:numId="4">
    <w:abstractNumId w:val="2"/>
  </w:num>
  <w:num w:numId="5">
    <w:abstractNumId w:val="5"/>
  </w:num>
  <w:num w:numId="6">
    <w:abstractNumId w:val="1"/>
  </w:num>
  <w:num w:numId="7">
    <w:abstractNumId w:val="0"/>
  </w:num>
  <w:num w:numId="8">
    <w:abstractNumId w:val="12"/>
  </w:num>
  <w:num w:numId="9">
    <w:abstractNumId w:val="12"/>
  </w:num>
  <w:num w:numId="10">
    <w:abstractNumId w:val="7"/>
  </w:num>
  <w:num w:numId="11">
    <w:abstractNumId w:val="8"/>
  </w:num>
  <w:num w:numId="12">
    <w:abstractNumId w:val="8"/>
  </w:num>
  <w:num w:numId="13">
    <w:abstractNumId w:val="13"/>
  </w:num>
  <w:num w:numId="14">
    <w:abstractNumId w:val="6"/>
  </w:num>
  <w:num w:numId="15">
    <w:abstractNumId w:val="14"/>
  </w:num>
  <w:num w:numId="16">
    <w:abstractNumId w:val="11"/>
  </w:num>
  <w:num w:numId="17">
    <w:abstractNumId w:val="9"/>
  </w:num>
  <w:num w:numId="18">
    <w:abstractNumId w:val="4"/>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A44"/>
    <w:rsid w:val="0003334A"/>
    <w:rsid w:val="00047662"/>
    <w:rsid w:val="00055EDA"/>
    <w:rsid w:val="00065434"/>
    <w:rsid w:val="000E0C2F"/>
    <w:rsid w:val="000E2141"/>
    <w:rsid w:val="000E3967"/>
    <w:rsid w:val="000F4086"/>
    <w:rsid w:val="0010269E"/>
    <w:rsid w:val="001027CB"/>
    <w:rsid w:val="00107913"/>
    <w:rsid w:val="00123763"/>
    <w:rsid w:val="00124FA1"/>
    <w:rsid w:val="0012736F"/>
    <w:rsid w:val="00143A58"/>
    <w:rsid w:val="001511D0"/>
    <w:rsid w:val="00167C09"/>
    <w:rsid w:val="001B7887"/>
    <w:rsid w:val="00202BB7"/>
    <w:rsid w:val="002265DB"/>
    <w:rsid w:val="00226C85"/>
    <w:rsid w:val="00227FF0"/>
    <w:rsid w:val="00250334"/>
    <w:rsid w:val="00261A39"/>
    <w:rsid w:val="00263985"/>
    <w:rsid w:val="00287C48"/>
    <w:rsid w:val="002D71F2"/>
    <w:rsid w:val="002F3323"/>
    <w:rsid w:val="00303260"/>
    <w:rsid w:val="00324E4C"/>
    <w:rsid w:val="0034449D"/>
    <w:rsid w:val="00375760"/>
    <w:rsid w:val="003919A1"/>
    <w:rsid w:val="003B77C4"/>
    <w:rsid w:val="003E02F4"/>
    <w:rsid w:val="003F0D60"/>
    <w:rsid w:val="00490481"/>
    <w:rsid w:val="00494A47"/>
    <w:rsid w:val="00496B81"/>
    <w:rsid w:val="004E5B0E"/>
    <w:rsid w:val="00500AC4"/>
    <w:rsid w:val="00500D95"/>
    <w:rsid w:val="00522B2E"/>
    <w:rsid w:val="00533F97"/>
    <w:rsid w:val="005364C0"/>
    <w:rsid w:val="0054510F"/>
    <w:rsid w:val="00595BC8"/>
    <w:rsid w:val="005B6A16"/>
    <w:rsid w:val="005C00D0"/>
    <w:rsid w:val="005D4488"/>
    <w:rsid w:val="005D5141"/>
    <w:rsid w:val="005F13A4"/>
    <w:rsid w:val="00612F02"/>
    <w:rsid w:val="006274A0"/>
    <w:rsid w:val="00661D11"/>
    <w:rsid w:val="00662CCB"/>
    <w:rsid w:val="00680703"/>
    <w:rsid w:val="006B7159"/>
    <w:rsid w:val="006D2EEB"/>
    <w:rsid w:val="006D4529"/>
    <w:rsid w:val="006E454C"/>
    <w:rsid w:val="006E47A1"/>
    <w:rsid w:val="007225D9"/>
    <w:rsid w:val="00722C4B"/>
    <w:rsid w:val="00746E85"/>
    <w:rsid w:val="00794BE9"/>
    <w:rsid w:val="007E5C4B"/>
    <w:rsid w:val="007F7678"/>
    <w:rsid w:val="00802782"/>
    <w:rsid w:val="00826D07"/>
    <w:rsid w:val="0087004D"/>
    <w:rsid w:val="0087559A"/>
    <w:rsid w:val="00877BD9"/>
    <w:rsid w:val="008A2613"/>
    <w:rsid w:val="008B6592"/>
    <w:rsid w:val="00911949"/>
    <w:rsid w:val="009363F4"/>
    <w:rsid w:val="00937C6B"/>
    <w:rsid w:val="009465F2"/>
    <w:rsid w:val="009C7CED"/>
    <w:rsid w:val="00A20B0B"/>
    <w:rsid w:val="00A565D7"/>
    <w:rsid w:val="00A7553A"/>
    <w:rsid w:val="00AA2C51"/>
    <w:rsid w:val="00AC58C7"/>
    <w:rsid w:val="00AC751D"/>
    <w:rsid w:val="00AF0360"/>
    <w:rsid w:val="00AF7EC5"/>
    <w:rsid w:val="00B3147C"/>
    <w:rsid w:val="00B31761"/>
    <w:rsid w:val="00B5043F"/>
    <w:rsid w:val="00B5539E"/>
    <w:rsid w:val="00B76B84"/>
    <w:rsid w:val="00BA188D"/>
    <w:rsid w:val="00BD0E16"/>
    <w:rsid w:val="00BD5608"/>
    <w:rsid w:val="00BD616F"/>
    <w:rsid w:val="00BF22AD"/>
    <w:rsid w:val="00BF5084"/>
    <w:rsid w:val="00BF58A2"/>
    <w:rsid w:val="00C00F54"/>
    <w:rsid w:val="00C3012E"/>
    <w:rsid w:val="00C5434E"/>
    <w:rsid w:val="00C924A3"/>
    <w:rsid w:val="00CB0DF6"/>
    <w:rsid w:val="00CD421C"/>
    <w:rsid w:val="00CF4B92"/>
    <w:rsid w:val="00D12632"/>
    <w:rsid w:val="00D4206A"/>
    <w:rsid w:val="00D46061"/>
    <w:rsid w:val="00D55FFF"/>
    <w:rsid w:val="00D616F2"/>
    <w:rsid w:val="00D80C07"/>
    <w:rsid w:val="00D83AAC"/>
    <w:rsid w:val="00E168E4"/>
    <w:rsid w:val="00E3666A"/>
    <w:rsid w:val="00E70FE0"/>
    <w:rsid w:val="00E73F98"/>
    <w:rsid w:val="00E9505B"/>
    <w:rsid w:val="00EA0CF0"/>
    <w:rsid w:val="00EB1A8B"/>
    <w:rsid w:val="00EC3DBD"/>
    <w:rsid w:val="00EF7C8F"/>
    <w:rsid w:val="00F4495F"/>
    <w:rsid w:val="00F52A44"/>
    <w:rsid w:val="00F7349B"/>
    <w:rsid w:val="00FA4357"/>
    <w:rsid w:val="00FA79E8"/>
    <w:rsid w:val="00FF5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9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1"/>
    <w:qFormat/>
    <w:rsid w:val="00533F97"/>
    <w:pPr>
      <w:keepNext/>
      <w:numPr>
        <w:numId w:val="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027CB"/>
    <w:pPr>
      <w:keepNext/>
      <w:numPr>
        <w:ilvl w:val="1"/>
        <w:numId w:val="2"/>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027CB"/>
    <w:pPr>
      <w:keepNext/>
      <w:numPr>
        <w:ilvl w:val="2"/>
        <w:numId w:val="2"/>
      </w:numPr>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33F97"/>
    <w:pPr>
      <w:keepNext/>
      <w:numPr>
        <w:ilvl w:val="3"/>
        <w:numId w:val="2"/>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33F97"/>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533F97"/>
    <w:pPr>
      <w:numPr>
        <w:ilvl w:val="5"/>
        <w:numId w:val="2"/>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533F97"/>
    <w:pPr>
      <w:numPr>
        <w:ilvl w:val="6"/>
        <w:numId w:val="2"/>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533F97"/>
    <w:pPr>
      <w:numPr>
        <w:ilvl w:val="7"/>
        <w:numId w:val="2"/>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533F97"/>
    <w:pPr>
      <w:numPr>
        <w:ilvl w:val="8"/>
        <w:numId w:val="2"/>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33F97"/>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027CB"/>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027CB"/>
    <w:rPr>
      <w:rFonts w:ascii="Arial" w:eastAsia="MS Mincho"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3F97"/>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semiHidden/>
    <w:rsid w:val="00533F97"/>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semiHidden/>
    <w:rsid w:val="00533F97"/>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rsid w:val="00533F97"/>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rsid w:val="00533F97"/>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rsid w:val="00533F97"/>
    <w:rPr>
      <w:rFonts w:ascii="Arial" w:eastAsia="Batang" w:hAnsi="Arial" w:cs="Arial"/>
      <w:lang w:val="en-GB"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533F97"/>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533F97"/>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33F9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3F97"/>
    <w:rPr>
      <w:rFonts w:ascii="Arial" w:eastAsia="MS Mincho" w:hAnsi="Arial" w:cs="Times New Roman"/>
      <w:b/>
      <w:sz w:val="20"/>
      <w:szCs w:val="24"/>
      <w:lang w:eastAsia="en-US"/>
    </w:rPr>
  </w:style>
  <w:style w:type="paragraph" w:customStyle="1" w:styleId="references">
    <w:name w:val="references"/>
    <w:rsid w:val="00533F97"/>
    <w:pPr>
      <w:numPr>
        <w:numId w:val="1"/>
      </w:numPr>
      <w:spacing w:after="50" w:line="180" w:lineRule="exact"/>
      <w:jc w:val="both"/>
    </w:pPr>
    <w:rPr>
      <w:rFonts w:ascii="Times New Roman" w:eastAsia="MS Mincho" w:hAnsi="Times New Roman" w:cs="Times New Roman"/>
      <w:noProof/>
      <w:sz w:val="16"/>
      <w:szCs w:val="16"/>
      <w:lang w:eastAsia="en-US"/>
    </w:rPr>
  </w:style>
  <w:style w:type="paragraph" w:styleId="Footer">
    <w:name w:val="footer"/>
    <w:basedOn w:val="Normal"/>
    <w:link w:val="FooterChar"/>
    <w:rsid w:val="00533F97"/>
    <w:pPr>
      <w:tabs>
        <w:tab w:val="center" w:pos="4680"/>
        <w:tab w:val="right" w:pos="9360"/>
      </w:tabs>
    </w:pPr>
  </w:style>
  <w:style w:type="character" w:customStyle="1" w:styleId="FooterChar">
    <w:name w:val="Footer Char"/>
    <w:basedOn w:val="DefaultParagraphFont"/>
    <w:link w:val="Footer"/>
    <w:rsid w:val="00533F97"/>
    <w:rPr>
      <w:rFonts w:ascii="Times New Roman" w:eastAsia="Times New Roman" w:hAnsi="Times New Roman" w:cs="Times New Roman"/>
      <w:sz w:val="20"/>
      <w:szCs w:val="24"/>
      <w:lang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33F97"/>
    <w:rPr>
      <w:rFonts w:ascii="Helvetica" w:eastAsia="MS Mincho" w:hAnsi="Helvetica" w:cs="Arial"/>
      <w:b/>
      <w:bCs/>
      <w:kern w:val="32"/>
      <w:sz w:val="28"/>
      <w:szCs w:val="32"/>
      <w:lang w:eastAsia="en-US"/>
    </w:rPr>
  </w:style>
  <w:style w:type="paragraph" w:styleId="ListParagraph">
    <w:name w:val="List Paragraph"/>
    <w:basedOn w:val="Normal"/>
    <w:uiPriority w:val="34"/>
    <w:qFormat/>
    <w:rsid w:val="00055EDA"/>
    <w:pPr>
      <w:ind w:left="720"/>
      <w:contextualSpacing/>
    </w:pPr>
  </w:style>
  <w:style w:type="paragraph" w:styleId="BalloonText">
    <w:name w:val="Balloon Text"/>
    <w:basedOn w:val="Normal"/>
    <w:link w:val="BalloonTextChar"/>
    <w:uiPriority w:val="99"/>
    <w:semiHidden/>
    <w:unhideWhenUsed/>
    <w:rsid w:val="00BD5608"/>
    <w:rPr>
      <w:rFonts w:ascii="Tahoma" w:hAnsi="Tahoma" w:cs="Tahoma"/>
      <w:sz w:val="16"/>
      <w:szCs w:val="16"/>
    </w:rPr>
  </w:style>
  <w:style w:type="character" w:customStyle="1" w:styleId="BalloonTextChar">
    <w:name w:val="Balloon Text Char"/>
    <w:basedOn w:val="DefaultParagraphFont"/>
    <w:link w:val="BalloonText"/>
    <w:uiPriority w:val="99"/>
    <w:semiHidden/>
    <w:rsid w:val="00BD5608"/>
    <w:rPr>
      <w:rFonts w:ascii="Tahoma" w:eastAsia="Times New Roman" w:hAnsi="Tahoma" w:cs="Tahoma"/>
      <w:sz w:val="16"/>
      <w:szCs w:val="16"/>
      <w:lang w:eastAsia="en-US"/>
    </w:rPr>
  </w:style>
  <w:style w:type="paragraph" w:styleId="Caption">
    <w:name w:val="caption"/>
    <w:basedOn w:val="Normal"/>
    <w:next w:val="Normal"/>
    <w:uiPriority w:val="35"/>
    <w:unhideWhenUsed/>
    <w:qFormat/>
    <w:rsid w:val="00490481"/>
    <w:pPr>
      <w:spacing w:after="200"/>
    </w:pPr>
    <w:rPr>
      <w:b/>
      <w:bCs/>
      <w:color w:val="4F81BD" w:themeColor="accent1"/>
      <w:sz w:val="18"/>
      <w:szCs w:val="18"/>
    </w:rPr>
  </w:style>
  <w:style w:type="paragraph" w:customStyle="1" w:styleId="IvDInstructiontext">
    <w:name w:val="IvD Instructiontext"/>
    <w:basedOn w:val="BodyText"/>
    <w:link w:val="IvDInstructiontextChar"/>
    <w:uiPriority w:val="99"/>
    <w:qFormat/>
    <w:rsid w:val="00BA188D"/>
    <w:pPr>
      <w:keepLines/>
      <w:tabs>
        <w:tab w:val="left" w:pos="2552"/>
        <w:tab w:val="left" w:pos="3856"/>
        <w:tab w:val="left" w:pos="5216"/>
        <w:tab w:val="left" w:pos="6464"/>
        <w:tab w:val="left" w:pos="7768"/>
        <w:tab w:val="left" w:pos="9072"/>
        <w:tab w:val="left" w:pos="9639"/>
      </w:tabs>
      <w:spacing w:before="240" w:after="0"/>
      <w:jc w:val="left"/>
    </w:pPr>
    <w:rPr>
      <w:rFonts w:ascii="Arial" w:eastAsiaTheme="minorEastAsia" w:hAnsi="Arial"/>
      <w:i/>
      <w:color w:val="7F7F7F" w:themeColor="text1" w:themeTint="80"/>
      <w:spacing w:val="2"/>
      <w:sz w:val="18"/>
      <w:szCs w:val="18"/>
    </w:rPr>
  </w:style>
  <w:style w:type="character" w:customStyle="1" w:styleId="IvDInstructiontextChar">
    <w:name w:val="IvD Instructiontext Char"/>
    <w:link w:val="IvDInstructiontext"/>
    <w:uiPriority w:val="99"/>
    <w:rsid w:val="00BA188D"/>
    <w:rPr>
      <w:rFonts w:ascii="Arial"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BA188D"/>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BA188D"/>
    <w:rPr>
      <w:rFonts w:ascii="Arial" w:eastAsia="MS Mincho" w:hAnsi="Arial" w:cs="Times New Roman"/>
      <w:spacing w:val="2"/>
      <w:sz w:val="20"/>
      <w:szCs w:val="20"/>
      <w:lang w:eastAsia="en-US"/>
    </w:rPr>
  </w:style>
  <w:style w:type="character" w:styleId="CommentReference">
    <w:name w:val="annotation reference"/>
    <w:basedOn w:val="DefaultParagraphFont"/>
    <w:uiPriority w:val="99"/>
    <w:semiHidden/>
    <w:unhideWhenUsed/>
    <w:rsid w:val="00EF7C8F"/>
    <w:rPr>
      <w:sz w:val="16"/>
      <w:szCs w:val="16"/>
    </w:rPr>
  </w:style>
  <w:style w:type="paragraph" w:styleId="CommentText">
    <w:name w:val="annotation text"/>
    <w:basedOn w:val="Normal"/>
    <w:link w:val="CommentTextChar"/>
    <w:uiPriority w:val="99"/>
    <w:semiHidden/>
    <w:unhideWhenUsed/>
    <w:rsid w:val="00EF7C8F"/>
    <w:rPr>
      <w:szCs w:val="20"/>
    </w:rPr>
  </w:style>
  <w:style w:type="character" w:customStyle="1" w:styleId="CommentTextChar">
    <w:name w:val="Comment Text Char"/>
    <w:basedOn w:val="DefaultParagraphFont"/>
    <w:link w:val="CommentText"/>
    <w:uiPriority w:val="99"/>
    <w:semiHidden/>
    <w:rsid w:val="00EF7C8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7C8F"/>
    <w:rPr>
      <w:b/>
      <w:bCs/>
    </w:rPr>
  </w:style>
  <w:style w:type="character" w:customStyle="1" w:styleId="CommentSubjectChar">
    <w:name w:val="Comment Subject Char"/>
    <w:basedOn w:val="CommentTextChar"/>
    <w:link w:val="CommentSubject"/>
    <w:uiPriority w:val="99"/>
    <w:semiHidden/>
    <w:rsid w:val="00EF7C8F"/>
    <w:rPr>
      <w:rFonts w:ascii="Times New Roman" w:eastAsia="Times New Roman" w:hAnsi="Times New Roman" w:cs="Times New Roman"/>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9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1"/>
    <w:qFormat/>
    <w:rsid w:val="00533F97"/>
    <w:pPr>
      <w:keepNext/>
      <w:numPr>
        <w:numId w:val="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027CB"/>
    <w:pPr>
      <w:keepNext/>
      <w:numPr>
        <w:ilvl w:val="1"/>
        <w:numId w:val="2"/>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027CB"/>
    <w:pPr>
      <w:keepNext/>
      <w:numPr>
        <w:ilvl w:val="2"/>
        <w:numId w:val="2"/>
      </w:numPr>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33F97"/>
    <w:pPr>
      <w:keepNext/>
      <w:numPr>
        <w:ilvl w:val="3"/>
        <w:numId w:val="2"/>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33F97"/>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533F97"/>
    <w:pPr>
      <w:numPr>
        <w:ilvl w:val="5"/>
        <w:numId w:val="2"/>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533F97"/>
    <w:pPr>
      <w:numPr>
        <w:ilvl w:val="6"/>
        <w:numId w:val="2"/>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533F97"/>
    <w:pPr>
      <w:numPr>
        <w:ilvl w:val="7"/>
        <w:numId w:val="2"/>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533F97"/>
    <w:pPr>
      <w:numPr>
        <w:ilvl w:val="8"/>
        <w:numId w:val="2"/>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33F97"/>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027CB"/>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027CB"/>
    <w:rPr>
      <w:rFonts w:ascii="Arial" w:eastAsia="MS Mincho"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3F97"/>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semiHidden/>
    <w:rsid w:val="00533F97"/>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semiHidden/>
    <w:rsid w:val="00533F97"/>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rsid w:val="00533F97"/>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rsid w:val="00533F97"/>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rsid w:val="00533F97"/>
    <w:rPr>
      <w:rFonts w:ascii="Arial" w:eastAsia="Batang" w:hAnsi="Arial" w:cs="Arial"/>
      <w:lang w:val="en-GB"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533F97"/>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533F97"/>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33F9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3F97"/>
    <w:rPr>
      <w:rFonts w:ascii="Arial" w:eastAsia="MS Mincho" w:hAnsi="Arial" w:cs="Times New Roman"/>
      <w:b/>
      <w:sz w:val="20"/>
      <w:szCs w:val="24"/>
      <w:lang w:eastAsia="en-US"/>
    </w:rPr>
  </w:style>
  <w:style w:type="paragraph" w:customStyle="1" w:styleId="references">
    <w:name w:val="references"/>
    <w:rsid w:val="00533F97"/>
    <w:pPr>
      <w:numPr>
        <w:numId w:val="1"/>
      </w:numPr>
      <w:spacing w:after="50" w:line="180" w:lineRule="exact"/>
      <w:jc w:val="both"/>
    </w:pPr>
    <w:rPr>
      <w:rFonts w:ascii="Times New Roman" w:eastAsia="MS Mincho" w:hAnsi="Times New Roman" w:cs="Times New Roman"/>
      <w:noProof/>
      <w:sz w:val="16"/>
      <w:szCs w:val="16"/>
      <w:lang w:eastAsia="en-US"/>
    </w:rPr>
  </w:style>
  <w:style w:type="paragraph" w:styleId="Footer">
    <w:name w:val="footer"/>
    <w:basedOn w:val="Normal"/>
    <w:link w:val="FooterChar"/>
    <w:rsid w:val="00533F97"/>
    <w:pPr>
      <w:tabs>
        <w:tab w:val="center" w:pos="4680"/>
        <w:tab w:val="right" w:pos="9360"/>
      </w:tabs>
    </w:pPr>
  </w:style>
  <w:style w:type="character" w:customStyle="1" w:styleId="FooterChar">
    <w:name w:val="Footer Char"/>
    <w:basedOn w:val="DefaultParagraphFont"/>
    <w:link w:val="Footer"/>
    <w:rsid w:val="00533F97"/>
    <w:rPr>
      <w:rFonts w:ascii="Times New Roman" w:eastAsia="Times New Roman" w:hAnsi="Times New Roman" w:cs="Times New Roman"/>
      <w:sz w:val="20"/>
      <w:szCs w:val="24"/>
      <w:lang w:eastAsia="en-US"/>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533F97"/>
    <w:rPr>
      <w:rFonts w:ascii="Helvetica" w:eastAsia="MS Mincho" w:hAnsi="Helvetica" w:cs="Arial"/>
      <w:b/>
      <w:bCs/>
      <w:kern w:val="32"/>
      <w:sz w:val="28"/>
      <w:szCs w:val="32"/>
      <w:lang w:eastAsia="en-US"/>
    </w:rPr>
  </w:style>
  <w:style w:type="paragraph" w:styleId="ListParagraph">
    <w:name w:val="List Paragraph"/>
    <w:basedOn w:val="Normal"/>
    <w:uiPriority w:val="34"/>
    <w:qFormat/>
    <w:rsid w:val="00055EDA"/>
    <w:pPr>
      <w:ind w:left="720"/>
      <w:contextualSpacing/>
    </w:pPr>
  </w:style>
  <w:style w:type="paragraph" w:styleId="BalloonText">
    <w:name w:val="Balloon Text"/>
    <w:basedOn w:val="Normal"/>
    <w:link w:val="BalloonTextChar"/>
    <w:uiPriority w:val="99"/>
    <w:semiHidden/>
    <w:unhideWhenUsed/>
    <w:rsid w:val="00BD5608"/>
    <w:rPr>
      <w:rFonts w:ascii="Tahoma" w:hAnsi="Tahoma" w:cs="Tahoma"/>
      <w:sz w:val="16"/>
      <w:szCs w:val="16"/>
    </w:rPr>
  </w:style>
  <w:style w:type="character" w:customStyle="1" w:styleId="BalloonTextChar">
    <w:name w:val="Balloon Text Char"/>
    <w:basedOn w:val="DefaultParagraphFont"/>
    <w:link w:val="BalloonText"/>
    <w:uiPriority w:val="99"/>
    <w:semiHidden/>
    <w:rsid w:val="00BD5608"/>
    <w:rPr>
      <w:rFonts w:ascii="Tahoma" w:eastAsia="Times New Roman" w:hAnsi="Tahoma" w:cs="Tahoma"/>
      <w:sz w:val="16"/>
      <w:szCs w:val="16"/>
      <w:lang w:eastAsia="en-US"/>
    </w:rPr>
  </w:style>
  <w:style w:type="paragraph" w:styleId="Caption">
    <w:name w:val="caption"/>
    <w:basedOn w:val="Normal"/>
    <w:next w:val="Normal"/>
    <w:uiPriority w:val="35"/>
    <w:unhideWhenUsed/>
    <w:qFormat/>
    <w:rsid w:val="00490481"/>
    <w:pPr>
      <w:spacing w:after="200"/>
    </w:pPr>
    <w:rPr>
      <w:b/>
      <w:bCs/>
      <w:color w:val="4F81BD" w:themeColor="accent1"/>
      <w:sz w:val="18"/>
      <w:szCs w:val="18"/>
    </w:rPr>
  </w:style>
  <w:style w:type="paragraph" w:customStyle="1" w:styleId="IvDInstructiontext">
    <w:name w:val="IvD Instructiontext"/>
    <w:basedOn w:val="BodyText"/>
    <w:link w:val="IvDInstructiontextChar"/>
    <w:uiPriority w:val="99"/>
    <w:qFormat/>
    <w:rsid w:val="00BA188D"/>
    <w:pPr>
      <w:keepLines/>
      <w:tabs>
        <w:tab w:val="left" w:pos="2552"/>
        <w:tab w:val="left" w:pos="3856"/>
        <w:tab w:val="left" w:pos="5216"/>
        <w:tab w:val="left" w:pos="6464"/>
        <w:tab w:val="left" w:pos="7768"/>
        <w:tab w:val="left" w:pos="9072"/>
        <w:tab w:val="left" w:pos="9639"/>
      </w:tabs>
      <w:spacing w:before="240" w:after="0"/>
      <w:jc w:val="left"/>
    </w:pPr>
    <w:rPr>
      <w:rFonts w:ascii="Arial" w:eastAsiaTheme="minorEastAsia" w:hAnsi="Arial"/>
      <w:i/>
      <w:color w:val="7F7F7F" w:themeColor="text1" w:themeTint="80"/>
      <w:spacing w:val="2"/>
      <w:sz w:val="18"/>
      <w:szCs w:val="18"/>
    </w:rPr>
  </w:style>
  <w:style w:type="character" w:customStyle="1" w:styleId="IvDInstructiontextChar">
    <w:name w:val="IvD Instructiontext Char"/>
    <w:link w:val="IvDInstructiontext"/>
    <w:uiPriority w:val="99"/>
    <w:rsid w:val="00BA188D"/>
    <w:rPr>
      <w:rFonts w:ascii="Arial"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BA188D"/>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BA188D"/>
    <w:rPr>
      <w:rFonts w:ascii="Arial" w:eastAsia="MS Mincho" w:hAnsi="Arial" w:cs="Times New Roman"/>
      <w:spacing w:val="2"/>
      <w:sz w:val="20"/>
      <w:szCs w:val="20"/>
      <w:lang w:eastAsia="en-US"/>
    </w:rPr>
  </w:style>
  <w:style w:type="character" w:styleId="CommentReference">
    <w:name w:val="annotation reference"/>
    <w:basedOn w:val="DefaultParagraphFont"/>
    <w:uiPriority w:val="99"/>
    <w:semiHidden/>
    <w:unhideWhenUsed/>
    <w:rsid w:val="00EF7C8F"/>
    <w:rPr>
      <w:sz w:val="16"/>
      <w:szCs w:val="16"/>
    </w:rPr>
  </w:style>
  <w:style w:type="paragraph" w:styleId="CommentText">
    <w:name w:val="annotation text"/>
    <w:basedOn w:val="Normal"/>
    <w:link w:val="CommentTextChar"/>
    <w:uiPriority w:val="99"/>
    <w:semiHidden/>
    <w:unhideWhenUsed/>
    <w:rsid w:val="00EF7C8F"/>
    <w:rPr>
      <w:szCs w:val="20"/>
    </w:rPr>
  </w:style>
  <w:style w:type="character" w:customStyle="1" w:styleId="CommentTextChar">
    <w:name w:val="Comment Text Char"/>
    <w:basedOn w:val="DefaultParagraphFont"/>
    <w:link w:val="CommentText"/>
    <w:uiPriority w:val="99"/>
    <w:semiHidden/>
    <w:rsid w:val="00EF7C8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7C8F"/>
    <w:rPr>
      <w:b/>
      <w:bCs/>
    </w:rPr>
  </w:style>
  <w:style w:type="character" w:customStyle="1" w:styleId="CommentSubjectChar">
    <w:name w:val="Comment Subject Char"/>
    <w:basedOn w:val="CommentTextChar"/>
    <w:link w:val="CommentSubject"/>
    <w:uiPriority w:val="99"/>
    <w:semiHidden/>
    <w:rsid w:val="00EF7C8F"/>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0070">
      <w:bodyDiv w:val="1"/>
      <w:marLeft w:val="0"/>
      <w:marRight w:val="0"/>
      <w:marTop w:val="0"/>
      <w:marBottom w:val="0"/>
      <w:divBdr>
        <w:top w:val="none" w:sz="0" w:space="0" w:color="auto"/>
        <w:left w:val="none" w:sz="0" w:space="0" w:color="auto"/>
        <w:bottom w:val="none" w:sz="0" w:space="0" w:color="auto"/>
        <w:right w:val="none" w:sz="0" w:space="0" w:color="auto"/>
      </w:divBdr>
      <w:divsChild>
        <w:div w:id="869341858">
          <w:marLeft w:val="835"/>
          <w:marRight w:val="0"/>
          <w:marTop w:val="62"/>
          <w:marBottom w:val="0"/>
          <w:divBdr>
            <w:top w:val="none" w:sz="0" w:space="0" w:color="auto"/>
            <w:left w:val="none" w:sz="0" w:space="0" w:color="auto"/>
            <w:bottom w:val="none" w:sz="0" w:space="0" w:color="auto"/>
            <w:right w:val="none" w:sz="0" w:space="0" w:color="auto"/>
          </w:divBdr>
        </w:div>
        <w:div w:id="893808787">
          <w:marLeft w:val="1411"/>
          <w:marRight w:val="0"/>
          <w:marTop w:val="62"/>
          <w:marBottom w:val="0"/>
          <w:divBdr>
            <w:top w:val="none" w:sz="0" w:space="0" w:color="auto"/>
            <w:left w:val="none" w:sz="0" w:space="0" w:color="auto"/>
            <w:bottom w:val="none" w:sz="0" w:space="0" w:color="auto"/>
            <w:right w:val="none" w:sz="0" w:space="0" w:color="auto"/>
          </w:divBdr>
        </w:div>
        <w:div w:id="1203052942">
          <w:marLeft w:val="1411"/>
          <w:marRight w:val="0"/>
          <w:marTop w:val="62"/>
          <w:marBottom w:val="0"/>
          <w:divBdr>
            <w:top w:val="none" w:sz="0" w:space="0" w:color="auto"/>
            <w:left w:val="none" w:sz="0" w:space="0" w:color="auto"/>
            <w:bottom w:val="none" w:sz="0" w:space="0" w:color="auto"/>
            <w:right w:val="none" w:sz="0" w:space="0" w:color="auto"/>
          </w:divBdr>
        </w:div>
        <w:div w:id="51203072">
          <w:marLeft w:val="835"/>
          <w:marRight w:val="0"/>
          <w:marTop w:val="62"/>
          <w:marBottom w:val="0"/>
          <w:divBdr>
            <w:top w:val="none" w:sz="0" w:space="0" w:color="auto"/>
            <w:left w:val="none" w:sz="0" w:space="0" w:color="auto"/>
            <w:bottom w:val="none" w:sz="0" w:space="0" w:color="auto"/>
            <w:right w:val="none" w:sz="0" w:space="0" w:color="auto"/>
          </w:divBdr>
        </w:div>
        <w:div w:id="212349206">
          <w:marLeft w:val="1411"/>
          <w:marRight w:val="0"/>
          <w:marTop w:val="62"/>
          <w:marBottom w:val="0"/>
          <w:divBdr>
            <w:top w:val="none" w:sz="0" w:space="0" w:color="auto"/>
            <w:left w:val="none" w:sz="0" w:space="0" w:color="auto"/>
            <w:bottom w:val="none" w:sz="0" w:space="0" w:color="auto"/>
            <w:right w:val="none" w:sz="0" w:space="0" w:color="auto"/>
          </w:divBdr>
        </w:div>
        <w:div w:id="1022317112">
          <w:marLeft w:val="1411"/>
          <w:marRight w:val="0"/>
          <w:marTop w:val="62"/>
          <w:marBottom w:val="0"/>
          <w:divBdr>
            <w:top w:val="none" w:sz="0" w:space="0" w:color="auto"/>
            <w:left w:val="none" w:sz="0" w:space="0" w:color="auto"/>
            <w:bottom w:val="none" w:sz="0" w:space="0" w:color="auto"/>
            <w:right w:val="none" w:sz="0" w:space="0" w:color="auto"/>
          </w:divBdr>
        </w:div>
        <w:div w:id="58216739">
          <w:marLeft w:val="1411"/>
          <w:marRight w:val="0"/>
          <w:marTop w:val="62"/>
          <w:marBottom w:val="0"/>
          <w:divBdr>
            <w:top w:val="none" w:sz="0" w:space="0" w:color="auto"/>
            <w:left w:val="none" w:sz="0" w:space="0" w:color="auto"/>
            <w:bottom w:val="none" w:sz="0" w:space="0" w:color="auto"/>
            <w:right w:val="none" w:sz="0" w:space="0" w:color="auto"/>
          </w:divBdr>
        </w:div>
        <w:div w:id="1588537357">
          <w:marLeft w:val="1411"/>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8BD1A-DD36-4176-85B0-8203015CA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Xinghua Song</cp:lastModifiedBy>
  <cp:revision>2</cp:revision>
  <dcterms:created xsi:type="dcterms:W3CDTF">2015-01-30T14:44:00Z</dcterms:created>
  <dcterms:modified xsi:type="dcterms:W3CDTF">2015-01-30T14:44:00Z</dcterms:modified>
</cp:coreProperties>
</file>