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D6E1F" w14:textId="4D4F6748" w:rsidR="00D60374" w:rsidRPr="002C1715" w:rsidRDefault="0003091C" w:rsidP="00D60374">
      <w:pPr>
        <w:pStyle w:val="Header"/>
        <w:tabs>
          <w:tab w:val="right" w:pos="8280"/>
          <w:tab w:val="right" w:pos="9781"/>
        </w:tabs>
        <w:ind w:right="-58"/>
        <w:rPr>
          <w:rFonts w:cs="Arial"/>
          <w:b w:val="0"/>
          <w:bCs/>
          <w:sz w:val="24"/>
          <w:szCs w:val="24"/>
        </w:rPr>
      </w:pPr>
      <w:bookmarkStart w:id="0" w:name="OLE_LINK40"/>
      <w:bookmarkStart w:id="1" w:name="OLE_LINK73"/>
      <w:bookmarkStart w:id="2" w:name="OLE_LINK46"/>
      <w:bookmarkStart w:id="3" w:name="OLE_LINK47"/>
      <w:bookmarkStart w:id="4" w:name="OLE_LINK35"/>
      <w:bookmarkStart w:id="5" w:name="OLE_LINK219"/>
      <w:r w:rsidRPr="002C1715">
        <w:rPr>
          <w:rFonts w:cs="Arial"/>
          <w:b w:val="0"/>
          <w:bCs/>
          <w:sz w:val="24"/>
          <w:szCs w:val="24"/>
        </w:rPr>
        <w:t>3GPP TSG RAN WG1 Meeting #80</w:t>
      </w:r>
      <w:r w:rsidR="00D60374" w:rsidRPr="002C1715">
        <w:rPr>
          <w:rFonts w:cs="Arial"/>
          <w:b w:val="0"/>
          <w:bCs/>
          <w:sz w:val="24"/>
          <w:szCs w:val="24"/>
        </w:rPr>
        <w:tab/>
      </w:r>
      <w:r w:rsidR="00D60374" w:rsidRPr="002C1715">
        <w:rPr>
          <w:rFonts w:cs="Arial"/>
          <w:b w:val="0"/>
          <w:bCs/>
          <w:sz w:val="24"/>
          <w:szCs w:val="24"/>
        </w:rPr>
        <w:tab/>
      </w:r>
      <w:r w:rsidR="00AC4A5F" w:rsidRPr="002C1715">
        <w:rPr>
          <w:rFonts w:cs="Arial"/>
          <w:b w:val="0"/>
          <w:bCs/>
          <w:sz w:val="24"/>
          <w:szCs w:val="24"/>
        </w:rPr>
        <w:t>R1-</w:t>
      </w:r>
      <w:r w:rsidR="00E73789">
        <w:rPr>
          <w:rFonts w:cs="Arial"/>
          <w:b w:val="0"/>
          <w:bCs/>
          <w:sz w:val="24"/>
          <w:szCs w:val="24"/>
        </w:rPr>
        <w:t>150547</w:t>
      </w:r>
    </w:p>
    <w:p w14:paraId="74ED6E20" w14:textId="6E3D42D1" w:rsidR="00E57548" w:rsidRPr="002C1715" w:rsidRDefault="0003091C" w:rsidP="00E57548">
      <w:pPr>
        <w:pStyle w:val="Header"/>
        <w:tabs>
          <w:tab w:val="right" w:pos="8280"/>
          <w:tab w:val="right" w:pos="9781"/>
        </w:tabs>
        <w:ind w:right="-58"/>
        <w:rPr>
          <w:rFonts w:cs="Arial"/>
          <w:b w:val="0"/>
          <w:bCs/>
          <w:sz w:val="24"/>
          <w:szCs w:val="24"/>
        </w:rPr>
      </w:pPr>
      <w:r w:rsidRPr="002C1715">
        <w:rPr>
          <w:rFonts w:cs="Arial"/>
          <w:b w:val="0"/>
          <w:bCs/>
          <w:sz w:val="24"/>
          <w:szCs w:val="24"/>
        </w:rPr>
        <w:t>Athens</w:t>
      </w:r>
      <w:r w:rsidR="00D60374" w:rsidRPr="002C1715">
        <w:rPr>
          <w:rFonts w:cs="Arial"/>
          <w:b w:val="0"/>
          <w:bCs/>
          <w:sz w:val="24"/>
          <w:szCs w:val="24"/>
        </w:rPr>
        <w:t xml:space="preserve">, </w:t>
      </w:r>
      <w:r w:rsidRPr="002C1715">
        <w:rPr>
          <w:rFonts w:cs="Arial"/>
          <w:b w:val="0"/>
          <w:bCs/>
          <w:sz w:val="24"/>
          <w:szCs w:val="24"/>
        </w:rPr>
        <w:t>Greece</w:t>
      </w:r>
      <w:r w:rsidR="001E2A38" w:rsidRPr="002C1715">
        <w:rPr>
          <w:rFonts w:cs="Arial"/>
          <w:b w:val="0"/>
          <w:bCs/>
          <w:sz w:val="24"/>
          <w:szCs w:val="24"/>
        </w:rPr>
        <w:t>, 9</w:t>
      </w:r>
      <w:r w:rsidR="00D60374" w:rsidRPr="002C1715">
        <w:rPr>
          <w:rFonts w:cs="Arial"/>
          <w:b w:val="0"/>
          <w:bCs/>
          <w:sz w:val="24"/>
          <w:szCs w:val="24"/>
        </w:rPr>
        <w:t xml:space="preserve">th – </w:t>
      </w:r>
      <w:r w:rsidR="007E7FBA" w:rsidRPr="002C1715">
        <w:rPr>
          <w:rFonts w:cs="Arial"/>
          <w:b w:val="0"/>
          <w:bCs/>
          <w:sz w:val="24"/>
          <w:szCs w:val="24"/>
        </w:rPr>
        <w:t>1</w:t>
      </w:r>
      <w:r w:rsidR="001E2A38" w:rsidRPr="002C1715">
        <w:rPr>
          <w:rFonts w:cs="Arial"/>
          <w:b w:val="0"/>
          <w:bCs/>
          <w:sz w:val="24"/>
          <w:szCs w:val="24"/>
        </w:rPr>
        <w:t>3</w:t>
      </w:r>
      <w:r w:rsidR="00D60374" w:rsidRPr="002C1715">
        <w:rPr>
          <w:rFonts w:cs="Arial"/>
          <w:b w:val="0"/>
          <w:bCs/>
          <w:sz w:val="24"/>
          <w:szCs w:val="24"/>
        </w:rPr>
        <w:t xml:space="preserve">th </w:t>
      </w:r>
      <w:r w:rsidRPr="002C1715">
        <w:rPr>
          <w:rFonts w:cs="Arial"/>
          <w:b w:val="0"/>
          <w:bCs/>
          <w:sz w:val="24"/>
          <w:szCs w:val="24"/>
        </w:rPr>
        <w:t>February 2015</w:t>
      </w:r>
    </w:p>
    <w:p w14:paraId="74ED6E21" w14:textId="77777777" w:rsidR="008D5786" w:rsidRPr="002C1715" w:rsidRDefault="008D5786" w:rsidP="008D5786">
      <w:pPr>
        <w:pStyle w:val="Header"/>
        <w:tabs>
          <w:tab w:val="right" w:pos="8280"/>
          <w:tab w:val="right" w:pos="9781"/>
        </w:tabs>
        <w:ind w:right="-58"/>
        <w:rPr>
          <w:rFonts w:cs="Arial"/>
          <w:b w:val="0"/>
          <w:bCs/>
          <w:sz w:val="24"/>
          <w:szCs w:val="24"/>
        </w:rPr>
      </w:pPr>
    </w:p>
    <w:bookmarkEnd w:id="0"/>
    <w:p w14:paraId="74ED6E22" w14:textId="77777777" w:rsidR="007635DC" w:rsidRPr="002C1715" w:rsidRDefault="007635DC" w:rsidP="007635DC">
      <w:pPr>
        <w:spacing w:after="120"/>
        <w:ind w:left="1985" w:hanging="1985"/>
        <w:rPr>
          <w:rFonts w:ascii="Arial" w:hAnsi="Arial" w:cs="Arial"/>
          <w:sz w:val="24"/>
          <w:szCs w:val="24"/>
        </w:rPr>
      </w:pPr>
      <w:r w:rsidRPr="002C1715">
        <w:rPr>
          <w:rFonts w:ascii="Arial" w:hAnsi="Arial" w:cs="Arial"/>
          <w:b/>
          <w:sz w:val="24"/>
          <w:szCs w:val="24"/>
        </w:rPr>
        <w:t>Source:</w:t>
      </w:r>
      <w:r w:rsidRPr="002C1715">
        <w:rPr>
          <w:rFonts w:ascii="Arial" w:hAnsi="Arial" w:cs="Arial"/>
          <w:b/>
          <w:sz w:val="24"/>
          <w:szCs w:val="24"/>
        </w:rPr>
        <w:tab/>
      </w:r>
      <w:r w:rsidRPr="002C1715">
        <w:rPr>
          <w:rFonts w:ascii="Arial" w:hAnsi="Arial" w:cs="Arial"/>
          <w:sz w:val="24"/>
          <w:szCs w:val="24"/>
        </w:rPr>
        <w:t>QUALCOMM Incorporated</w:t>
      </w:r>
      <w:r w:rsidR="00D60374" w:rsidRPr="002C1715">
        <w:rPr>
          <w:rFonts w:ascii="Arial" w:hAnsi="Arial" w:cs="Arial"/>
          <w:sz w:val="24"/>
          <w:szCs w:val="24"/>
        </w:rPr>
        <w:t xml:space="preserve"> </w:t>
      </w:r>
    </w:p>
    <w:p w14:paraId="74ED6E23" w14:textId="1A610A7F" w:rsidR="007635DC" w:rsidRPr="002C1715" w:rsidRDefault="007635DC" w:rsidP="007635DC">
      <w:pPr>
        <w:spacing w:after="120"/>
        <w:ind w:left="1985" w:hanging="1985"/>
        <w:rPr>
          <w:rFonts w:ascii="Arial" w:hAnsi="Arial" w:cs="Arial"/>
          <w:sz w:val="24"/>
          <w:szCs w:val="24"/>
        </w:rPr>
      </w:pPr>
      <w:r w:rsidRPr="002C1715">
        <w:rPr>
          <w:rFonts w:ascii="Arial" w:hAnsi="Arial" w:cs="Arial"/>
          <w:b/>
          <w:sz w:val="24"/>
          <w:szCs w:val="24"/>
        </w:rPr>
        <w:t>Title:</w:t>
      </w:r>
      <w:r w:rsidRPr="002C1715">
        <w:rPr>
          <w:rFonts w:ascii="Arial" w:hAnsi="Arial" w:cs="Arial"/>
          <w:b/>
          <w:sz w:val="24"/>
          <w:szCs w:val="24"/>
        </w:rPr>
        <w:tab/>
      </w:r>
      <w:r w:rsidR="00E73789">
        <w:rPr>
          <w:rFonts w:ascii="Arial" w:hAnsi="Arial" w:cs="Arial"/>
          <w:sz w:val="24"/>
          <w:szCs w:val="24"/>
        </w:rPr>
        <w:t>Link</w:t>
      </w:r>
      <w:bookmarkStart w:id="6" w:name="_GoBack"/>
      <w:bookmarkEnd w:id="6"/>
      <w:r w:rsidR="00B52678" w:rsidRPr="00B52678">
        <w:rPr>
          <w:rFonts w:ascii="Arial" w:hAnsi="Arial" w:cs="Arial"/>
          <w:sz w:val="24"/>
          <w:szCs w:val="24"/>
        </w:rPr>
        <w:t xml:space="preserve"> results on opportunistic predecoding NAICS</w:t>
      </w:r>
    </w:p>
    <w:p w14:paraId="74ED6E24" w14:textId="38BFAAAC" w:rsidR="007635DC" w:rsidRPr="002C1715" w:rsidRDefault="007635DC" w:rsidP="007635D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hAnsi="Arial" w:cs="Arial"/>
          <w:bCs/>
          <w:color w:val="FF0000"/>
          <w:sz w:val="24"/>
          <w:szCs w:val="24"/>
        </w:rPr>
      </w:pPr>
      <w:r w:rsidRPr="002C1715">
        <w:rPr>
          <w:rFonts w:ascii="Arial" w:hAnsi="Arial" w:cs="Arial"/>
          <w:b/>
          <w:sz w:val="24"/>
          <w:szCs w:val="24"/>
        </w:rPr>
        <w:t>Agenda item:</w:t>
      </w:r>
      <w:r w:rsidRPr="002C1715">
        <w:rPr>
          <w:rFonts w:ascii="Arial" w:hAnsi="Arial" w:cs="Arial"/>
          <w:b/>
          <w:sz w:val="24"/>
          <w:szCs w:val="24"/>
        </w:rPr>
        <w:tab/>
      </w:r>
      <w:r w:rsidRPr="002C1715">
        <w:rPr>
          <w:rFonts w:ascii="Arial" w:hAnsi="Arial" w:cs="Arial"/>
          <w:sz w:val="24"/>
          <w:szCs w:val="24"/>
          <w:lang w:eastAsia="ko-KR"/>
        </w:rPr>
        <w:tab/>
      </w:r>
      <w:r w:rsidR="00E73789">
        <w:rPr>
          <w:rFonts w:ascii="Arial" w:hAnsi="Arial" w:cs="Arial"/>
          <w:sz w:val="24"/>
          <w:szCs w:val="24"/>
          <w:lang w:eastAsia="ko-KR"/>
        </w:rPr>
        <w:t>6.3.2</w:t>
      </w:r>
    </w:p>
    <w:p w14:paraId="74ED6E25" w14:textId="34CE7F00" w:rsidR="007635DC" w:rsidRPr="002C1715" w:rsidRDefault="007635DC" w:rsidP="007635DC">
      <w:pPr>
        <w:spacing w:after="120"/>
        <w:ind w:left="1985" w:hanging="1985"/>
        <w:rPr>
          <w:rFonts w:ascii="Arial" w:hAnsi="Arial" w:cs="Arial"/>
          <w:b/>
          <w:sz w:val="24"/>
          <w:szCs w:val="24"/>
        </w:rPr>
      </w:pPr>
      <w:r w:rsidRPr="002C1715">
        <w:rPr>
          <w:rFonts w:ascii="Arial" w:hAnsi="Arial" w:cs="Arial"/>
          <w:b/>
          <w:sz w:val="24"/>
          <w:szCs w:val="24"/>
        </w:rPr>
        <w:t>Document for:</w:t>
      </w:r>
      <w:r w:rsidRPr="002C1715">
        <w:rPr>
          <w:rFonts w:ascii="Arial" w:hAnsi="Arial" w:cs="Arial"/>
          <w:b/>
          <w:sz w:val="24"/>
          <w:szCs w:val="24"/>
        </w:rPr>
        <w:tab/>
      </w:r>
      <w:r w:rsidR="0004239A" w:rsidRPr="002C1715">
        <w:rPr>
          <w:rFonts w:ascii="Arial" w:hAnsi="Arial" w:cs="Arial"/>
          <w:sz w:val="24"/>
          <w:szCs w:val="24"/>
        </w:rPr>
        <w:t>Discussion</w:t>
      </w:r>
    </w:p>
    <w:bookmarkEnd w:id="1"/>
    <w:bookmarkEnd w:id="2"/>
    <w:bookmarkEnd w:id="3"/>
    <w:p w14:paraId="74ED6E26" w14:textId="234AD288" w:rsidR="00B7216B" w:rsidRDefault="00B7216B" w:rsidP="0098532D">
      <w:pPr>
        <w:pStyle w:val="Heading1"/>
        <w:numPr>
          <w:ilvl w:val="0"/>
          <w:numId w:val="37"/>
        </w:numPr>
        <w:rPr>
          <w:rFonts w:cs="Arial"/>
          <w:szCs w:val="36"/>
        </w:rPr>
      </w:pPr>
      <w:r w:rsidRPr="002C1715">
        <w:rPr>
          <w:rFonts w:cs="Arial"/>
          <w:szCs w:val="36"/>
        </w:rPr>
        <w:t>Introduction</w:t>
      </w:r>
    </w:p>
    <w:p w14:paraId="31123A14" w14:textId="36C36857" w:rsidR="0098532D" w:rsidRPr="0098532D" w:rsidRDefault="00697524" w:rsidP="0098532D">
      <w:r>
        <w:rPr>
          <w:lang w:val="en-US" w:eastAsia="ko-KR"/>
        </w:rPr>
        <w:t xml:space="preserve">Pre-decoding with RRS has long been discussed in previous meetings [1] [2] [3] [4]. </w:t>
      </w:r>
      <w:r w:rsidR="0098532D">
        <w:t>In pre-decoding network assisted interference cancellation (NAIC), RRS for macro cell results in loss for the macro UE [</w:t>
      </w:r>
      <w:r>
        <w:t>5</w:t>
      </w:r>
      <w:r w:rsidR="0098532D">
        <w:t>], limiting the benefits of having advanced NAIC UEs. Hence</w:t>
      </w:r>
      <w:r>
        <w:t>,</w:t>
      </w:r>
      <w:r w:rsidR="0098532D">
        <w:t xml:space="preserve"> </w:t>
      </w:r>
      <w:r>
        <w:t>in this contribution we study</w:t>
      </w:r>
      <w:r w:rsidR="0098532D">
        <w:t xml:space="preserve"> opportunistic pre-decoding NAIC, where the NAIC UE uses its interference cancellation capability whenever the interference has the required structure, i.e. certain lower order modulation. In this document, the link level performance gain achieved for the NAIC UE with opportunistic NAIC is studied.</w:t>
      </w:r>
    </w:p>
    <w:p w14:paraId="58DBB2D0" w14:textId="067C4657" w:rsidR="00403038" w:rsidRDefault="0098532D" w:rsidP="0098532D">
      <w:pPr>
        <w:pStyle w:val="Heading1"/>
        <w:rPr>
          <w:rFonts w:cs="Arial"/>
          <w:szCs w:val="36"/>
          <w:lang w:eastAsia="ko-KR"/>
        </w:rPr>
      </w:pPr>
      <w:bookmarkStart w:id="7" w:name="OLE_LINK6"/>
      <w:r w:rsidRPr="0098532D">
        <w:rPr>
          <w:rFonts w:cs="Arial"/>
          <w:szCs w:val="36"/>
          <w:lang w:eastAsia="ko-KR"/>
        </w:rPr>
        <w:t>2</w:t>
      </w:r>
      <w:r>
        <w:rPr>
          <w:rFonts w:cs="Arial"/>
          <w:szCs w:val="36"/>
          <w:lang w:eastAsia="ko-KR"/>
        </w:rPr>
        <w:tab/>
      </w:r>
      <w:r w:rsidR="00CA0D9F" w:rsidRPr="002C1715">
        <w:rPr>
          <w:rFonts w:cs="Arial"/>
          <w:szCs w:val="36"/>
          <w:lang w:eastAsia="ko-KR"/>
        </w:rPr>
        <w:t xml:space="preserve">Simulation </w:t>
      </w:r>
      <w:r w:rsidR="00244CBC">
        <w:rPr>
          <w:rFonts w:cs="Arial"/>
          <w:szCs w:val="36"/>
          <w:lang w:eastAsia="ko-KR"/>
        </w:rPr>
        <w:t>A</w:t>
      </w:r>
      <w:r w:rsidR="00CA0D9F" w:rsidRPr="002C1715">
        <w:rPr>
          <w:rFonts w:cs="Arial"/>
          <w:szCs w:val="36"/>
          <w:lang w:eastAsia="ko-KR"/>
        </w:rPr>
        <w:t>ssumptions</w:t>
      </w:r>
    </w:p>
    <w:p w14:paraId="2A767EAF" w14:textId="618769AC" w:rsidR="0098532D" w:rsidRDefault="0098532D" w:rsidP="0098532D">
      <w:pPr>
        <w:rPr>
          <w:lang w:eastAsia="ko-KR"/>
        </w:rPr>
      </w:pPr>
      <w:r>
        <w:rPr>
          <w:lang w:eastAsia="ko-KR"/>
        </w:rPr>
        <w:t>Baseline UE has type3i receiver, and the NAIC UE performs pre-decoding IC whenever interference modulation is QPSK or 16-QAM.</w:t>
      </w:r>
      <w:r w:rsidR="00697524">
        <w:rPr>
          <w:lang w:eastAsia="ko-KR"/>
        </w:rPr>
        <w:t xml:space="preserve"> We assume genie knowledge at the pico UE about the modulation order of the interfering signals. These simulations are aimed at evaluating the throughput gain available for pico UE with opportunistic pre-decoding NAIC. </w:t>
      </w:r>
    </w:p>
    <w:p w14:paraId="7A541EF5" w14:textId="0C9D459E" w:rsidR="00590854" w:rsidRDefault="00590854" w:rsidP="00590854">
      <w:pPr>
        <w:jc w:val="center"/>
        <w:rPr>
          <w:lang w:eastAsia="ko-KR"/>
        </w:rPr>
      </w:pPr>
      <w:r>
        <w:rPr>
          <w:b/>
        </w:rPr>
        <w:t>Table 1</w:t>
      </w:r>
      <w:r w:rsidRPr="009D1D8F">
        <w:rPr>
          <w:b/>
        </w:rPr>
        <w:t>:</w:t>
      </w:r>
      <w:r>
        <w:rPr>
          <w:b/>
        </w:rPr>
        <w:t xml:space="preserve"> Simulation Setup</w:t>
      </w:r>
    </w:p>
    <w:tbl>
      <w:tblPr>
        <w:tblStyle w:val="TableGrid"/>
        <w:tblW w:w="0" w:type="auto"/>
        <w:jc w:val="center"/>
        <w:tblLook w:val="04A0" w:firstRow="1" w:lastRow="0" w:firstColumn="1" w:lastColumn="0" w:noHBand="0" w:noVBand="1"/>
      </w:tblPr>
      <w:tblGrid>
        <w:gridCol w:w="3325"/>
        <w:gridCol w:w="2790"/>
      </w:tblGrid>
      <w:tr w:rsidR="0098532D" w14:paraId="417B1B11" w14:textId="77777777" w:rsidTr="00D513C4">
        <w:trPr>
          <w:jc w:val="center"/>
        </w:trPr>
        <w:tc>
          <w:tcPr>
            <w:tcW w:w="3325" w:type="dxa"/>
          </w:tcPr>
          <w:p w14:paraId="7F0239F5" w14:textId="1AF260DC" w:rsidR="0098532D" w:rsidRDefault="0098532D" w:rsidP="0098532D">
            <w:pPr>
              <w:rPr>
                <w:lang w:eastAsia="ko-KR"/>
              </w:rPr>
            </w:pPr>
            <w:r>
              <w:rPr>
                <w:lang w:eastAsia="ko-KR"/>
              </w:rPr>
              <w:t>Traffic type</w:t>
            </w:r>
          </w:p>
        </w:tc>
        <w:tc>
          <w:tcPr>
            <w:tcW w:w="2790" w:type="dxa"/>
          </w:tcPr>
          <w:p w14:paraId="13766E88" w14:textId="2081839F" w:rsidR="0098532D" w:rsidRDefault="0098532D" w:rsidP="0098532D">
            <w:pPr>
              <w:rPr>
                <w:lang w:eastAsia="ko-KR"/>
              </w:rPr>
            </w:pPr>
            <w:r>
              <w:rPr>
                <w:lang w:eastAsia="ko-KR"/>
              </w:rPr>
              <w:t>Full buffer</w:t>
            </w:r>
          </w:p>
        </w:tc>
      </w:tr>
      <w:tr w:rsidR="0098532D" w14:paraId="16BEADD1" w14:textId="77777777" w:rsidTr="00D513C4">
        <w:trPr>
          <w:jc w:val="center"/>
        </w:trPr>
        <w:tc>
          <w:tcPr>
            <w:tcW w:w="3325" w:type="dxa"/>
          </w:tcPr>
          <w:p w14:paraId="2ACA35D7" w14:textId="23A32941" w:rsidR="0098532D" w:rsidRDefault="0098532D" w:rsidP="0098532D">
            <w:pPr>
              <w:rPr>
                <w:lang w:eastAsia="ko-KR"/>
              </w:rPr>
            </w:pPr>
            <w:r>
              <w:rPr>
                <w:lang w:eastAsia="ko-KR"/>
              </w:rPr>
              <w:t>Number of cells</w:t>
            </w:r>
          </w:p>
        </w:tc>
        <w:tc>
          <w:tcPr>
            <w:tcW w:w="2790" w:type="dxa"/>
          </w:tcPr>
          <w:p w14:paraId="2A804AB4" w14:textId="457268D2" w:rsidR="0098532D" w:rsidRDefault="0098532D" w:rsidP="0098532D">
            <w:pPr>
              <w:rPr>
                <w:lang w:eastAsia="ko-KR"/>
              </w:rPr>
            </w:pPr>
            <w:r>
              <w:rPr>
                <w:lang w:eastAsia="ko-KR"/>
              </w:rPr>
              <w:t>3</w:t>
            </w:r>
          </w:p>
        </w:tc>
      </w:tr>
      <w:tr w:rsidR="0098532D" w14:paraId="229AD9AE" w14:textId="77777777" w:rsidTr="00D513C4">
        <w:trPr>
          <w:jc w:val="center"/>
        </w:trPr>
        <w:tc>
          <w:tcPr>
            <w:tcW w:w="3325" w:type="dxa"/>
          </w:tcPr>
          <w:p w14:paraId="2C1ED6E9" w14:textId="1B82CBEC" w:rsidR="0098532D" w:rsidRDefault="00244CBC" w:rsidP="0098532D">
            <w:pPr>
              <w:rPr>
                <w:lang w:eastAsia="ko-KR"/>
              </w:rPr>
            </w:pPr>
            <w:r>
              <w:rPr>
                <w:lang w:eastAsia="ko-KR"/>
              </w:rPr>
              <w:t>Number of codes on Interfering cells</w:t>
            </w:r>
          </w:p>
        </w:tc>
        <w:tc>
          <w:tcPr>
            <w:tcW w:w="2790" w:type="dxa"/>
          </w:tcPr>
          <w:p w14:paraId="36277406" w14:textId="03D5DA7B" w:rsidR="0098532D" w:rsidRDefault="00244CBC" w:rsidP="0098532D">
            <w:pPr>
              <w:rPr>
                <w:lang w:eastAsia="ko-KR"/>
              </w:rPr>
            </w:pPr>
            <w:r>
              <w:rPr>
                <w:lang w:eastAsia="ko-KR"/>
              </w:rPr>
              <w:t>15</w:t>
            </w:r>
          </w:p>
        </w:tc>
      </w:tr>
      <w:tr w:rsidR="0098532D" w14:paraId="6A535BB7" w14:textId="77777777" w:rsidTr="00D513C4">
        <w:trPr>
          <w:jc w:val="center"/>
        </w:trPr>
        <w:tc>
          <w:tcPr>
            <w:tcW w:w="3325" w:type="dxa"/>
          </w:tcPr>
          <w:p w14:paraId="299DB756" w14:textId="6A6E39C2" w:rsidR="0098532D" w:rsidRDefault="00590854" w:rsidP="00590854">
            <w:pPr>
              <w:rPr>
                <w:lang w:eastAsia="ko-KR"/>
              </w:rPr>
            </w:pPr>
            <w:r>
              <w:rPr>
                <w:lang w:eastAsia="ko-KR"/>
              </w:rPr>
              <w:t xml:space="preserve">Serving Cell </w:t>
            </w:r>
            <w:r w:rsidR="00244CBC">
              <w:rPr>
                <w:lang w:eastAsia="ko-KR"/>
              </w:rPr>
              <w:t>Scheduling</w:t>
            </w:r>
          </w:p>
        </w:tc>
        <w:tc>
          <w:tcPr>
            <w:tcW w:w="2790" w:type="dxa"/>
          </w:tcPr>
          <w:p w14:paraId="228F30E4" w14:textId="1D65904C" w:rsidR="0098532D" w:rsidRDefault="00244CBC" w:rsidP="0098532D">
            <w:pPr>
              <w:rPr>
                <w:lang w:eastAsia="ko-KR"/>
              </w:rPr>
            </w:pPr>
            <w:r>
              <w:rPr>
                <w:lang w:eastAsia="ko-KR"/>
              </w:rPr>
              <w:t>Normal CQI based scheduling</w:t>
            </w:r>
          </w:p>
        </w:tc>
      </w:tr>
      <w:tr w:rsidR="00590854" w14:paraId="4B9E9118" w14:textId="77777777" w:rsidTr="00D513C4">
        <w:trPr>
          <w:jc w:val="center"/>
        </w:trPr>
        <w:tc>
          <w:tcPr>
            <w:tcW w:w="3325" w:type="dxa"/>
          </w:tcPr>
          <w:p w14:paraId="301CC96E" w14:textId="1D312E8C" w:rsidR="00590854" w:rsidRDefault="00590854" w:rsidP="00590854">
            <w:pPr>
              <w:rPr>
                <w:lang w:eastAsia="ko-KR"/>
              </w:rPr>
            </w:pPr>
            <w:r>
              <w:rPr>
                <w:lang w:eastAsia="ko-KR"/>
              </w:rPr>
              <w:t>Interfering Cell Scheduling</w:t>
            </w:r>
          </w:p>
        </w:tc>
        <w:tc>
          <w:tcPr>
            <w:tcW w:w="2790" w:type="dxa"/>
          </w:tcPr>
          <w:p w14:paraId="5B684EA9" w14:textId="02D368C3" w:rsidR="00590854" w:rsidRDefault="00590854" w:rsidP="0098532D">
            <w:pPr>
              <w:rPr>
                <w:lang w:eastAsia="ko-KR"/>
              </w:rPr>
            </w:pPr>
            <w:r>
              <w:rPr>
                <w:lang w:eastAsia="ko-KR"/>
              </w:rPr>
              <w:t>Fixed TBS</w:t>
            </w:r>
          </w:p>
        </w:tc>
      </w:tr>
      <w:tr w:rsidR="00590854" w14:paraId="1EAFD09C" w14:textId="77777777" w:rsidTr="00D513C4">
        <w:trPr>
          <w:jc w:val="center"/>
        </w:trPr>
        <w:tc>
          <w:tcPr>
            <w:tcW w:w="3325" w:type="dxa"/>
          </w:tcPr>
          <w:p w14:paraId="349E7DD1" w14:textId="3AC6947C" w:rsidR="00590854" w:rsidRDefault="00590854" w:rsidP="00590854">
            <w:pPr>
              <w:rPr>
                <w:lang w:eastAsia="ko-KR"/>
              </w:rPr>
            </w:pPr>
            <w:r>
              <w:rPr>
                <w:lang w:eastAsia="ko-KR"/>
              </w:rPr>
              <w:t>Opportunistic NAIC</w:t>
            </w:r>
          </w:p>
        </w:tc>
        <w:tc>
          <w:tcPr>
            <w:tcW w:w="2790" w:type="dxa"/>
          </w:tcPr>
          <w:p w14:paraId="3F4D973D" w14:textId="694C9A1E" w:rsidR="00590854" w:rsidRDefault="00590854" w:rsidP="0098532D">
            <w:pPr>
              <w:rPr>
                <w:lang w:eastAsia="ko-KR"/>
              </w:rPr>
            </w:pPr>
            <w:r>
              <w:rPr>
                <w:lang w:eastAsia="ko-KR"/>
              </w:rPr>
              <w:t>Genie modulation info at pico UE</w:t>
            </w:r>
          </w:p>
        </w:tc>
      </w:tr>
    </w:tbl>
    <w:p w14:paraId="5B87F8FD" w14:textId="1EE6C256" w:rsidR="0098532D" w:rsidRPr="0098532D" w:rsidRDefault="0098532D" w:rsidP="0098532D">
      <w:pPr>
        <w:rPr>
          <w:lang w:eastAsia="ko-KR"/>
        </w:rPr>
      </w:pPr>
      <w:r>
        <w:rPr>
          <w:lang w:eastAsia="ko-KR"/>
        </w:rPr>
        <w:t xml:space="preserve"> </w:t>
      </w:r>
    </w:p>
    <w:p w14:paraId="4284B95C" w14:textId="121E764E" w:rsidR="00AA4D17" w:rsidRDefault="00C43119" w:rsidP="00AA4D17">
      <w:pPr>
        <w:rPr>
          <w:rFonts w:ascii="Arial" w:hAnsi="Arial" w:cs="Arial"/>
          <w:sz w:val="30"/>
          <w:szCs w:val="30"/>
          <w:lang w:val="en-US"/>
        </w:rPr>
      </w:pPr>
      <w:bookmarkStart w:id="8" w:name="OLE_LINK79"/>
      <w:bookmarkStart w:id="9" w:name="OLE_LINK222"/>
      <w:bookmarkEnd w:id="4"/>
      <w:bookmarkEnd w:id="5"/>
      <w:bookmarkEnd w:id="7"/>
      <w:r>
        <w:rPr>
          <w:rFonts w:ascii="Arial" w:hAnsi="Arial" w:cs="Arial"/>
          <w:sz w:val="30"/>
          <w:szCs w:val="30"/>
          <w:lang w:val="en-US"/>
        </w:rPr>
        <w:t>2.1</w:t>
      </w:r>
      <w:r w:rsidR="00AA4D17" w:rsidRPr="002C1715">
        <w:rPr>
          <w:rFonts w:ascii="Arial" w:hAnsi="Arial" w:cs="Arial"/>
          <w:sz w:val="30"/>
          <w:szCs w:val="30"/>
          <w:lang w:val="en-US"/>
        </w:rPr>
        <w:t xml:space="preserve">. </w:t>
      </w:r>
      <w:r w:rsidR="00244CBC">
        <w:rPr>
          <w:rFonts w:ascii="Arial" w:hAnsi="Arial" w:cs="Arial"/>
          <w:sz w:val="30"/>
          <w:szCs w:val="30"/>
          <w:lang w:val="en-US"/>
        </w:rPr>
        <w:t>UE Locations</w:t>
      </w:r>
    </w:p>
    <w:p w14:paraId="0829F43E" w14:textId="41F92A87" w:rsidR="00590854" w:rsidRPr="00590854" w:rsidRDefault="00590854" w:rsidP="00590854">
      <w:pPr>
        <w:jc w:val="center"/>
        <w:rPr>
          <w:lang w:eastAsia="ko-KR"/>
        </w:rPr>
      </w:pPr>
      <w:r>
        <w:rPr>
          <w:b/>
        </w:rPr>
        <w:t>Table 2</w:t>
      </w:r>
      <w:r w:rsidRPr="009D1D8F">
        <w:rPr>
          <w:b/>
        </w:rPr>
        <w:t>:</w:t>
      </w:r>
      <w:r>
        <w:rPr>
          <w:b/>
        </w:rPr>
        <w:t xml:space="preserve"> UE Locations</w:t>
      </w:r>
    </w:p>
    <w:tbl>
      <w:tblPr>
        <w:tblStyle w:val="TableGrid"/>
        <w:tblW w:w="0" w:type="auto"/>
        <w:jc w:val="center"/>
        <w:tblLook w:val="04A0" w:firstRow="1" w:lastRow="0" w:firstColumn="1" w:lastColumn="0" w:noHBand="0" w:noVBand="1"/>
      </w:tblPr>
      <w:tblGrid>
        <w:gridCol w:w="1351"/>
        <w:gridCol w:w="1470"/>
        <w:gridCol w:w="1470"/>
        <w:gridCol w:w="1470"/>
      </w:tblGrid>
      <w:tr w:rsidR="00244CBC" w14:paraId="2354ADFC" w14:textId="77777777" w:rsidTr="00D513C4">
        <w:trPr>
          <w:jc w:val="center"/>
        </w:trPr>
        <w:tc>
          <w:tcPr>
            <w:tcW w:w="1351" w:type="dxa"/>
          </w:tcPr>
          <w:p w14:paraId="158CC06A" w14:textId="33801FDD" w:rsidR="00244CBC" w:rsidRPr="00697524" w:rsidRDefault="00244CBC" w:rsidP="00244CBC">
            <w:pPr>
              <w:rPr>
                <w:sz w:val="24"/>
                <w:szCs w:val="24"/>
                <w:lang w:val="en-US"/>
              </w:rPr>
            </w:pPr>
            <w:r w:rsidRPr="00697524">
              <w:rPr>
                <w:rFonts w:ascii="Arial" w:hAnsi="Arial" w:cs="Arial"/>
                <w:sz w:val="24"/>
                <w:szCs w:val="24"/>
                <w:lang w:val="en-US"/>
              </w:rPr>
              <w:t>Location</w:t>
            </w:r>
          </w:p>
        </w:tc>
        <w:tc>
          <w:tcPr>
            <w:tcW w:w="1254" w:type="dxa"/>
          </w:tcPr>
          <w:p w14:paraId="53BE57A2" w14:textId="714AD474" w:rsidR="00244CBC" w:rsidRPr="00697524" w:rsidRDefault="00244CBC" w:rsidP="00AA4D17">
            <w:pPr>
              <w:rPr>
                <w:rFonts w:ascii="Arial" w:hAnsi="Arial" w:cs="Arial"/>
                <w:sz w:val="24"/>
                <w:szCs w:val="24"/>
                <w:lang w:val="en-US"/>
              </w:rPr>
            </w:pPr>
            <w:r w:rsidRPr="00697524">
              <w:rPr>
                <w:rFonts w:ascii="Arial" w:hAnsi="Arial" w:cs="Arial"/>
                <w:sz w:val="24"/>
                <w:szCs w:val="24"/>
                <w:lang w:val="en-US"/>
              </w:rPr>
              <w:t>Ior1/Ioc(dB)</w:t>
            </w:r>
          </w:p>
        </w:tc>
        <w:tc>
          <w:tcPr>
            <w:tcW w:w="1217" w:type="dxa"/>
          </w:tcPr>
          <w:p w14:paraId="4834B360" w14:textId="2195221F" w:rsidR="00244CBC" w:rsidRPr="00697524" w:rsidRDefault="00244CBC" w:rsidP="00AA4D17">
            <w:pPr>
              <w:rPr>
                <w:rFonts w:ascii="Arial" w:hAnsi="Arial" w:cs="Arial"/>
                <w:sz w:val="24"/>
                <w:szCs w:val="24"/>
                <w:lang w:val="en-US"/>
              </w:rPr>
            </w:pPr>
            <w:r w:rsidRPr="00697524">
              <w:rPr>
                <w:rFonts w:ascii="Arial" w:hAnsi="Arial" w:cs="Arial"/>
                <w:sz w:val="24"/>
                <w:szCs w:val="24"/>
                <w:lang w:val="en-US"/>
              </w:rPr>
              <w:t>Ior2/Ioc(dB)</w:t>
            </w:r>
          </w:p>
        </w:tc>
        <w:tc>
          <w:tcPr>
            <w:tcW w:w="1393" w:type="dxa"/>
          </w:tcPr>
          <w:p w14:paraId="28D23554" w14:textId="3ACE90C8" w:rsidR="00244CBC" w:rsidRPr="00697524" w:rsidRDefault="00244CBC" w:rsidP="00AA4D17">
            <w:pPr>
              <w:rPr>
                <w:rFonts w:ascii="Arial" w:hAnsi="Arial" w:cs="Arial"/>
                <w:sz w:val="24"/>
                <w:szCs w:val="24"/>
                <w:lang w:val="en-US"/>
              </w:rPr>
            </w:pPr>
            <w:r w:rsidRPr="00697524">
              <w:rPr>
                <w:rFonts w:ascii="Arial" w:hAnsi="Arial" w:cs="Arial"/>
                <w:sz w:val="24"/>
                <w:szCs w:val="24"/>
                <w:lang w:val="en-US"/>
              </w:rPr>
              <w:t>Ior3/Ioc(dB)</w:t>
            </w:r>
          </w:p>
        </w:tc>
      </w:tr>
      <w:tr w:rsidR="00244CBC" w14:paraId="3555AFC2" w14:textId="77777777" w:rsidTr="00D513C4">
        <w:trPr>
          <w:jc w:val="center"/>
        </w:trPr>
        <w:tc>
          <w:tcPr>
            <w:tcW w:w="1351" w:type="dxa"/>
          </w:tcPr>
          <w:p w14:paraId="02A3678E" w14:textId="55533701" w:rsidR="00244CBC" w:rsidRDefault="00244CBC" w:rsidP="00244CBC">
            <w:pPr>
              <w:rPr>
                <w:lang w:val="en-US"/>
              </w:rPr>
            </w:pPr>
            <w:r>
              <w:rPr>
                <w:lang w:val="en-US"/>
              </w:rPr>
              <w:t>L1</w:t>
            </w:r>
          </w:p>
        </w:tc>
        <w:tc>
          <w:tcPr>
            <w:tcW w:w="1254" w:type="dxa"/>
            <w:vAlign w:val="bottom"/>
          </w:tcPr>
          <w:p w14:paraId="51C85F3E" w14:textId="144DB7CC" w:rsidR="00244CBC" w:rsidRDefault="00244CBC" w:rsidP="00244CBC">
            <w:pPr>
              <w:rPr>
                <w:rFonts w:ascii="Arial" w:hAnsi="Arial" w:cs="Arial"/>
                <w:sz w:val="30"/>
                <w:szCs w:val="30"/>
                <w:lang w:val="en-US"/>
              </w:rPr>
            </w:pPr>
            <w:r>
              <w:rPr>
                <w:rFonts w:ascii="Calibri" w:hAnsi="Calibri"/>
                <w:color w:val="006100"/>
                <w:sz w:val="22"/>
                <w:szCs w:val="22"/>
              </w:rPr>
              <w:t>7.901</w:t>
            </w:r>
          </w:p>
        </w:tc>
        <w:tc>
          <w:tcPr>
            <w:tcW w:w="1217" w:type="dxa"/>
            <w:vAlign w:val="bottom"/>
          </w:tcPr>
          <w:p w14:paraId="0EFAB142" w14:textId="0490C516" w:rsidR="00244CBC" w:rsidRDefault="00244CBC" w:rsidP="00244CBC">
            <w:pPr>
              <w:rPr>
                <w:rFonts w:ascii="Arial" w:hAnsi="Arial" w:cs="Arial"/>
                <w:sz w:val="30"/>
                <w:szCs w:val="30"/>
                <w:lang w:val="en-US"/>
              </w:rPr>
            </w:pPr>
            <w:r>
              <w:rPr>
                <w:rFonts w:ascii="Calibri" w:hAnsi="Calibri"/>
                <w:color w:val="006100"/>
                <w:sz w:val="22"/>
                <w:szCs w:val="22"/>
              </w:rPr>
              <w:t>19.819</w:t>
            </w:r>
          </w:p>
        </w:tc>
        <w:tc>
          <w:tcPr>
            <w:tcW w:w="1393" w:type="dxa"/>
            <w:vAlign w:val="bottom"/>
          </w:tcPr>
          <w:p w14:paraId="426EF264" w14:textId="40E58468" w:rsidR="00244CBC" w:rsidRDefault="00244CBC" w:rsidP="00244CBC">
            <w:pPr>
              <w:rPr>
                <w:rFonts w:ascii="Arial" w:hAnsi="Arial" w:cs="Arial"/>
                <w:sz w:val="30"/>
                <w:szCs w:val="30"/>
                <w:lang w:val="en-US"/>
              </w:rPr>
            </w:pPr>
            <w:r>
              <w:rPr>
                <w:rFonts w:ascii="Calibri" w:hAnsi="Calibri"/>
                <w:color w:val="006100"/>
                <w:sz w:val="22"/>
                <w:szCs w:val="22"/>
              </w:rPr>
              <w:t>2.186</w:t>
            </w:r>
          </w:p>
        </w:tc>
      </w:tr>
      <w:tr w:rsidR="00244CBC" w14:paraId="4F9D344D" w14:textId="77777777" w:rsidTr="00D513C4">
        <w:trPr>
          <w:jc w:val="center"/>
        </w:trPr>
        <w:tc>
          <w:tcPr>
            <w:tcW w:w="1351" w:type="dxa"/>
          </w:tcPr>
          <w:p w14:paraId="33447F9E" w14:textId="7471F368" w:rsidR="00244CBC" w:rsidRDefault="00244CBC" w:rsidP="00244CBC">
            <w:pPr>
              <w:rPr>
                <w:lang w:val="en-US"/>
              </w:rPr>
            </w:pPr>
            <w:r>
              <w:rPr>
                <w:lang w:val="en-US"/>
              </w:rPr>
              <w:t>L2</w:t>
            </w:r>
          </w:p>
        </w:tc>
        <w:tc>
          <w:tcPr>
            <w:tcW w:w="1254" w:type="dxa"/>
            <w:vAlign w:val="bottom"/>
          </w:tcPr>
          <w:p w14:paraId="65E09794" w14:textId="40155216" w:rsidR="00244CBC" w:rsidRDefault="00244CBC" w:rsidP="00244CBC">
            <w:pPr>
              <w:rPr>
                <w:rFonts w:ascii="Arial" w:hAnsi="Arial" w:cs="Arial"/>
                <w:sz w:val="30"/>
                <w:szCs w:val="30"/>
                <w:lang w:val="en-US"/>
              </w:rPr>
            </w:pPr>
            <w:r>
              <w:rPr>
                <w:rFonts w:ascii="Calibri" w:hAnsi="Calibri"/>
                <w:color w:val="006100"/>
                <w:sz w:val="22"/>
                <w:szCs w:val="22"/>
              </w:rPr>
              <w:t>10.972</w:t>
            </w:r>
          </w:p>
        </w:tc>
        <w:tc>
          <w:tcPr>
            <w:tcW w:w="1217" w:type="dxa"/>
            <w:vAlign w:val="bottom"/>
          </w:tcPr>
          <w:p w14:paraId="7423F808" w14:textId="0CFAFAB3" w:rsidR="00244CBC" w:rsidRDefault="00244CBC" w:rsidP="00244CBC">
            <w:pPr>
              <w:rPr>
                <w:rFonts w:ascii="Arial" w:hAnsi="Arial" w:cs="Arial"/>
                <w:sz w:val="30"/>
                <w:szCs w:val="30"/>
                <w:lang w:val="en-US"/>
              </w:rPr>
            </w:pPr>
            <w:r>
              <w:rPr>
                <w:rFonts w:ascii="Calibri" w:hAnsi="Calibri"/>
                <w:color w:val="006100"/>
                <w:sz w:val="22"/>
                <w:szCs w:val="22"/>
              </w:rPr>
              <w:t>19.285</w:t>
            </w:r>
          </w:p>
        </w:tc>
        <w:tc>
          <w:tcPr>
            <w:tcW w:w="1393" w:type="dxa"/>
            <w:vAlign w:val="bottom"/>
          </w:tcPr>
          <w:p w14:paraId="22EF40FF" w14:textId="13705D4D" w:rsidR="00244CBC" w:rsidRDefault="00244CBC" w:rsidP="00244CBC">
            <w:pPr>
              <w:rPr>
                <w:rFonts w:ascii="Arial" w:hAnsi="Arial" w:cs="Arial"/>
                <w:sz w:val="30"/>
                <w:szCs w:val="30"/>
                <w:lang w:val="en-US"/>
              </w:rPr>
            </w:pPr>
            <w:r>
              <w:rPr>
                <w:rFonts w:ascii="Calibri" w:hAnsi="Calibri"/>
                <w:color w:val="006100"/>
                <w:sz w:val="22"/>
                <w:szCs w:val="22"/>
              </w:rPr>
              <w:t>1.652</w:t>
            </w:r>
          </w:p>
        </w:tc>
      </w:tr>
      <w:tr w:rsidR="00244CBC" w14:paraId="6FD2C933" w14:textId="77777777" w:rsidTr="00D513C4">
        <w:trPr>
          <w:jc w:val="center"/>
        </w:trPr>
        <w:tc>
          <w:tcPr>
            <w:tcW w:w="1351" w:type="dxa"/>
          </w:tcPr>
          <w:p w14:paraId="5CEC5A9E" w14:textId="5293D903" w:rsidR="00244CBC" w:rsidRDefault="00244CBC" w:rsidP="00244CBC">
            <w:pPr>
              <w:rPr>
                <w:lang w:val="en-US"/>
              </w:rPr>
            </w:pPr>
            <w:r>
              <w:rPr>
                <w:lang w:val="en-US"/>
              </w:rPr>
              <w:t>L3</w:t>
            </w:r>
          </w:p>
        </w:tc>
        <w:tc>
          <w:tcPr>
            <w:tcW w:w="1254" w:type="dxa"/>
            <w:vAlign w:val="bottom"/>
          </w:tcPr>
          <w:p w14:paraId="725D47C5" w14:textId="58B81642" w:rsidR="00244CBC" w:rsidRDefault="00244CBC" w:rsidP="00244CBC">
            <w:pPr>
              <w:rPr>
                <w:rFonts w:ascii="Arial" w:hAnsi="Arial" w:cs="Arial"/>
                <w:sz w:val="30"/>
                <w:szCs w:val="30"/>
                <w:lang w:val="en-US"/>
              </w:rPr>
            </w:pPr>
            <w:r>
              <w:rPr>
                <w:rFonts w:ascii="Calibri" w:hAnsi="Calibri"/>
                <w:color w:val="006100"/>
                <w:sz w:val="22"/>
                <w:szCs w:val="22"/>
              </w:rPr>
              <w:t>14.849</w:t>
            </w:r>
          </w:p>
        </w:tc>
        <w:tc>
          <w:tcPr>
            <w:tcW w:w="1217" w:type="dxa"/>
            <w:vAlign w:val="bottom"/>
          </w:tcPr>
          <w:p w14:paraId="7F9751BD" w14:textId="293AC02A" w:rsidR="00244CBC" w:rsidRDefault="00244CBC" w:rsidP="00244CBC">
            <w:pPr>
              <w:rPr>
                <w:rFonts w:ascii="Arial" w:hAnsi="Arial" w:cs="Arial"/>
                <w:sz w:val="30"/>
                <w:szCs w:val="30"/>
                <w:lang w:val="en-US"/>
              </w:rPr>
            </w:pPr>
            <w:r>
              <w:rPr>
                <w:rFonts w:ascii="Calibri" w:hAnsi="Calibri"/>
                <w:color w:val="006100"/>
                <w:sz w:val="22"/>
                <w:szCs w:val="22"/>
              </w:rPr>
              <w:t>18.936</w:t>
            </w:r>
          </w:p>
        </w:tc>
        <w:tc>
          <w:tcPr>
            <w:tcW w:w="1393" w:type="dxa"/>
            <w:vAlign w:val="bottom"/>
          </w:tcPr>
          <w:p w14:paraId="6B27C58E" w14:textId="4DEACB19" w:rsidR="00244CBC" w:rsidRDefault="00244CBC" w:rsidP="00244CBC">
            <w:pPr>
              <w:rPr>
                <w:rFonts w:ascii="Arial" w:hAnsi="Arial" w:cs="Arial"/>
                <w:sz w:val="30"/>
                <w:szCs w:val="30"/>
                <w:lang w:val="en-US"/>
              </w:rPr>
            </w:pPr>
            <w:r>
              <w:rPr>
                <w:rFonts w:ascii="Calibri" w:hAnsi="Calibri"/>
                <w:color w:val="006100"/>
                <w:sz w:val="22"/>
                <w:szCs w:val="22"/>
              </w:rPr>
              <w:t>1.975</w:t>
            </w:r>
          </w:p>
        </w:tc>
      </w:tr>
      <w:tr w:rsidR="00244CBC" w14:paraId="14E5CB0C" w14:textId="77777777" w:rsidTr="00D513C4">
        <w:trPr>
          <w:jc w:val="center"/>
        </w:trPr>
        <w:tc>
          <w:tcPr>
            <w:tcW w:w="1351" w:type="dxa"/>
          </w:tcPr>
          <w:p w14:paraId="047DAA09" w14:textId="0CF9283A" w:rsidR="00244CBC" w:rsidRDefault="00244CBC" w:rsidP="00244CBC">
            <w:pPr>
              <w:rPr>
                <w:lang w:val="en-US"/>
              </w:rPr>
            </w:pPr>
            <w:r>
              <w:rPr>
                <w:lang w:val="en-US"/>
              </w:rPr>
              <w:t>L4</w:t>
            </w:r>
          </w:p>
        </w:tc>
        <w:tc>
          <w:tcPr>
            <w:tcW w:w="1254" w:type="dxa"/>
            <w:vAlign w:val="bottom"/>
          </w:tcPr>
          <w:p w14:paraId="63F0BC29" w14:textId="437E4EA1" w:rsidR="00244CBC" w:rsidRDefault="00244CBC" w:rsidP="00244CBC">
            <w:pPr>
              <w:rPr>
                <w:rFonts w:ascii="Arial" w:hAnsi="Arial" w:cs="Arial"/>
                <w:sz w:val="30"/>
                <w:szCs w:val="30"/>
                <w:lang w:val="en-US"/>
              </w:rPr>
            </w:pPr>
            <w:r>
              <w:rPr>
                <w:rFonts w:ascii="Calibri" w:hAnsi="Calibri"/>
                <w:color w:val="006100"/>
                <w:sz w:val="22"/>
                <w:szCs w:val="22"/>
              </w:rPr>
              <w:t>19.753</w:t>
            </w:r>
          </w:p>
        </w:tc>
        <w:tc>
          <w:tcPr>
            <w:tcW w:w="1217" w:type="dxa"/>
            <w:vAlign w:val="bottom"/>
          </w:tcPr>
          <w:p w14:paraId="256F6722" w14:textId="5F9B5A71" w:rsidR="00244CBC" w:rsidRDefault="00244CBC" w:rsidP="00244CBC">
            <w:pPr>
              <w:rPr>
                <w:rFonts w:ascii="Arial" w:hAnsi="Arial" w:cs="Arial"/>
                <w:sz w:val="30"/>
                <w:szCs w:val="30"/>
                <w:lang w:val="en-US"/>
              </w:rPr>
            </w:pPr>
            <w:r>
              <w:rPr>
                <w:rFonts w:ascii="Calibri" w:hAnsi="Calibri"/>
                <w:color w:val="006100"/>
                <w:sz w:val="22"/>
                <w:szCs w:val="22"/>
              </w:rPr>
              <w:t>18.611</w:t>
            </w:r>
          </w:p>
        </w:tc>
        <w:tc>
          <w:tcPr>
            <w:tcW w:w="1393" w:type="dxa"/>
            <w:vAlign w:val="bottom"/>
          </w:tcPr>
          <w:p w14:paraId="3DD44EF4" w14:textId="65E986BA" w:rsidR="00244CBC" w:rsidRDefault="00244CBC" w:rsidP="00244CBC">
            <w:pPr>
              <w:rPr>
                <w:rFonts w:ascii="Arial" w:hAnsi="Arial" w:cs="Arial"/>
                <w:sz w:val="30"/>
                <w:szCs w:val="30"/>
                <w:lang w:val="en-US"/>
              </w:rPr>
            </w:pPr>
            <w:r>
              <w:rPr>
                <w:rFonts w:ascii="Calibri" w:hAnsi="Calibri"/>
                <w:color w:val="006100"/>
                <w:sz w:val="22"/>
                <w:szCs w:val="22"/>
              </w:rPr>
              <w:t>2.433</w:t>
            </w:r>
          </w:p>
        </w:tc>
      </w:tr>
      <w:tr w:rsidR="00244CBC" w14:paraId="5E5654AF" w14:textId="77777777" w:rsidTr="00E97A97">
        <w:trPr>
          <w:trHeight w:val="323"/>
          <w:jc w:val="center"/>
        </w:trPr>
        <w:tc>
          <w:tcPr>
            <w:tcW w:w="1351" w:type="dxa"/>
          </w:tcPr>
          <w:p w14:paraId="4EAB4E1F" w14:textId="4D88EE45" w:rsidR="00244CBC" w:rsidRDefault="00244CBC" w:rsidP="00244CBC">
            <w:pPr>
              <w:rPr>
                <w:lang w:val="en-US"/>
              </w:rPr>
            </w:pPr>
            <w:r>
              <w:rPr>
                <w:lang w:val="en-US"/>
              </w:rPr>
              <w:t>L5</w:t>
            </w:r>
          </w:p>
        </w:tc>
        <w:tc>
          <w:tcPr>
            <w:tcW w:w="1254" w:type="dxa"/>
            <w:vAlign w:val="bottom"/>
          </w:tcPr>
          <w:p w14:paraId="1CE0CF09" w14:textId="4AE27A11" w:rsidR="00244CBC" w:rsidRDefault="00244CBC" w:rsidP="00244CBC">
            <w:pPr>
              <w:rPr>
                <w:rFonts w:ascii="Arial" w:hAnsi="Arial" w:cs="Arial"/>
                <w:sz w:val="30"/>
                <w:szCs w:val="30"/>
                <w:lang w:val="en-US"/>
              </w:rPr>
            </w:pPr>
            <w:r>
              <w:rPr>
                <w:rFonts w:ascii="Calibri" w:hAnsi="Calibri"/>
                <w:color w:val="006100"/>
                <w:sz w:val="22"/>
                <w:szCs w:val="22"/>
              </w:rPr>
              <w:t>26.496</w:t>
            </w:r>
          </w:p>
        </w:tc>
        <w:tc>
          <w:tcPr>
            <w:tcW w:w="1217" w:type="dxa"/>
            <w:vAlign w:val="bottom"/>
          </w:tcPr>
          <w:p w14:paraId="77734297" w14:textId="6D71B89D" w:rsidR="00244CBC" w:rsidRDefault="00244CBC" w:rsidP="00244CBC">
            <w:pPr>
              <w:rPr>
                <w:rFonts w:ascii="Arial" w:hAnsi="Arial" w:cs="Arial"/>
                <w:sz w:val="30"/>
                <w:szCs w:val="30"/>
                <w:lang w:val="en-US"/>
              </w:rPr>
            </w:pPr>
            <w:r>
              <w:rPr>
                <w:rFonts w:ascii="Calibri" w:hAnsi="Calibri"/>
                <w:color w:val="006100"/>
                <w:sz w:val="22"/>
                <w:szCs w:val="22"/>
              </w:rPr>
              <w:t>18.272</w:t>
            </w:r>
          </w:p>
        </w:tc>
        <w:tc>
          <w:tcPr>
            <w:tcW w:w="1393" w:type="dxa"/>
            <w:vAlign w:val="bottom"/>
          </w:tcPr>
          <w:p w14:paraId="1BCE8F26" w14:textId="3EC44217" w:rsidR="00244CBC" w:rsidRDefault="00244CBC" w:rsidP="00244CBC">
            <w:pPr>
              <w:rPr>
                <w:rFonts w:ascii="Arial" w:hAnsi="Arial" w:cs="Arial"/>
                <w:sz w:val="30"/>
                <w:szCs w:val="30"/>
                <w:lang w:val="en-US"/>
              </w:rPr>
            </w:pPr>
            <w:r>
              <w:rPr>
                <w:rFonts w:ascii="Calibri" w:hAnsi="Calibri"/>
                <w:color w:val="006100"/>
                <w:sz w:val="22"/>
                <w:szCs w:val="22"/>
              </w:rPr>
              <w:t>2.852</w:t>
            </w:r>
          </w:p>
        </w:tc>
      </w:tr>
      <w:tr w:rsidR="00244CBC" w14:paraId="51E40427" w14:textId="77777777" w:rsidTr="00E97A97">
        <w:trPr>
          <w:trHeight w:val="224"/>
          <w:jc w:val="center"/>
        </w:trPr>
        <w:tc>
          <w:tcPr>
            <w:tcW w:w="1351" w:type="dxa"/>
          </w:tcPr>
          <w:p w14:paraId="30FB9A09" w14:textId="1929A58F" w:rsidR="00244CBC" w:rsidRDefault="00244CBC" w:rsidP="00244CBC">
            <w:pPr>
              <w:rPr>
                <w:lang w:val="en-US"/>
              </w:rPr>
            </w:pPr>
            <w:r>
              <w:rPr>
                <w:lang w:val="en-US"/>
              </w:rPr>
              <w:t>L6</w:t>
            </w:r>
          </w:p>
        </w:tc>
        <w:tc>
          <w:tcPr>
            <w:tcW w:w="1254" w:type="dxa"/>
            <w:vAlign w:val="bottom"/>
          </w:tcPr>
          <w:p w14:paraId="3F512AA7" w14:textId="0A284B4B" w:rsidR="00244CBC" w:rsidRDefault="00244CBC" w:rsidP="00244CBC">
            <w:pPr>
              <w:rPr>
                <w:rFonts w:ascii="Arial" w:hAnsi="Arial" w:cs="Arial"/>
                <w:sz w:val="30"/>
                <w:szCs w:val="30"/>
                <w:lang w:val="en-US"/>
              </w:rPr>
            </w:pPr>
            <w:r>
              <w:rPr>
                <w:rFonts w:ascii="Calibri" w:hAnsi="Calibri"/>
                <w:color w:val="006100"/>
                <w:sz w:val="22"/>
                <w:szCs w:val="22"/>
              </w:rPr>
              <w:t>37.789</w:t>
            </w:r>
          </w:p>
        </w:tc>
        <w:tc>
          <w:tcPr>
            <w:tcW w:w="1217" w:type="dxa"/>
            <w:vAlign w:val="bottom"/>
          </w:tcPr>
          <w:p w14:paraId="27DE2B47" w14:textId="46DD350B" w:rsidR="00244CBC" w:rsidRDefault="00244CBC" w:rsidP="00244CBC">
            <w:pPr>
              <w:rPr>
                <w:rFonts w:ascii="Arial" w:hAnsi="Arial" w:cs="Arial"/>
                <w:sz w:val="30"/>
                <w:szCs w:val="30"/>
                <w:lang w:val="en-US"/>
              </w:rPr>
            </w:pPr>
            <w:r>
              <w:rPr>
                <w:rFonts w:ascii="Calibri" w:hAnsi="Calibri"/>
                <w:color w:val="006100"/>
                <w:sz w:val="22"/>
                <w:szCs w:val="22"/>
              </w:rPr>
              <w:t>17.92</w:t>
            </w:r>
          </w:p>
        </w:tc>
        <w:tc>
          <w:tcPr>
            <w:tcW w:w="1393" w:type="dxa"/>
            <w:vAlign w:val="bottom"/>
          </w:tcPr>
          <w:p w14:paraId="112EF7C5" w14:textId="2F48B4B3" w:rsidR="00244CBC" w:rsidRDefault="00244CBC" w:rsidP="00244CBC">
            <w:pPr>
              <w:rPr>
                <w:rFonts w:ascii="Arial" w:hAnsi="Arial" w:cs="Arial"/>
                <w:sz w:val="30"/>
                <w:szCs w:val="30"/>
                <w:lang w:val="en-US"/>
              </w:rPr>
            </w:pPr>
            <w:r>
              <w:rPr>
                <w:rFonts w:ascii="Calibri" w:hAnsi="Calibri"/>
                <w:color w:val="006100"/>
                <w:sz w:val="22"/>
                <w:szCs w:val="22"/>
              </w:rPr>
              <w:t>3.234</w:t>
            </w:r>
          </w:p>
        </w:tc>
      </w:tr>
    </w:tbl>
    <w:p w14:paraId="570912AE" w14:textId="51426AD7" w:rsidR="00244CBC" w:rsidRDefault="00244CBC" w:rsidP="00244CBC">
      <w:pPr>
        <w:pStyle w:val="Heading2"/>
        <w:rPr>
          <w:lang w:val="en-US"/>
        </w:rPr>
      </w:pPr>
      <w:r>
        <w:rPr>
          <w:lang w:val="en-US"/>
        </w:rPr>
        <w:lastRenderedPageBreak/>
        <w:t>2.2. Interference Type</w:t>
      </w:r>
    </w:p>
    <w:p w14:paraId="5DC8743D" w14:textId="51FBB6B1" w:rsidR="00590854" w:rsidRPr="00590854" w:rsidRDefault="00590854" w:rsidP="00590854">
      <w:pPr>
        <w:rPr>
          <w:lang w:val="en-US"/>
        </w:rPr>
      </w:pPr>
      <w:r>
        <w:rPr>
          <w:lang w:val="en-US"/>
        </w:rPr>
        <w:t xml:space="preserve">To study the effect of opportunistic NAIC, the following 3 types of interference are considered. </w:t>
      </w:r>
      <w:r w:rsidR="00697524">
        <w:rPr>
          <w:lang w:val="en-US"/>
        </w:rPr>
        <w:t xml:space="preserve">Note that in a non-RRS network, interfering cells are transmitting 16-QAM modulated signals for most of the time [6]. Hence, an enhanced NAIC UE </w:t>
      </w:r>
      <w:r w:rsidR="00D12423">
        <w:rPr>
          <w:lang w:val="en-US"/>
        </w:rPr>
        <w:t>should</w:t>
      </w:r>
      <w:r w:rsidR="00697524">
        <w:rPr>
          <w:lang w:val="en-US"/>
        </w:rPr>
        <w:t xml:space="preserve"> </w:t>
      </w:r>
      <w:r w:rsidR="00D12423">
        <w:rPr>
          <w:lang w:val="en-US"/>
        </w:rPr>
        <w:t>take advantage of</w:t>
      </w:r>
      <w:r w:rsidR="00697524">
        <w:rPr>
          <w:lang w:val="en-US"/>
        </w:rPr>
        <w:t xml:space="preserve"> </w:t>
      </w:r>
      <w:r w:rsidR="00D12423">
        <w:rPr>
          <w:lang w:val="en-US"/>
        </w:rPr>
        <w:t xml:space="preserve">both </w:t>
      </w:r>
      <w:r w:rsidR="00697524">
        <w:rPr>
          <w:lang w:val="en-US"/>
        </w:rPr>
        <w:t>QPSK</w:t>
      </w:r>
      <w:r w:rsidR="00D12423">
        <w:rPr>
          <w:lang w:val="en-US"/>
        </w:rPr>
        <w:t xml:space="preserve"> and 16-QAM</w:t>
      </w:r>
      <w:r w:rsidR="00697524">
        <w:rPr>
          <w:lang w:val="en-US"/>
        </w:rPr>
        <w:t xml:space="preserve"> modulated interference</w:t>
      </w:r>
      <w:r w:rsidR="00D12423">
        <w:rPr>
          <w:lang w:val="en-US"/>
        </w:rPr>
        <w:t xml:space="preserve"> to result in acceptable gain over type 3i UE. </w:t>
      </w:r>
    </w:p>
    <w:p w14:paraId="3D9D8FF2" w14:textId="6A47C11D" w:rsidR="00590854" w:rsidRDefault="00590854" w:rsidP="00590854">
      <w:pPr>
        <w:jc w:val="center"/>
        <w:rPr>
          <w:lang w:eastAsia="ko-KR"/>
        </w:rPr>
      </w:pPr>
      <w:r>
        <w:rPr>
          <w:lang w:val="en-US"/>
        </w:rPr>
        <w:tab/>
      </w:r>
      <w:r>
        <w:rPr>
          <w:lang w:val="en-US"/>
        </w:rPr>
        <w:tab/>
      </w:r>
      <w:r>
        <w:rPr>
          <w:b/>
        </w:rPr>
        <w:t>Table 3</w:t>
      </w:r>
      <w:r w:rsidRPr="009D1D8F">
        <w:rPr>
          <w:b/>
        </w:rPr>
        <w:t>:</w:t>
      </w:r>
      <w:r>
        <w:rPr>
          <w:b/>
        </w:rPr>
        <w:t xml:space="preserve"> Interference Type</w:t>
      </w:r>
    </w:p>
    <w:tbl>
      <w:tblPr>
        <w:tblStyle w:val="TableGrid"/>
        <w:tblW w:w="0" w:type="auto"/>
        <w:jc w:val="center"/>
        <w:tblLook w:val="04A0" w:firstRow="1" w:lastRow="0" w:firstColumn="1" w:lastColumn="0" w:noHBand="0" w:noVBand="1"/>
      </w:tblPr>
      <w:tblGrid>
        <w:gridCol w:w="1705"/>
        <w:gridCol w:w="3420"/>
      </w:tblGrid>
      <w:tr w:rsidR="00244CBC" w14:paraId="6560BB92" w14:textId="77777777" w:rsidTr="00D513C4">
        <w:trPr>
          <w:jc w:val="center"/>
        </w:trPr>
        <w:tc>
          <w:tcPr>
            <w:tcW w:w="1705" w:type="dxa"/>
          </w:tcPr>
          <w:p w14:paraId="3E28AE81" w14:textId="15B7493C" w:rsidR="00244CBC" w:rsidRDefault="00244CBC" w:rsidP="00244CBC">
            <w:pPr>
              <w:rPr>
                <w:lang w:val="en-US"/>
              </w:rPr>
            </w:pPr>
            <w:r>
              <w:rPr>
                <w:lang w:val="en-US"/>
              </w:rPr>
              <w:t>Interference Type</w:t>
            </w:r>
          </w:p>
        </w:tc>
        <w:tc>
          <w:tcPr>
            <w:tcW w:w="3420" w:type="dxa"/>
          </w:tcPr>
          <w:p w14:paraId="39BB66BA" w14:textId="18FDF1D3" w:rsidR="00244CBC" w:rsidRDefault="00244CBC" w:rsidP="00244CBC">
            <w:pPr>
              <w:rPr>
                <w:lang w:val="en-US"/>
              </w:rPr>
            </w:pPr>
            <w:r>
              <w:rPr>
                <w:lang w:val="en-US"/>
              </w:rPr>
              <w:t>description</w:t>
            </w:r>
          </w:p>
        </w:tc>
      </w:tr>
      <w:tr w:rsidR="00244CBC" w14:paraId="2B4CA89E" w14:textId="77777777" w:rsidTr="00D513C4">
        <w:trPr>
          <w:jc w:val="center"/>
        </w:trPr>
        <w:tc>
          <w:tcPr>
            <w:tcW w:w="1705" w:type="dxa"/>
          </w:tcPr>
          <w:p w14:paraId="4B08AD40" w14:textId="2E3C817F" w:rsidR="00244CBC" w:rsidRDefault="00244CBC" w:rsidP="00244CBC">
            <w:pPr>
              <w:rPr>
                <w:lang w:val="en-US"/>
              </w:rPr>
            </w:pPr>
            <w:r>
              <w:rPr>
                <w:lang w:val="en-US"/>
              </w:rPr>
              <w:t>Type1</w:t>
            </w:r>
          </w:p>
        </w:tc>
        <w:tc>
          <w:tcPr>
            <w:tcW w:w="3420" w:type="dxa"/>
          </w:tcPr>
          <w:p w14:paraId="26EB4898" w14:textId="6132F634" w:rsidR="00244CBC" w:rsidRDefault="00244CBC" w:rsidP="00244CBC">
            <w:pPr>
              <w:rPr>
                <w:lang w:val="en-US"/>
              </w:rPr>
            </w:pPr>
            <w:r>
              <w:rPr>
                <w:lang w:val="en-US"/>
              </w:rPr>
              <w:t>15 codes, QPSK</w:t>
            </w:r>
          </w:p>
        </w:tc>
      </w:tr>
      <w:tr w:rsidR="00244CBC" w14:paraId="030A3919" w14:textId="77777777" w:rsidTr="00D513C4">
        <w:trPr>
          <w:jc w:val="center"/>
        </w:trPr>
        <w:tc>
          <w:tcPr>
            <w:tcW w:w="1705" w:type="dxa"/>
          </w:tcPr>
          <w:p w14:paraId="36ED6E1F" w14:textId="7B1C1ED3" w:rsidR="00244CBC" w:rsidRDefault="00244CBC" w:rsidP="00244CBC">
            <w:pPr>
              <w:rPr>
                <w:lang w:val="en-US"/>
              </w:rPr>
            </w:pPr>
            <w:r>
              <w:rPr>
                <w:lang w:val="en-US"/>
              </w:rPr>
              <w:t>Type2</w:t>
            </w:r>
          </w:p>
        </w:tc>
        <w:tc>
          <w:tcPr>
            <w:tcW w:w="3420" w:type="dxa"/>
          </w:tcPr>
          <w:p w14:paraId="4DA661FE" w14:textId="00D7811D" w:rsidR="00244CBC" w:rsidRDefault="00244CBC" w:rsidP="00244CBC">
            <w:pPr>
              <w:rPr>
                <w:lang w:val="en-US"/>
              </w:rPr>
            </w:pPr>
            <w:r>
              <w:rPr>
                <w:lang w:val="en-US"/>
              </w:rPr>
              <w:t>15 codes, 16QAM</w:t>
            </w:r>
          </w:p>
        </w:tc>
      </w:tr>
      <w:tr w:rsidR="00244CBC" w14:paraId="0460EED6" w14:textId="77777777" w:rsidTr="00D513C4">
        <w:trPr>
          <w:jc w:val="center"/>
        </w:trPr>
        <w:tc>
          <w:tcPr>
            <w:tcW w:w="1705" w:type="dxa"/>
          </w:tcPr>
          <w:p w14:paraId="3A3D362B" w14:textId="6680DDC5" w:rsidR="00244CBC" w:rsidRDefault="00244CBC" w:rsidP="00244CBC">
            <w:pPr>
              <w:rPr>
                <w:lang w:val="en-US"/>
              </w:rPr>
            </w:pPr>
            <w:r>
              <w:rPr>
                <w:lang w:val="en-US"/>
              </w:rPr>
              <w:t>Type3</w:t>
            </w:r>
          </w:p>
        </w:tc>
        <w:tc>
          <w:tcPr>
            <w:tcW w:w="3420" w:type="dxa"/>
          </w:tcPr>
          <w:p w14:paraId="78C8BD29" w14:textId="77777777" w:rsidR="00244CBC" w:rsidRDefault="00244CBC" w:rsidP="00244CBC">
            <w:pPr>
              <w:rPr>
                <w:lang w:val="en-US"/>
              </w:rPr>
            </w:pPr>
            <w:r>
              <w:rPr>
                <w:lang w:val="en-US"/>
              </w:rPr>
              <w:t>15 codes, randomly chosen modulation</w:t>
            </w:r>
          </w:p>
          <w:p w14:paraId="49177A7E" w14:textId="6E178E20" w:rsidR="00244CBC" w:rsidRDefault="00244CBC" w:rsidP="00E97A97">
            <w:pPr>
              <w:rPr>
                <w:lang w:val="en-US"/>
              </w:rPr>
            </w:pPr>
            <w:r>
              <w:rPr>
                <w:lang w:val="en-US"/>
              </w:rPr>
              <w:t>P</w:t>
            </w:r>
            <w:r>
              <w:rPr>
                <w:vertAlign w:val="subscript"/>
                <w:lang w:val="en-US"/>
              </w:rPr>
              <w:t>QPSK</w:t>
            </w:r>
            <w:r>
              <w:rPr>
                <w:lang w:val="en-US"/>
              </w:rPr>
              <w:t>=</w:t>
            </w:r>
            <w:r w:rsidR="00E97A97">
              <w:rPr>
                <w:lang w:val="en-US"/>
              </w:rPr>
              <w:t>0.25</w:t>
            </w:r>
            <w:r>
              <w:rPr>
                <w:lang w:val="en-US"/>
              </w:rPr>
              <w:t>,</w:t>
            </w:r>
            <w:r w:rsidR="00697524">
              <w:rPr>
                <w:lang w:val="en-US"/>
              </w:rPr>
              <w:t xml:space="preserve"> </w:t>
            </w:r>
            <w:r>
              <w:rPr>
                <w:lang w:val="en-US"/>
              </w:rPr>
              <w:t>P</w:t>
            </w:r>
            <w:r>
              <w:rPr>
                <w:vertAlign w:val="subscript"/>
                <w:lang w:val="en-US"/>
              </w:rPr>
              <w:t>16QAM</w:t>
            </w:r>
            <w:r>
              <w:rPr>
                <w:lang w:val="en-US"/>
              </w:rPr>
              <w:t>=</w:t>
            </w:r>
            <w:r w:rsidR="00E97A97">
              <w:rPr>
                <w:lang w:val="en-US"/>
              </w:rPr>
              <w:t>0.7</w:t>
            </w:r>
            <w:r>
              <w:rPr>
                <w:lang w:val="en-US"/>
              </w:rPr>
              <w:t>,</w:t>
            </w:r>
            <w:r w:rsidR="00697524">
              <w:rPr>
                <w:lang w:val="en-US"/>
              </w:rPr>
              <w:t xml:space="preserve"> </w:t>
            </w:r>
            <w:r>
              <w:rPr>
                <w:lang w:val="en-US"/>
              </w:rPr>
              <w:t>P</w:t>
            </w:r>
            <w:r>
              <w:rPr>
                <w:vertAlign w:val="subscript"/>
                <w:lang w:val="en-US"/>
              </w:rPr>
              <w:t>64QAM</w:t>
            </w:r>
            <w:r>
              <w:rPr>
                <w:lang w:val="en-US"/>
              </w:rPr>
              <w:t>=</w:t>
            </w:r>
            <w:r w:rsidR="00E97A97">
              <w:rPr>
                <w:lang w:val="en-US"/>
              </w:rPr>
              <w:t>0.05*</w:t>
            </w:r>
          </w:p>
          <w:p w14:paraId="5953F167" w14:textId="6F3384D8" w:rsidR="00E97A97" w:rsidRPr="00244CBC" w:rsidRDefault="00E97A97" w:rsidP="00697524">
            <w:pPr>
              <w:rPr>
                <w:lang w:val="en-US"/>
              </w:rPr>
            </w:pPr>
            <w:r>
              <w:rPr>
                <w:lang w:val="en-US"/>
              </w:rPr>
              <w:t>*</w:t>
            </w:r>
            <w:r w:rsidRPr="00E97A97">
              <w:rPr>
                <w:sz w:val="16"/>
                <w:lang w:val="en-US"/>
              </w:rPr>
              <w:t xml:space="preserve">These numbers are collected from a system simulation </w:t>
            </w:r>
            <w:r>
              <w:rPr>
                <w:sz w:val="16"/>
                <w:lang w:val="en-US"/>
              </w:rPr>
              <w:t>[</w:t>
            </w:r>
            <w:r w:rsidR="00697524">
              <w:rPr>
                <w:sz w:val="16"/>
                <w:lang w:val="en-US"/>
              </w:rPr>
              <w:t>6</w:t>
            </w:r>
            <w:r>
              <w:rPr>
                <w:sz w:val="16"/>
                <w:lang w:val="en-US"/>
              </w:rPr>
              <w:t>]</w:t>
            </w:r>
          </w:p>
        </w:tc>
      </w:tr>
    </w:tbl>
    <w:p w14:paraId="5695F0C4" w14:textId="24C30D9D" w:rsidR="00244CBC" w:rsidRPr="00244CBC" w:rsidRDefault="00244CBC" w:rsidP="00244CBC">
      <w:pPr>
        <w:rPr>
          <w:lang w:val="en-US"/>
        </w:rPr>
      </w:pPr>
    </w:p>
    <w:p w14:paraId="5FF27FE6" w14:textId="022091FD" w:rsidR="00B34605" w:rsidRDefault="00B34605" w:rsidP="00E97A97">
      <w:pPr>
        <w:pStyle w:val="Heading1"/>
        <w:numPr>
          <w:ilvl w:val="0"/>
          <w:numId w:val="37"/>
        </w:numPr>
        <w:rPr>
          <w:rFonts w:cs="Arial"/>
          <w:sz w:val="30"/>
          <w:szCs w:val="30"/>
          <w:lang w:eastAsia="ko-KR"/>
        </w:rPr>
      </w:pPr>
      <w:r w:rsidRPr="002C1715">
        <w:rPr>
          <w:rFonts w:cs="Arial"/>
          <w:sz w:val="30"/>
          <w:szCs w:val="30"/>
          <w:lang w:eastAsia="ko-KR"/>
        </w:rPr>
        <w:t xml:space="preserve">Simulation </w:t>
      </w:r>
      <w:r w:rsidR="00590854">
        <w:rPr>
          <w:rFonts w:cs="Arial"/>
          <w:sz w:val="30"/>
          <w:szCs w:val="30"/>
          <w:lang w:eastAsia="ko-KR"/>
        </w:rPr>
        <w:t>R</w:t>
      </w:r>
      <w:r w:rsidRPr="002C1715">
        <w:rPr>
          <w:rFonts w:cs="Arial"/>
          <w:sz w:val="30"/>
          <w:szCs w:val="30"/>
          <w:lang w:eastAsia="ko-KR"/>
        </w:rPr>
        <w:t>esults</w:t>
      </w:r>
    </w:p>
    <w:p w14:paraId="661A87C3" w14:textId="50E71D5E" w:rsidR="00590854" w:rsidRPr="00590854" w:rsidRDefault="00590854" w:rsidP="00590854">
      <w:pPr>
        <w:rPr>
          <w:lang w:eastAsia="ko-KR"/>
        </w:rPr>
      </w:pPr>
      <w:r>
        <w:rPr>
          <w:lang w:eastAsia="ko-KR"/>
        </w:rPr>
        <w:t xml:space="preserve">In this section we look at the throughput gain of a pico UE for opportunistic pre-decoding NAIC over type 3i receiver. </w:t>
      </w:r>
      <w:r w:rsidR="00683084">
        <w:rPr>
          <w:lang w:eastAsia="ko-KR"/>
        </w:rPr>
        <w:t>Main gain is for pico UEs at the cell edge and large CIOs. For a non RRS network where the modulation can be of any order, type 3 interference in Table 3, opportunistic NAIC can provide some gain for the tail UEs on the cell edge. However, considering the potential power overhead to broadcast interference information to the pico UE will reduce macro UE’s throughput substantially and hurt the overall network throughput.</w:t>
      </w:r>
    </w:p>
    <w:p w14:paraId="0BE18791" w14:textId="1C842F7A" w:rsidR="00590854" w:rsidRDefault="00590854" w:rsidP="00590854">
      <w:pPr>
        <w:keepNext/>
        <w:keepLines/>
        <w:tabs>
          <w:tab w:val="num" w:pos="567"/>
        </w:tabs>
        <w:spacing w:before="180"/>
        <w:ind w:left="90"/>
        <w:jc w:val="center"/>
        <w:outlineLvl w:val="1"/>
        <w:rPr>
          <w:rFonts w:ascii="CG Times (WN)" w:eastAsia="SimSun" w:hAnsi="CG Times (WN)"/>
          <w:lang w:val="en-US"/>
        </w:rPr>
      </w:pPr>
      <w:r>
        <w:rPr>
          <w:b/>
        </w:rPr>
        <w:t>Table 4</w:t>
      </w:r>
      <w:r w:rsidRPr="009D1D8F">
        <w:rPr>
          <w:b/>
        </w:rPr>
        <w:t>:</w:t>
      </w:r>
      <w:r>
        <w:rPr>
          <w:b/>
        </w:rPr>
        <w:t xml:space="preserve"> Simulation results for opportunistic pre-decoding NAIC</w:t>
      </w:r>
      <w:r>
        <w:rPr>
          <w:lang w:eastAsia="ko-KR"/>
        </w:rPr>
        <w:fldChar w:fldCharType="begin"/>
      </w:r>
      <w:r>
        <w:rPr>
          <w:lang w:eastAsia="ko-KR"/>
        </w:rPr>
        <w:instrText xml:space="preserve"> LINK Excel.Sheet.12 "Book2" "Sheet1!R35C4:R42C13" \a \f 4 \h </w:instrText>
      </w:r>
      <w:r>
        <w:rPr>
          <w:lang w:eastAsia="ko-KR"/>
        </w:rPr>
        <w:fldChar w:fldCharType="separate"/>
      </w:r>
    </w:p>
    <w:tbl>
      <w:tblPr>
        <w:tblW w:w="10400" w:type="dxa"/>
        <w:tblInd w:w="-384" w:type="dxa"/>
        <w:tblLook w:val="04A0" w:firstRow="1" w:lastRow="0" w:firstColumn="1" w:lastColumn="0" w:noHBand="0" w:noVBand="1"/>
      </w:tblPr>
      <w:tblGrid>
        <w:gridCol w:w="1120"/>
        <w:gridCol w:w="1014"/>
        <w:gridCol w:w="1013"/>
        <w:gridCol w:w="1013"/>
        <w:gridCol w:w="1120"/>
        <w:gridCol w:w="1120"/>
        <w:gridCol w:w="1120"/>
        <w:gridCol w:w="960"/>
        <w:gridCol w:w="960"/>
        <w:gridCol w:w="960"/>
      </w:tblGrid>
      <w:tr w:rsidR="00590854" w:rsidRPr="00590854" w14:paraId="1BE0A71E" w14:textId="77777777" w:rsidTr="00683084">
        <w:trPr>
          <w:trHeight w:val="300"/>
        </w:trPr>
        <w:tc>
          <w:tcPr>
            <w:tcW w:w="1120" w:type="dxa"/>
            <w:vMerge w:val="restart"/>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3F505D9F" w14:textId="77777777" w:rsidR="00590854" w:rsidRPr="00590854" w:rsidRDefault="00590854" w:rsidP="00590854">
            <w:pPr>
              <w:overflowPunct/>
              <w:autoSpaceDE/>
              <w:autoSpaceDN/>
              <w:adjustRightInd/>
              <w:spacing w:after="0"/>
              <w:jc w:val="center"/>
              <w:textAlignment w:val="auto"/>
              <w:rPr>
                <w:rFonts w:ascii="Calibri" w:hAnsi="Calibri"/>
                <w:color w:val="000000"/>
                <w:sz w:val="22"/>
                <w:szCs w:val="22"/>
                <w:lang w:val="en-US"/>
              </w:rPr>
            </w:pPr>
            <w:r w:rsidRPr="00590854">
              <w:rPr>
                <w:rFonts w:ascii="Calibri" w:hAnsi="Calibri"/>
                <w:color w:val="000000"/>
                <w:sz w:val="22"/>
                <w:szCs w:val="22"/>
                <w:lang w:val="en-US"/>
              </w:rPr>
              <w:t>UE Location</w:t>
            </w:r>
          </w:p>
        </w:tc>
        <w:tc>
          <w:tcPr>
            <w:tcW w:w="3040" w:type="dxa"/>
            <w:gridSpan w:val="3"/>
            <w:tcBorders>
              <w:top w:val="single" w:sz="4" w:space="0" w:color="auto"/>
              <w:left w:val="nil"/>
              <w:bottom w:val="single" w:sz="4" w:space="0" w:color="auto"/>
              <w:right w:val="single" w:sz="4" w:space="0" w:color="auto"/>
            </w:tcBorders>
            <w:shd w:val="clear" w:color="000000" w:fill="DDEBF7"/>
            <w:noWrap/>
            <w:vAlign w:val="bottom"/>
            <w:hideMark/>
          </w:tcPr>
          <w:p w14:paraId="09246EA9" w14:textId="77777777" w:rsidR="00590854" w:rsidRPr="00590854" w:rsidRDefault="00590854" w:rsidP="00590854">
            <w:pPr>
              <w:overflowPunct/>
              <w:autoSpaceDE/>
              <w:autoSpaceDN/>
              <w:adjustRightInd/>
              <w:spacing w:after="0"/>
              <w:jc w:val="center"/>
              <w:textAlignment w:val="auto"/>
              <w:rPr>
                <w:rFonts w:ascii="Calibri" w:hAnsi="Calibri"/>
                <w:color w:val="000000"/>
                <w:sz w:val="22"/>
                <w:szCs w:val="22"/>
                <w:lang w:val="en-US"/>
              </w:rPr>
            </w:pPr>
            <w:r w:rsidRPr="00590854">
              <w:rPr>
                <w:rFonts w:ascii="Calibri" w:hAnsi="Calibri"/>
                <w:color w:val="000000"/>
                <w:sz w:val="22"/>
                <w:szCs w:val="22"/>
                <w:lang w:val="en-US"/>
              </w:rPr>
              <w:t>Interference Type1</w:t>
            </w:r>
          </w:p>
        </w:tc>
        <w:tc>
          <w:tcPr>
            <w:tcW w:w="3360" w:type="dxa"/>
            <w:gridSpan w:val="3"/>
            <w:tcBorders>
              <w:top w:val="single" w:sz="4" w:space="0" w:color="auto"/>
              <w:left w:val="nil"/>
              <w:bottom w:val="single" w:sz="4" w:space="0" w:color="auto"/>
              <w:right w:val="single" w:sz="4" w:space="0" w:color="auto"/>
            </w:tcBorders>
            <w:shd w:val="clear" w:color="000000" w:fill="DDEBF7"/>
            <w:noWrap/>
            <w:vAlign w:val="bottom"/>
            <w:hideMark/>
          </w:tcPr>
          <w:p w14:paraId="55B61153" w14:textId="77777777" w:rsidR="00590854" w:rsidRPr="00590854" w:rsidRDefault="00590854" w:rsidP="00590854">
            <w:pPr>
              <w:overflowPunct/>
              <w:autoSpaceDE/>
              <w:autoSpaceDN/>
              <w:adjustRightInd/>
              <w:spacing w:after="0"/>
              <w:jc w:val="center"/>
              <w:textAlignment w:val="auto"/>
              <w:rPr>
                <w:rFonts w:ascii="Calibri" w:hAnsi="Calibri"/>
                <w:color w:val="000000"/>
                <w:sz w:val="22"/>
                <w:szCs w:val="22"/>
                <w:lang w:val="en-US"/>
              </w:rPr>
            </w:pPr>
            <w:r w:rsidRPr="00590854">
              <w:rPr>
                <w:rFonts w:ascii="Calibri" w:hAnsi="Calibri"/>
                <w:color w:val="000000"/>
                <w:sz w:val="22"/>
                <w:szCs w:val="22"/>
                <w:lang w:val="en-US"/>
              </w:rPr>
              <w:t>Interference Type2</w:t>
            </w:r>
          </w:p>
        </w:tc>
        <w:tc>
          <w:tcPr>
            <w:tcW w:w="2880" w:type="dxa"/>
            <w:gridSpan w:val="3"/>
            <w:tcBorders>
              <w:top w:val="single" w:sz="4" w:space="0" w:color="auto"/>
              <w:left w:val="nil"/>
              <w:bottom w:val="single" w:sz="4" w:space="0" w:color="auto"/>
              <w:right w:val="single" w:sz="4" w:space="0" w:color="auto"/>
            </w:tcBorders>
            <w:shd w:val="clear" w:color="000000" w:fill="DDEBF7"/>
            <w:noWrap/>
            <w:vAlign w:val="bottom"/>
            <w:hideMark/>
          </w:tcPr>
          <w:p w14:paraId="44C38561" w14:textId="77777777" w:rsidR="00590854" w:rsidRPr="00590854" w:rsidRDefault="00590854" w:rsidP="00590854">
            <w:pPr>
              <w:overflowPunct/>
              <w:autoSpaceDE/>
              <w:autoSpaceDN/>
              <w:adjustRightInd/>
              <w:spacing w:after="0"/>
              <w:jc w:val="center"/>
              <w:textAlignment w:val="auto"/>
              <w:rPr>
                <w:rFonts w:ascii="Calibri" w:hAnsi="Calibri"/>
                <w:color w:val="000000"/>
                <w:sz w:val="22"/>
                <w:szCs w:val="22"/>
                <w:lang w:val="en-US"/>
              </w:rPr>
            </w:pPr>
            <w:r w:rsidRPr="00590854">
              <w:rPr>
                <w:rFonts w:ascii="Calibri" w:hAnsi="Calibri"/>
                <w:color w:val="000000"/>
                <w:sz w:val="22"/>
                <w:szCs w:val="22"/>
                <w:lang w:val="en-US"/>
              </w:rPr>
              <w:t>Interference Type3</w:t>
            </w:r>
          </w:p>
        </w:tc>
      </w:tr>
      <w:tr w:rsidR="00590854" w:rsidRPr="00590854" w14:paraId="71CAB622" w14:textId="77777777" w:rsidTr="00683084">
        <w:trPr>
          <w:trHeight w:val="300"/>
        </w:trPr>
        <w:tc>
          <w:tcPr>
            <w:tcW w:w="1120" w:type="dxa"/>
            <w:vMerge/>
            <w:tcBorders>
              <w:top w:val="single" w:sz="4" w:space="0" w:color="auto"/>
              <w:left w:val="single" w:sz="4" w:space="0" w:color="auto"/>
              <w:bottom w:val="single" w:sz="4" w:space="0" w:color="auto"/>
              <w:right w:val="single" w:sz="4" w:space="0" w:color="auto"/>
            </w:tcBorders>
            <w:vAlign w:val="center"/>
            <w:hideMark/>
          </w:tcPr>
          <w:p w14:paraId="1477EB50" w14:textId="77777777" w:rsidR="00590854" w:rsidRPr="00590854" w:rsidRDefault="00590854" w:rsidP="00590854">
            <w:pPr>
              <w:overflowPunct/>
              <w:autoSpaceDE/>
              <w:autoSpaceDN/>
              <w:adjustRightInd/>
              <w:spacing w:after="0"/>
              <w:textAlignment w:val="auto"/>
              <w:rPr>
                <w:rFonts w:ascii="Calibri" w:hAnsi="Calibri"/>
                <w:color w:val="000000"/>
                <w:sz w:val="22"/>
                <w:szCs w:val="22"/>
                <w:lang w:val="en-US"/>
              </w:rPr>
            </w:pPr>
          </w:p>
        </w:tc>
        <w:tc>
          <w:tcPr>
            <w:tcW w:w="1014" w:type="dxa"/>
            <w:tcBorders>
              <w:top w:val="nil"/>
              <w:left w:val="nil"/>
              <w:bottom w:val="single" w:sz="4" w:space="0" w:color="auto"/>
              <w:right w:val="single" w:sz="4" w:space="0" w:color="auto"/>
            </w:tcBorders>
            <w:shd w:val="clear" w:color="000000" w:fill="DDEBF7"/>
            <w:noWrap/>
            <w:vAlign w:val="bottom"/>
            <w:hideMark/>
          </w:tcPr>
          <w:p w14:paraId="578B257E" w14:textId="77777777" w:rsidR="00590854" w:rsidRPr="00590854" w:rsidRDefault="00590854" w:rsidP="00590854">
            <w:pPr>
              <w:overflowPunct/>
              <w:autoSpaceDE/>
              <w:autoSpaceDN/>
              <w:adjustRightInd/>
              <w:spacing w:after="0"/>
              <w:textAlignment w:val="auto"/>
              <w:rPr>
                <w:rFonts w:ascii="Calibri" w:hAnsi="Calibri"/>
                <w:color w:val="000000"/>
                <w:sz w:val="22"/>
                <w:szCs w:val="22"/>
                <w:lang w:val="en-US"/>
              </w:rPr>
            </w:pPr>
            <w:r w:rsidRPr="00590854">
              <w:rPr>
                <w:rFonts w:ascii="Calibri" w:hAnsi="Calibri"/>
                <w:color w:val="000000"/>
                <w:sz w:val="22"/>
                <w:szCs w:val="22"/>
                <w:lang w:val="en-US"/>
              </w:rPr>
              <w:t>PA3</w:t>
            </w:r>
          </w:p>
        </w:tc>
        <w:tc>
          <w:tcPr>
            <w:tcW w:w="1013" w:type="dxa"/>
            <w:tcBorders>
              <w:top w:val="nil"/>
              <w:left w:val="nil"/>
              <w:bottom w:val="single" w:sz="4" w:space="0" w:color="auto"/>
              <w:right w:val="single" w:sz="4" w:space="0" w:color="auto"/>
            </w:tcBorders>
            <w:shd w:val="clear" w:color="000000" w:fill="DDEBF7"/>
            <w:noWrap/>
            <w:vAlign w:val="bottom"/>
            <w:hideMark/>
          </w:tcPr>
          <w:p w14:paraId="102A2CEA" w14:textId="77777777" w:rsidR="00590854" w:rsidRPr="00590854" w:rsidRDefault="00590854" w:rsidP="00590854">
            <w:pPr>
              <w:overflowPunct/>
              <w:autoSpaceDE/>
              <w:autoSpaceDN/>
              <w:adjustRightInd/>
              <w:spacing w:after="0"/>
              <w:textAlignment w:val="auto"/>
              <w:rPr>
                <w:rFonts w:ascii="Calibri" w:hAnsi="Calibri"/>
                <w:color w:val="000000"/>
                <w:sz w:val="22"/>
                <w:szCs w:val="22"/>
                <w:lang w:val="en-US"/>
              </w:rPr>
            </w:pPr>
            <w:r w:rsidRPr="00590854">
              <w:rPr>
                <w:rFonts w:ascii="Calibri" w:hAnsi="Calibri"/>
                <w:color w:val="000000"/>
                <w:sz w:val="22"/>
                <w:szCs w:val="22"/>
                <w:lang w:val="en-US"/>
              </w:rPr>
              <w:t>VA3</w:t>
            </w:r>
          </w:p>
        </w:tc>
        <w:tc>
          <w:tcPr>
            <w:tcW w:w="1013" w:type="dxa"/>
            <w:tcBorders>
              <w:top w:val="nil"/>
              <w:left w:val="nil"/>
              <w:bottom w:val="single" w:sz="4" w:space="0" w:color="auto"/>
              <w:right w:val="single" w:sz="4" w:space="0" w:color="auto"/>
            </w:tcBorders>
            <w:shd w:val="clear" w:color="000000" w:fill="DDEBF7"/>
            <w:noWrap/>
            <w:vAlign w:val="bottom"/>
            <w:hideMark/>
          </w:tcPr>
          <w:p w14:paraId="3D09D431" w14:textId="77777777" w:rsidR="00590854" w:rsidRPr="00590854" w:rsidRDefault="00590854" w:rsidP="00590854">
            <w:pPr>
              <w:overflowPunct/>
              <w:autoSpaceDE/>
              <w:autoSpaceDN/>
              <w:adjustRightInd/>
              <w:spacing w:after="0"/>
              <w:textAlignment w:val="auto"/>
              <w:rPr>
                <w:rFonts w:ascii="Calibri" w:hAnsi="Calibri"/>
                <w:color w:val="000000"/>
                <w:sz w:val="22"/>
                <w:szCs w:val="22"/>
                <w:lang w:val="en-US"/>
              </w:rPr>
            </w:pPr>
            <w:r w:rsidRPr="00590854">
              <w:rPr>
                <w:rFonts w:ascii="Calibri" w:hAnsi="Calibri"/>
                <w:color w:val="000000"/>
                <w:sz w:val="22"/>
                <w:szCs w:val="22"/>
                <w:lang w:val="en-US"/>
              </w:rPr>
              <w:t>PB3</w:t>
            </w:r>
          </w:p>
        </w:tc>
        <w:tc>
          <w:tcPr>
            <w:tcW w:w="1120" w:type="dxa"/>
            <w:tcBorders>
              <w:top w:val="nil"/>
              <w:left w:val="nil"/>
              <w:bottom w:val="single" w:sz="4" w:space="0" w:color="auto"/>
              <w:right w:val="single" w:sz="4" w:space="0" w:color="auto"/>
            </w:tcBorders>
            <w:shd w:val="clear" w:color="000000" w:fill="DDEBF7"/>
            <w:noWrap/>
            <w:vAlign w:val="bottom"/>
            <w:hideMark/>
          </w:tcPr>
          <w:p w14:paraId="3D1E24B5" w14:textId="77777777" w:rsidR="00590854" w:rsidRPr="00590854" w:rsidRDefault="00590854" w:rsidP="00590854">
            <w:pPr>
              <w:overflowPunct/>
              <w:autoSpaceDE/>
              <w:autoSpaceDN/>
              <w:adjustRightInd/>
              <w:spacing w:after="0"/>
              <w:textAlignment w:val="auto"/>
              <w:rPr>
                <w:rFonts w:ascii="Calibri" w:hAnsi="Calibri"/>
                <w:color w:val="000000"/>
                <w:sz w:val="22"/>
                <w:szCs w:val="22"/>
                <w:lang w:val="en-US"/>
              </w:rPr>
            </w:pPr>
            <w:r w:rsidRPr="00590854">
              <w:rPr>
                <w:rFonts w:ascii="Calibri" w:hAnsi="Calibri"/>
                <w:color w:val="000000"/>
                <w:sz w:val="22"/>
                <w:szCs w:val="22"/>
                <w:lang w:val="en-US"/>
              </w:rPr>
              <w:t>PA3</w:t>
            </w:r>
          </w:p>
        </w:tc>
        <w:tc>
          <w:tcPr>
            <w:tcW w:w="1120" w:type="dxa"/>
            <w:tcBorders>
              <w:top w:val="nil"/>
              <w:left w:val="nil"/>
              <w:bottom w:val="single" w:sz="4" w:space="0" w:color="auto"/>
              <w:right w:val="single" w:sz="4" w:space="0" w:color="auto"/>
            </w:tcBorders>
            <w:shd w:val="clear" w:color="000000" w:fill="DDEBF7"/>
            <w:noWrap/>
            <w:vAlign w:val="bottom"/>
            <w:hideMark/>
          </w:tcPr>
          <w:p w14:paraId="4873037A" w14:textId="77777777" w:rsidR="00590854" w:rsidRPr="00590854" w:rsidRDefault="00590854" w:rsidP="00590854">
            <w:pPr>
              <w:overflowPunct/>
              <w:autoSpaceDE/>
              <w:autoSpaceDN/>
              <w:adjustRightInd/>
              <w:spacing w:after="0"/>
              <w:textAlignment w:val="auto"/>
              <w:rPr>
                <w:rFonts w:ascii="Calibri" w:hAnsi="Calibri"/>
                <w:color w:val="000000"/>
                <w:sz w:val="22"/>
                <w:szCs w:val="22"/>
                <w:lang w:val="en-US"/>
              </w:rPr>
            </w:pPr>
            <w:r w:rsidRPr="00590854">
              <w:rPr>
                <w:rFonts w:ascii="Calibri" w:hAnsi="Calibri"/>
                <w:color w:val="000000"/>
                <w:sz w:val="22"/>
                <w:szCs w:val="22"/>
                <w:lang w:val="en-US"/>
              </w:rPr>
              <w:t>VA3</w:t>
            </w:r>
          </w:p>
        </w:tc>
        <w:tc>
          <w:tcPr>
            <w:tcW w:w="1120" w:type="dxa"/>
            <w:tcBorders>
              <w:top w:val="nil"/>
              <w:left w:val="nil"/>
              <w:bottom w:val="single" w:sz="4" w:space="0" w:color="auto"/>
              <w:right w:val="single" w:sz="4" w:space="0" w:color="auto"/>
            </w:tcBorders>
            <w:shd w:val="clear" w:color="000000" w:fill="DDEBF7"/>
            <w:noWrap/>
            <w:vAlign w:val="bottom"/>
            <w:hideMark/>
          </w:tcPr>
          <w:p w14:paraId="7F594359" w14:textId="77777777" w:rsidR="00590854" w:rsidRPr="00590854" w:rsidRDefault="00590854" w:rsidP="00590854">
            <w:pPr>
              <w:overflowPunct/>
              <w:autoSpaceDE/>
              <w:autoSpaceDN/>
              <w:adjustRightInd/>
              <w:spacing w:after="0"/>
              <w:textAlignment w:val="auto"/>
              <w:rPr>
                <w:rFonts w:ascii="Calibri" w:hAnsi="Calibri"/>
                <w:color w:val="000000"/>
                <w:sz w:val="22"/>
                <w:szCs w:val="22"/>
                <w:lang w:val="en-US"/>
              </w:rPr>
            </w:pPr>
            <w:r w:rsidRPr="00590854">
              <w:rPr>
                <w:rFonts w:ascii="Calibri" w:hAnsi="Calibri"/>
                <w:color w:val="000000"/>
                <w:sz w:val="22"/>
                <w:szCs w:val="22"/>
                <w:lang w:val="en-US"/>
              </w:rPr>
              <w:t>PB3</w:t>
            </w:r>
          </w:p>
        </w:tc>
        <w:tc>
          <w:tcPr>
            <w:tcW w:w="960" w:type="dxa"/>
            <w:tcBorders>
              <w:top w:val="nil"/>
              <w:left w:val="nil"/>
              <w:bottom w:val="single" w:sz="4" w:space="0" w:color="auto"/>
              <w:right w:val="single" w:sz="4" w:space="0" w:color="auto"/>
            </w:tcBorders>
            <w:shd w:val="clear" w:color="000000" w:fill="DDEBF7"/>
            <w:noWrap/>
            <w:vAlign w:val="bottom"/>
            <w:hideMark/>
          </w:tcPr>
          <w:p w14:paraId="1E7999FB" w14:textId="77777777" w:rsidR="00590854" w:rsidRPr="00590854" w:rsidRDefault="00590854" w:rsidP="00590854">
            <w:pPr>
              <w:overflowPunct/>
              <w:autoSpaceDE/>
              <w:autoSpaceDN/>
              <w:adjustRightInd/>
              <w:spacing w:after="0"/>
              <w:textAlignment w:val="auto"/>
              <w:rPr>
                <w:rFonts w:ascii="Calibri" w:hAnsi="Calibri"/>
                <w:color w:val="000000"/>
                <w:sz w:val="22"/>
                <w:szCs w:val="22"/>
                <w:lang w:val="en-US"/>
              </w:rPr>
            </w:pPr>
            <w:r w:rsidRPr="00590854">
              <w:rPr>
                <w:rFonts w:ascii="Calibri" w:hAnsi="Calibri"/>
                <w:color w:val="000000"/>
                <w:sz w:val="22"/>
                <w:szCs w:val="22"/>
                <w:lang w:val="en-US"/>
              </w:rPr>
              <w:t>PA3</w:t>
            </w:r>
          </w:p>
        </w:tc>
        <w:tc>
          <w:tcPr>
            <w:tcW w:w="960" w:type="dxa"/>
            <w:tcBorders>
              <w:top w:val="nil"/>
              <w:left w:val="nil"/>
              <w:bottom w:val="single" w:sz="4" w:space="0" w:color="auto"/>
              <w:right w:val="single" w:sz="4" w:space="0" w:color="auto"/>
            </w:tcBorders>
            <w:shd w:val="clear" w:color="000000" w:fill="DDEBF7"/>
            <w:noWrap/>
            <w:vAlign w:val="bottom"/>
            <w:hideMark/>
          </w:tcPr>
          <w:p w14:paraId="3A14F459" w14:textId="77777777" w:rsidR="00590854" w:rsidRPr="00590854" w:rsidRDefault="00590854" w:rsidP="00590854">
            <w:pPr>
              <w:overflowPunct/>
              <w:autoSpaceDE/>
              <w:autoSpaceDN/>
              <w:adjustRightInd/>
              <w:spacing w:after="0"/>
              <w:textAlignment w:val="auto"/>
              <w:rPr>
                <w:rFonts w:ascii="Calibri" w:hAnsi="Calibri"/>
                <w:color w:val="000000"/>
                <w:sz w:val="22"/>
                <w:szCs w:val="22"/>
                <w:lang w:val="en-US"/>
              </w:rPr>
            </w:pPr>
            <w:r w:rsidRPr="00590854">
              <w:rPr>
                <w:rFonts w:ascii="Calibri" w:hAnsi="Calibri"/>
                <w:color w:val="000000"/>
                <w:sz w:val="22"/>
                <w:szCs w:val="22"/>
                <w:lang w:val="en-US"/>
              </w:rPr>
              <w:t>VA3</w:t>
            </w:r>
          </w:p>
        </w:tc>
        <w:tc>
          <w:tcPr>
            <w:tcW w:w="960" w:type="dxa"/>
            <w:tcBorders>
              <w:top w:val="nil"/>
              <w:left w:val="nil"/>
              <w:bottom w:val="single" w:sz="4" w:space="0" w:color="auto"/>
              <w:right w:val="single" w:sz="4" w:space="0" w:color="auto"/>
            </w:tcBorders>
            <w:shd w:val="clear" w:color="000000" w:fill="DDEBF7"/>
            <w:noWrap/>
            <w:vAlign w:val="bottom"/>
            <w:hideMark/>
          </w:tcPr>
          <w:p w14:paraId="50EEBCB8" w14:textId="77777777" w:rsidR="00590854" w:rsidRPr="00590854" w:rsidRDefault="00590854" w:rsidP="00590854">
            <w:pPr>
              <w:overflowPunct/>
              <w:autoSpaceDE/>
              <w:autoSpaceDN/>
              <w:adjustRightInd/>
              <w:spacing w:after="0"/>
              <w:textAlignment w:val="auto"/>
              <w:rPr>
                <w:rFonts w:ascii="Calibri" w:hAnsi="Calibri"/>
                <w:color w:val="000000"/>
                <w:sz w:val="22"/>
                <w:szCs w:val="22"/>
                <w:lang w:val="en-US"/>
              </w:rPr>
            </w:pPr>
            <w:r w:rsidRPr="00590854">
              <w:rPr>
                <w:rFonts w:ascii="Calibri" w:hAnsi="Calibri"/>
                <w:color w:val="000000"/>
                <w:sz w:val="22"/>
                <w:szCs w:val="22"/>
                <w:lang w:val="en-US"/>
              </w:rPr>
              <w:t>PB3</w:t>
            </w:r>
          </w:p>
        </w:tc>
      </w:tr>
      <w:tr w:rsidR="002D21F7" w:rsidRPr="00590854" w14:paraId="1B470503" w14:textId="77777777" w:rsidTr="00683084">
        <w:trPr>
          <w:trHeight w:val="300"/>
        </w:trPr>
        <w:tc>
          <w:tcPr>
            <w:tcW w:w="1120" w:type="dxa"/>
            <w:tcBorders>
              <w:top w:val="nil"/>
              <w:left w:val="single" w:sz="4" w:space="0" w:color="auto"/>
              <w:bottom w:val="single" w:sz="4" w:space="0" w:color="auto"/>
              <w:right w:val="single" w:sz="4" w:space="0" w:color="auto"/>
            </w:tcBorders>
            <w:shd w:val="clear" w:color="000000" w:fill="DDEBF7"/>
            <w:noWrap/>
            <w:vAlign w:val="bottom"/>
            <w:hideMark/>
          </w:tcPr>
          <w:p w14:paraId="08BA27A6" w14:textId="77777777" w:rsidR="002D21F7" w:rsidRPr="00590854" w:rsidRDefault="002D21F7" w:rsidP="002D21F7">
            <w:pPr>
              <w:overflowPunct/>
              <w:autoSpaceDE/>
              <w:autoSpaceDN/>
              <w:adjustRightInd/>
              <w:spacing w:after="0"/>
              <w:textAlignment w:val="auto"/>
              <w:rPr>
                <w:rFonts w:ascii="Calibri" w:hAnsi="Calibri"/>
                <w:color w:val="000000"/>
                <w:sz w:val="22"/>
                <w:szCs w:val="22"/>
                <w:lang w:val="en-US"/>
              </w:rPr>
            </w:pPr>
            <w:r w:rsidRPr="00590854">
              <w:rPr>
                <w:rFonts w:ascii="Calibri" w:hAnsi="Calibri"/>
                <w:color w:val="000000"/>
                <w:sz w:val="22"/>
                <w:szCs w:val="22"/>
                <w:lang w:val="en-US"/>
              </w:rPr>
              <w:t>L1</w:t>
            </w:r>
          </w:p>
        </w:tc>
        <w:tc>
          <w:tcPr>
            <w:tcW w:w="1014" w:type="dxa"/>
            <w:tcBorders>
              <w:top w:val="nil"/>
              <w:left w:val="nil"/>
              <w:bottom w:val="single" w:sz="4" w:space="0" w:color="auto"/>
              <w:right w:val="single" w:sz="4" w:space="0" w:color="auto"/>
            </w:tcBorders>
            <w:shd w:val="clear" w:color="auto" w:fill="auto"/>
            <w:noWrap/>
            <w:vAlign w:val="bottom"/>
            <w:hideMark/>
          </w:tcPr>
          <w:p w14:paraId="688FB0FE"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39.73%</w:t>
            </w:r>
          </w:p>
        </w:tc>
        <w:tc>
          <w:tcPr>
            <w:tcW w:w="1013" w:type="dxa"/>
            <w:tcBorders>
              <w:top w:val="nil"/>
              <w:left w:val="nil"/>
              <w:bottom w:val="single" w:sz="4" w:space="0" w:color="auto"/>
              <w:right w:val="single" w:sz="4" w:space="0" w:color="auto"/>
            </w:tcBorders>
            <w:shd w:val="clear" w:color="auto" w:fill="auto"/>
            <w:noWrap/>
            <w:vAlign w:val="bottom"/>
            <w:hideMark/>
          </w:tcPr>
          <w:p w14:paraId="6B85E81F"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45.14%</w:t>
            </w:r>
          </w:p>
        </w:tc>
        <w:tc>
          <w:tcPr>
            <w:tcW w:w="1013" w:type="dxa"/>
            <w:tcBorders>
              <w:top w:val="nil"/>
              <w:left w:val="nil"/>
              <w:bottom w:val="single" w:sz="4" w:space="0" w:color="auto"/>
              <w:right w:val="single" w:sz="4" w:space="0" w:color="auto"/>
            </w:tcBorders>
            <w:shd w:val="clear" w:color="auto" w:fill="auto"/>
            <w:noWrap/>
            <w:vAlign w:val="bottom"/>
            <w:hideMark/>
          </w:tcPr>
          <w:p w14:paraId="0B26E407"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43.97%</w:t>
            </w:r>
          </w:p>
        </w:tc>
        <w:tc>
          <w:tcPr>
            <w:tcW w:w="1120" w:type="dxa"/>
            <w:tcBorders>
              <w:top w:val="nil"/>
              <w:left w:val="nil"/>
              <w:bottom w:val="single" w:sz="4" w:space="0" w:color="auto"/>
              <w:right w:val="single" w:sz="4" w:space="0" w:color="auto"/>
            </w:tcBorders>
            <w:shd w:val="clear" w:color="auto" w:fill="auto"/>
            <w:noWrap/>
            <w:vAlign w:val="bottom"/>
            <w:hideMark/>
          </w:tcPr>
          <w:p w14:paraId="6E069045"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14.97%</w:t>
            </w:r>
          </w:p>
        </w:tc>
        <w:tc>
          <w:tcPr>
            <w:tcW w:w="1120" w:type="dxa"/>
            <w:tcBorders>
              <w:top w:val="nil"/>
              <w:left w:val="nil"/>
              <w:bottom w:val="single" w:sz="4" w:space="0" w:color="auto"/>
              <w:right w:val="single" w:sz="4" w:space="0" w:color="auto"/>
            </w:tcBorders>
            <w:shd w:val="clear" w:color="auto" w:fill="auto"/>
            <w:noWrap/>
            <w:vAlign w:val="bottom"/>
            <w:hideMark/>
          </w:tcPr>
          <w:p w14:paraId="0CD99BF5"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22.69%</w:t>
            </w:r>
          </w:p>
        </w:tc>
        <w:tc>
          <w:tcPr>
            <w:tcW w:w="1120" w:type="dxa"/>
            <w:tcBorders>
              <w:top w:val="nil"/>
              <w:left w:val="nil"/>
              <w:bottom w:val="single" w:sz="4" w:space="0" w:color="auto"/>
              <w:right w:val="single" w:sz="4" w:space="0" w:color="auto"/>
            </w:tcBorders>
            <w:shd w:val="clear" w:color="auto" w:fill="auto"/>
            <w:noWrap/>
            <w:vAlign w:val="bottom"/>
            <w:hideMark/>
          </w:tcPr>
          <w:p w14:paraId="1340C745"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21.75%</w:t>
            </w:r>
          </w:p>
        </w:tc>
        <w:tc>
          <w:tcPr>
            <w:tcW w:w="960" w:type="dxa"/>
            <w:tcBorders>
              <w:top w:val="nil"/>
              <w:left w:val="nil"/>
              <w:bottom w:val="single" w:sz="4" w:space="0" w:color="auto"/>
              <w:right w:val="single" w:sz="4" w:space="0" w:color="auto"/>
            </w:tcBorders>
            <w:shd w:val="clear" w:color="auto" w:fill="auto"/>
            <w:noWrap/>
            <w:vAlign w:val="bottom"/>
            <w:hideMark/>
          </w:tcPr>
          <w:p w14:paraId="37295D8F" w14:textId="6CDC8BFB"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14.65%</w:t>
            </w:r>
          </w:p>
        </w:tc>
        <w:tc>
          <w:tcPr>
            <w:tcW w:w="960" w:type="dxa"/>
            <w:tcBorders>
              <w:top w:val="nil"/>
              <w:left w:val="nil"/>
              <w:bottom w:val="single" w:sz="4" w:space="0" w:color="auto"/>
              <w:right w:val="single" w:sz="4" w:space="0" w:color="auto"/>
            </w:tcBorders>
            <w:shd w:val="clear" w:color="auto" w:fill="auto"/>
            <w:noWrap/>
            <w:vAlign w:val="bottom"/>
            <w:hideMark/>
          </w:tcPr>
          <w:p w14:paraId="48F71954" w14:textId="7EEFB6B1"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21.74%</w:t>
            </w:r>
          </w:p>
        </w:tc>
        <w:tc>
          <w:tcPr>
            <w:tcW w:w="960" w:type="dxa"/>
            <w:tcBorders>
              <w:top w:val="nil"/>
              <w:left w:val="nil"/>
              <w:bottom w:val="single" w:sz="4" w:space="0" w:color="auto"/>
              <w:right w:val="single" w:sz="4" w:space="0" w:color="auto"/>
            </w:tcBorders>
            <w:shd w:val="clear" w:color="auto" w:fill="auto"/>
            <w:noWrap/>
            <w:vAlign w:val="bottom"/>
            <w:hideMark/>
          </w:tcPr>
          <w:p w14:paraId="4A939850" w14:textId="43F0DAD0"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20.76%</w:t>
            </w:r>
          </w:p>
        </w:tc>
      </w:tr>
      <w:tr w:rsidR="002D21F7" w:rsidRPr="00590854" w14:paraId="4A4BC1EF" w14:textId="77777777" w:rsidTr="00683084">
        <w:trPr>
          <w:trHeight w:val="300"/>
        </w:trPr>
        <w:tc>
          <w:tcPr>
            <w:tcW w:w="1120" w:type="dxa"/>
            <w:tcBorders>
              <w:top w:val="nil"/>
              <w:left w:val="single" w:sz="4" w:space="0" w:color="auto"/>
              <w:bottom w:val="single" w:sz="4" w:space="0" w:color="auto"/>
              <w:right w:val="single" w:sz="4" w:space="0" w:color="auto"/>
            </w:tcBorders>
            <w:shd w:val="clear" w:color="000000" w:fill="DDEBF7"/>
            <w:noWrap/>
            <w:vAlign w:val="bottom"/>
            <w:hideMark/>
          </w:tcPr>
          <w:p w14:paraId="0E9816AA" w14:textId="77777777" w:rsidR="002D21F7" w:rsidRPr="00590854" w:rsidRDefault="002D21F7" w:rsidP="002D21F7">
            <w:pPr>
              <w:overflowPunct/>
              <w:autoSpaceDE/>
              <w:autoSpaceDN/>
              <w:adjustRightInd/>
              <w:spacing w:after="0"/>
              <w:textAlignment w:val="auto"/>
              <w:rPr>
                <w:rFonts w:ascii="Calibri" w:hAnsi="Calibri"/>
                <w:color w:val="000000"/>
                <w:sz w:val="22"/>
                <w:szCs w:val="22"/>
                <w:lang w:val="en-US"/>
              </w:rPr>
            </w:pPr>
            <w:r w:rsidRPr="00590854">
              <w:rPr>
                <w:rFonts w:ascii="Calibri" w:hAnsi="Calibri"/>
                <w:color w:val="000000"/>
                <w:sz w:val="22"/>
                <w:szCs w:val="22"/>
                <w:lang w:val="en-US"/>
              </w:rPr>
              <w:t>L2</w:t>
            </w:r>
          </w:p>
        </w:tc>
        <w:tc>
          <w:tcPr>
            <w:tcW w:w="1014" w:type="dxa"/>
            <w:tcBorders>
              <w:top w:val="nil"/>
              <w:left w:val="nil"/>
              <w:bottom w:val="single" w:sz="4" w:space="0" w:color="auto"/>
              <w:right w:val="single" w:sz="4" w:space="0" w:color="auto"/>
            </w:tcBorders>
            <w:shd w:val="clear" w:color="auto" w:fill="auto"/>
            <w:noWrap/>
            <w:vAlign w:val="bottom"/>
            <w:hideMark/>
          </w:tcPr>
          <w:p w14:paraId="7BAA31AD"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33.84%</w:t>
            </w:r>
          </w:p>
        </w:tc>
        <w:tc>
          <w:tcPr>
            <w:tcW w:w="1013" w:type="dxa"/>
            <w:tcBorders>
              <w:top w:val="nil"/>
              <w:left w:val="nil"/>
              <w:bottom w:val="single" w:sz="4" w:space="0" w:color="auto"/>
              <w:right w:val="single" w:sz="4" w:space="0" w:color="auto"/>
            </w:tcBorders>
            <w:shd w:val="clear" w:color="auto" w:fill="auto"/>
            <w:noWrap/>
            <w:vAlign w:val="bottom"/>
            <w:hideMark/>
          </w:tcPr>
          <w:p w14:paraId="4B40A359"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41.37%</w:t>
            </w:r>
          </w:p>
        </w:tc>
        <w:tc>
          <w:tcPr>
            <w:tcW w:w="1013" w:type="dxa"/>
            <w:tcBorders>
              <w:top w:val="nil"/>
              <w:left w:val="nil"/>
              <w:bottom w:val="single" w:sz="4" w:space="0" w:color="auto"/>
              <w:right w:val="single" w:sz="4" w:space="0" w:color="auto"/>
            </w:tcBorders>
            <w:shd w:val="clear" w:color="auto" w:fill="auto"/>
            <w:noWrap/>
            <w:vAlign w:val="bottom"/>
            <w:hideMark/>
          </w:tcPr>
          <w:p w14:paraId="09C75D95"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40.42%</w:t>
            </w:r>
          </w:p>
        </w:tc>
        <w:tc>
          <w:tcPr>
            <w:tcW w:w="1120" w:type="dxa"/>
            <w:tcBorders>
              <w:top w:val="nil"/>
              <w:left w:val="nil"/>
              <w:bottom w:val="single" w:sz="4" w:space="0" w:color="auto"/>
              <w:right w:val="single" w:sz="4" w:space="0" w:color="auto"/>
            </w:tcBorders>
            <w:shd w:val="clear" w:color="auto" w:fill="auto"/>
            <w:noWrap/>
            <w:vAlign w:val="bottom"/>
            <w:hideMark/>
          </w:tcPr>
          <w:p w14:paraId="405DE536"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12.30%</w:t>
            </w:r>
          </w:p>
        </w:tc>
        <w:tc>
          <w:tcPr>
            <w:tcW w:w="1120" w:type="dxa"/>
            <w:tcBorders>
              <w:top w:val="nil"/>
              <w:left w:val="nil"/>
              <w:bottom w:val="single" w:sz="4" w:space="0" w:color="auto"/>
              <w:right w:val="single" w:sz="4" w:space="0" w:color="auto"/>
            </w:tcBorders>
            <w:shd w:val="clear" w:color="auto" w:fill="auto"/>
            <w:noWrap/>
            <w:vAlign w:val="bottom"/>
            <w:hideMark/>
          </w:tcPr>
          <w:p w14:paraId="6D2F186A"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17.90%</w:t>
            </w:r>
          </w:p>
        </w:tc>
        <w:tc>
          <w:tcPr>
            <w:tcW w:w="1120" w:type="dxa"/>
            <w:tcBorders>
              <w:top w:val="nil"/>
              <w:left w:val="nil"/>
              <w:bottom w:val="single" w:sz="4" w:space="0" w:color="auto"/>
              <w:right w:val="single" w:sz="4" w:space="0" w:color="auto"/>
            </w:tcBorders>
            <w:shd w:val="clear" w:color="auto" w:fill="auto"/>
            <w:noWrap/>
            <w:vAlign w:val="bottom"/>
            <w:hideMark/>
          </w:tcPr>
          <w:p w14:paraId="42C88581"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17.59%</w:t>
            </w:r>
          </w:p>
        </w:tc>
        <w:tc>
          <w:tcPr>
            <w:tcW w:w="960" w:type="dxa"/>
            <w:tcBorders>
              <w:top w:val="nil"/>
              <w:left w:val="nil"/>
              <w:bottom w:val="single" w:sz="4" w:space="0" w:color="auto"/>
              <w:right w:val="single" w:sz="4" w:space="0" w:color="auto"/>
            </w:tcBorders>
            <w:shd w:val="clear" w:color="auto" w:fill="auto"/>
            <w:noWrap/>
            <w:vAlign w:val="bottom"/>
            <w:hideMark/>
          </w:tcPr>
          <w:p w14:paraId="21B68E64" w14:textId="5488BDB3"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12.23%</w:t>
            </w:r>
          </w:p>
        </w:tc>
        <w:tc>
          <w:tcPr>
            <w:tcW w:w="960" w:type="dxa"/>
            <w:tcBorders>
              <w:top w:val="nil"/>
              <w:left w:val="nil"/>
              <w:bottom w:val="single" w:sz="4" w:space="0" w:color="auto"/>
              <w:right w:val="single" w:sz="4" w:space="0" w:color="auto"/>
            </w:tcBorders>
            <w:shd w:val="clear" w:color="auto" w:fill="auto"/>
            <w:noWrap/>
            <w:vAlign w:val="bottom"/>
            <w:hideMark/>
          </w:tcPr>
          <w:p w14:paraId="738154B6" w14:textId="308C6843"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17.87%</w:t>
            </w:r>
          </w:p>
        </w:tc>
        <w:tc>
          <w:tcPr>
            <w:tcW w:w="960" w:type="dxa"/>
            <w:tcBorders>
              <w:top w:val="nil"/>
              <w:left w:val="nil"/>
              <w:bottom w:val="single" w:sz="4" w:space="0" w:color="auto"/>
              <w:right w:val="single" w:sz="4" w:space="0" w:color="auto"/>
            </w:tcBorders>
            <w:shd w:val="clear" w:color="auto" w:fill="auto"/>
            <w:noWrap/>
            <w:vAlign w:val="bottom"/>
            <w:hideMark/>
          </w:tcPr>
          <w:p w14:paraId="439BC7C6" w14:textId="379B4E60"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17.53%</w:t>
            </w:r>
          </w:p>
        </w:tc>
      </w:tr>
      <w:tr w:rsidR="002D21F7" w:rsidRPr="00590854" w14:paraId="099D43DB" w14:textId="77777777" w:rsidTr="00683084">
        <w:trPr>
          <w:trHeight w:val="300"/>
        </w:trPr>
        <w:tc>
          <w:tcPr>
            <w:tcW w:w="1120" w:type="dxa"/>
            <w:tcBorders>
              <w:top w:val="nil"/>
              <w:left w:val="single" w:sz="4" w:space="0" w:color="auto"/>
              <w:bottom w:val="single" w:sz="4" w:space="0" w:color="auto"/>
              <w:right w:val="single" w:sz="4" w:space="0" w:color="auto"/>
            </w:tcBorders>
            <w:shd w:val="clear" w:color="000000" w:fill="DDEBF7"/>
            <w:noWrap/>
            <w:vAlign w:val="bottom"/>
            <w:hideMark/>
          </w:tcPr>
          <w:p w14:paraId="575BC0D8" w14:textId="77777777" w:rsidR="002D21F7" w:rsidRPr="00590854" w:rsidRDefault="002D21F7" w:rsidP="002D21F7">
            <w:pPr>
              <w:overflowPunct/>
              <w:autoSpaceDE/>
              <w:autoSpaceDN/>
              <w:adjustRightInd/>
              <w:spacing w:after="0"/>
              <w:textAlignment w:val="auto"/>
              <w:rPr>
                <w:rFonts w:ascii="Calibri" w:hAnsi="Calibri"/>
                <w:color w:val="000000"/>
                <w:sz w:val="22"/>
                <w:szCs w:val="22"/>
                <w:lang w:val="en-US"/>
              </w:rPr>
            </w:pPr>
            <w:r w:rsidRPr="00590854">
              <w:rPr>
                <w:rFonts w:ascii="Calibri" w:hAnsi="Calibri"/>
                <w:color w:val="000000"/>
                <w:sz w:val="22"/>
                <w:szCs w:val="22"/>
                <w:lang w:val="en-US"/>
              </w:rPr>
              <w:t>L3</w:t>
            </w:r>
          </w:p>
        </w:tc>
        <w:tc>
          <w:tcPr>
            <w:tcW w:w="1014" w:type="dxa"/>
            <w:tcBorders>
              <w:top w:val="nil"/>
              <w:left w:val="nil"/>
              <w:bottom w:val="single" w:sz="4" w:space="0" w:color="auto"/>
              <w:right w:val="single" w:sz="4" w:space="0" w:color="auto"/>
            </w:tcBorders>
            <w:shd w:val="clear" w:color="auto" w:fill="auto"/>
            <w:noWrap/>
            <w:vAlign w:val="bottom"/>
            <w:hideMark/>
          </w:tcPr>
          <w:p w14:paraId="76020232"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27.63%</w:t>
            </w:r>
          </w:p>
        </w:tc>
        <w:tc>
          <w:tcPr>
            <w:tcW w:w="1013" w:type="dxa"/>
            <w:tcBorders>
              <w:top w:val="nil"/>
              <w:left w:val="nil"/>
              <w:bottom w:val="single" w:sz="4" w:space="0" w:color="auto"/>
              <w:right w:val="single" w:sz="4" w:space="0" w:color="auto"/>
            </w:tcBorders>
            <w:shd w:val="clear" w:color="auto" w:fill="auto"/>
            <w:noWrap/>
            <w:vAlign w:val="bottom"/>
            <w:hideMark/>
          </w:tcPr>
          <w:p w14:paraId="461B2F4D"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39.45%</w:t>
            </w:r>
          </w:p>
        </w:tc>
        <w:tc>
          <w:tcPr>
            <w:tcW w:w="1013" w:type="dxa"/>
            <w:tcBorders>
              <w:top w:val="nil"/>
              <w:left w:val="nil"/>
              <w:bottom w:val="single" w:sz="4" w:space="0" w:color="auto"/>
              <w:right w:val="single" w:sz="4" w:space="0" w:color="auto"/>
            </w:tcBorders>
            <w:shd w:val="clear" w:color="auto" w:fill="auto"/>
            <w:noWrap/>
            <w:vAlign w:val="bottom"/>
            <w:hideMark/>
          </w:tcPr>
          <w:p w14:paraId="1BF26F9F"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39.16%</w:t>
            </w:r>
          </w:p>
        </w:tc>
        <w:tc>
          <w:tcPr>
            <w:tcW w:w="1120" w:type="dxa"/>
            <w:tcBorders>
              <w:top w:val="nil"/>
              <w:left w:val="nil"/>
              <w:bottom w:val="single" w:sz="4" w:space="0" w:color="auto"/>
              <w:right w:val="single" w:sz="4" w:space="0" w:color="auto"/>
            </w:tcBorders>
            <w:shd w:val="clear" w:color="auto" w:fill="auto"/>
            <w:noWrap/>
            <w:vAlign w:val="bottom"/>
            <w:hideMark/>
          </w:tcPr>
          <w:p w14:paraId="3EB0E7A6"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10.18%</w:t>
            </w:r>
          </w:p>
        </w:tc>
        <w:tc>
          <w:tcPr>
            <w:tcW w:w="1120" w:type="dxa"/>
            <w:tcBorders>
              <w:top w:val="nil"/>
              <w:left w:val="nil"/>
              <w:bottom w:val="single" w:sz="4" w:space="0" w:color="auto"/>
              <w:right w:val="single" w:sz="4" w:space="0" w:color="auto"/>
            </w:tcBorders>
            <w:shd w:val="clear" w:color="auto" w:fill="auto"/>
            <w:noWrap/>
            <w:vAlign w:val="bottom"/>
            <w:hideMark/>
          </w:tcPr>
          <w:p w14:paraId="23B3B0AF"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14.24%</w:t>
            </w:r>
          </w:p>
        </w:tc>
        <w:tc>
          <w:tcPr>
            <w:tcW w:w="1120" w:type="dxa"/>
            <w:tcBorders>
              <w:top w:val="nil"/>
              <w:left w:val="nil"/>
              <w:bottom w:val="single" w:sz="4" w:space="0" w:color="auto"/>
              <w:right w:val="single" w:sz="4" w:space="0" w:color="auto"/>
            </w:tcBorders>
            <w:shd w:val="clear" w:color="auto" w:fill="auto"/>
            <w:noWrap/>
            <w:vAlign w:val="bottom"/>
            <w:hideMark/>
          </w:tcPr>
          <w:p w14:paraId="3F8DFA33"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13.60%</w:t>
            </w:r>
          </w:p>
        </w:tc>
        <w:tc>
          <w:tcPr>
            <w:tcW w:w="960" w:type="dxa"/>
            <w:tcBorders>
              <w:top w:val="nil"/>
              <w:left w:val="nil"/>
              <w:bottom w:val="single" w:sz="4" w:space="0" w:color="auto"/>
              <w:right w:val="single" w:sz="4" w:space="0" w:color="auto"/>
            </w:tcBorders>
            <w:shd w:val="clear" w:color="auto" w:fill="auto"/>
            <w:noWrap/>
            <w:vAlign w:val="bottom"/>
            <w:hideMark/>
          </w:tcPr>
          <w:p w14:paraId="44C43B16" w14:textId="00843ECA"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10.29%</w:t>
            </w:r>
          </w:p>
        </w:tc>
        <w:tc>
          <w:tcPr>
            <w:tcW w:w="960" w:type="dxa"/>
            <w:tcBorders>
              <w:top w:val="nil"/>
              <w:left w:val="nil"/>
              <w:bottom w:val="single" w:sz="4" w:space="0" w:color="auto"/>
              <w:right w:val="single" w:sz="4" w:space="0" w:color="auto"/>
            </w:tcBorders>
            <w:shd w:val="clear" w:color="auto" w:fill="auto"/>
            <w:noWrap/>
            <w:vAlign w:val="bottom"/>
            <w:hideMark/>
          </w:tcPr>
          <w:p w14:paraId="371B9C8D" w14:textId="24FB3DB2"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14.07%</w:t>
            </w:r>
          </w:p>
        </w:tc>
        <w:tc>
          <w:tcPr>
            <w:tcW w:w="960" w:type="dxa"/>
            <w:tcBorders>
              <w:top w:val="nil"/>
              <w:left w:val="nil"/>
              <w:bottom w:val="single" w:sz="4" w:space="0" w:color="auto"/>
              <w:right w:val="single" w:sz="4" w:space="0" w:color="auto"/>
            </w:tcBorders>
            <w:shd w:val="clear" w:color="auto" w:fill="auto"/>
            <w:noWrap/>
            <w:vAlign w:val="bottom"/>
            <w:hideMark/>
          </w:tcPr>
          <w:p w14:paraId="395193BB" w14:textId="58EBFBC0"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13.35%</w:t>
            </w:r>
          </w:p>
        </w:tc>
      </w:tr>
      <w:tr w:rsidR="002D21F7" w:rsidRPr="00590854" w14:paraId="6D6902B5" w14:textId="77777777" w:rsidTr="00683084">
        <w:trPr>
          <w:trHeight w:val="300"/>
        </w:trPr>
        <w:tc>
          <w:tcPr>
            <w:tcW w:w="1120" w:type="dxa"/>
            <w:tcBorders>
              <w:top w:val="nil"/>
              <w:left w:val="single" w:sz="4" w:space="0" w:color="auto"/>
              <w:bottom w:val="single" w:sz="4" w:space="0" w:color="auto"/>
              <w:right w:val="single" w:sz="4" w:space="0" w:color="auto"/>
            </w:tcBorders>
            <w:shd w:val="clear" w:color="000000" w:fill="DDEBF7"/>
            <w:noWrap/>
            <w:vAlign w:val="bottom"/>
            <w:hideMark/>
          </w:tcPr>
          <w:p w14:paraId="7140D0A4" w14:textId="77777777" w:rsidR="002D21F7" w:rsidRPr="00590854" w:rsidRDefault="002D21F7" w:rsidP="002D21F7">
            <w:pPr>
              <w:overflowPunct/>
              <w:autoSpaceDE/>
              <w:autoSpaceDN/>
              <w:adjustRightInd/>
              <w:spacing w:after="0"/>
              <w:textAlignment w:val="auto"/>
              <w:rPr>
                <w:rFonts w:ascii="Calibri" w:hAnsi="Calibri"/>
                <w:color w:val="000000"/>
                <w:sz w:val="22"/>
                <w:szCs w:val="22"/>
                <w:lang w:val="en-US"/>
              </w:rPr>
            </w:pPr>
            <w:r w:rsidRPr="00590854">
              <w:rPr>
                <w:rFonts w:ascii="Calibri" w:hAnsi="Calibri"/>
                <w:color w:val="000000"/>
                <w:sz w:val="22"/>
                <w:szCs w:val="22"/>
                <w:lang w:val="en-US"/>
              </w:rPr>
              <w:t>L4</w:t>
            </w:r>
          </w:p>
        </w:tc>
        <w:tc>
          <w:tcPr>
            <w:tcW w:w="1014" w:type="dxa"/>
            <w:tcBorders>
              <w:top w:val="nil"/>
              <w:left w:val="nil"/>
              <w:bottom w:val="single" w:sz="4" w:space="0" w:color="auto"/>
              <w:right w:val="single" w:sz="4" w:space="0" w:color="auto"/>
            </w:tcBorders>
            <w:shd w:val="clear" w:color="auto" w:fill="auto"/>
            <w:noWrap/>
            <w:vAlign w:val="bottom"/>
            <w:hideMark/>
          </w:tcPr>
          <w:p w14:paraId="5E912A99"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20.62%</w:t>
            </w:r>
          </w:p>
        </w:tc>
        <w:tc>
          <w:tcPr>
            <w:tcW w:w="1013" w:type="dxa"/>
            <w:tcBorders>
              <w:top w:val="nil"/>
              <w:left w:val="nil"/>
              <w:bottom w:val="single" w:sz="4" w:space="0" w:color="auto"/>
              <w:right w:val="single" w:sz="4" w:space="0" w:color="auto"/>
            </w:tcBorders>
            <w:shd w:val="clear" w:color="auto" w:fill="auto"/>
            <w:noWrap/>
            <w:vAlign w:val="bottom"/>
            <w:hideMark/>
          </w:tcPr>
          <w:p w14:paraId="021C15B7"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30.46%</w:t>
            </w:r>
          </w:p>
        </w:tc>
        <w:tc>
          <w:tcPr>
            <w:tcW w:w="1013" w:type="dxa"/>
            <w:tcBorders>
              <w:top w:val="nil"/>
              <w:left w:val="nil"/>
              <w:bottom w:val="single" w:sz="4" w:space="0" w:color="auto"/>
              <w:right w:val="single" w:sz="4" w:space="0" w:color="auto"/>
            </w:tcBorders>
            <w:shd w:val="clear" w:color="auto" w:fill="auto"/>
            <w:noWrap/>
            <w:vAlign w:val="bottom"/>
            <w:hideMark/>
          </w:tcPr>
          <w:p w14:paraId="0A79B0B3"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31.46%</w:t>
            </w:r>
          </w:p>
        </w:tc>
        <w:tc>
          <w:tcPr>
            <w:tcW w:w="1120" w:type="dxa"/>
            <w:tcBorders>
              <w:top w:val="nil"/>
              <w:left w:val="nil"/>
              <w:bottom w:val="single" w:sz="4" w:space="0" w:color="auto"/>
              <w:right w:val="single" w:sz="4" w:space="0" w:color="auto"/>
            </w:tcBorders>
            <w:shd w:val="clear" w:color="auto" w:fill="auto"/>
            <w:noWrap/>
            <w:vAlign w:val="bottom"/>
            <w:hideMark/>
          </w:tcPr>
          <w:p w14:paraId="797C84BD"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8.98%</w:t>
            </w:r>
          </w:p>
        </w:tc>
        <w:tc>
          <w:tcPr>
            <w:tcW w:w="1120" w:type="dxa"/>
            <w:tcBorders>
              <w:top w:val="nil"/>
              <w:left w:val="nil"/>
              <w:bottom w:val="single" w:sz="4" w:space="0" w:color="auto"/>
              <w:right w:val="single" w:sz="4" w:space="0" w:color="auto"/>
            </w:tcBorders>
            <w:shd w:val="clear" w:color="auto" w:fill="auto"/>
            <w:noWrap/>
            <w:vAlign w:val="bottom"/>
            <w:hideMark/>
          </w:tcPr>
          <w:p w14:paraId="38FD42F5"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11.81%</w:t>
            </w:r>
          </w:p>
        </w:tc>
        <w:tc>
          <w:tcPr>
            <w:tcW w:w="1120" w:type="dxa"/>
            <w:tcBorders>
              <w:top w:val="nil"/>
              <w:left w:val="nil"/>
              <w:bottom w:val="single" w:sz="4" w:space="0" w:color="auto"/>
              <w:right w:val="single" w:sz="4" w:space="0" w:color="auto"/>
            </w:tcBorders>
            <w:shd w:val="clear" w:color="auto" w:fill="auto"/>
            <w:noWrap/>
            <w:vAlign w:val="bottom"/>
            <w:hideMark/>
          </w:tcPr>
          <w:p w14:paraId="66FE88BE"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11.78%</w:t>
            </w:r>
          </w:p>
        </w:tc>
        <w:tc>
          <w:tcPr>
            <w:tcW w:w="960" w:type="dxa"/>
            <w:tcBorders>
              <w:top w:val="nil"/>
              <w:left w:val="nil"/>
              <w:bottom w:val="single" w:sz="4" w:space="0" w:color="auto"/>
              <w:right w:val="single" w:sz="4" w:space="0" w:color="auto"/>
            </w:tcBorders>
            <w:shd w:val="clear" w:color="auto" w:fill="auto"/>
            <w:noWrap/>
            <w:vAlign w:val="bottom"/>
            <w:hideMark/>
          </w:tcPr>
          <w:p w14:paraId="4DD0D5C3" w14:textId="7562094D"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9.58%</w:t>
            </w:r>
          </w:p>
        </w:tc>
        <w:tc>
          <w:tcPr>
            <w:tcW w:w="960" w:type="dxa"/>
            <w:tcBorders>
              <w:top w:val="nil"/>
              <w:left w:val="nil"/>
              <w:bottom w:val="single" w:sz="4" w:space="0" w:color="auto"/>
              <w:right w:val="single" w:sz="4" w:space="0" w:color="auto"/>
            </w:tcBorders>
            <w:shd w:val="clear" w:color="auto" w:fill="auto"/>
            <w:noWrap/>
            <w:vAlign w:val="bottom"/>
            <w:hideMark/>
          </w:tcPr>
          <w:p w14:paraId="5FA57387" w14:textId="56FB5B68"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11.10%</w:t>
            </w:r>
          </w:p>
        </w:tc>
        <w:tc>
          <w:tcPr>
            <w:tcW w:w="960" w:type="dxa"/>
            <w:tcBorders>
              <w:top w:val="nil"/>
              <w:left w:val="nil"/>
              <w:bottom w:val="single" w:sz="4" w:space="0" w:color="auto"/>
              <w:right w:val="single" w:sz="4" w:space="0" w:color="auto"/>
            </w:tcBorders>
            <w:shd w:val="clear" w:color="auto" w:fill="auto"/>
            <w:noWrap/>
            <w:vAlign w:val="bottom"/>
            <w:hideMark/>
          </w:tcPr>
          <w:p w14:paraId="694DEC24" w14:textId="7195F33F"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10.90%</w:t>
            </w:r>
          </w:p>
        </w:tc>
      </w:tr>
      <w:tr w:rsidR="002D21F7" w:rsidRPr="00590854" w14:paraId="3E15600F" w14:textId="77777777" w:rsidTr="00683084">
        <w:trPr>
          <w:trHeight w:val="300"/>
        </w:trPr>
        <w:tc>
          <w:tcPr>
            <w:tcW w:w="1120" w:type="dxa"/>
            <w:tcBorders>
              <w:top w:val="nil"/>
              <w:left w:val="single" w:sz="4" w:space="0" w:color="auto"/>
              <w:bottom w:val="single" w:sz="4" w:space="0" w:color="auto"/>
              <w:right w:val="single" w:sz="4" w:space="0" w:color="auto"/>
            </w:tcBorders>
            <w:shd w:val="clear" w:color="000000" w:fill="DDEBF7"/>
            <w:noWrap/>
            <w:vAlign w:val="bottom"/>
            <w:hideMark/>
          </w:tcPr>
          <w:p w14:paraId="7099CD97" w14:textId="77777777" w:rsidR="002D21F7" w:rsidRPr="00590854" w:rsidRDefault="002D21F7" w:rsidP="002D21F7">
            <w:pPr>
              <w:overflowPunct/>
              <w:autoSpaceDE/>
              <w:autoSpaceDN/>
              <w:adjustRightInd/>
              <w:spacing w:after="0"/>
              <w:textAlignment w:val="auto"/>
              <w:rPr>
                <w:rFonts w:ascii="Calibri" w:hAnsi="Calibri"/>
                <w:color w:val="000000"/>
                <w:sz w:val="22"/>
                <w:szCs w:val="22"/>
                <w:lang w:val="en-US"/>
              </w:rPr>
            </w:pPr>
            <w:r w:rsidRPr="00590854">
              <w:rPr>
                <w:rFonts w:ascii="Calibri" w:hAnsi="Calibri"/>
                <w:color w:val="000000"/>
                <w:sz w:val="22"/>
                <w:szCs w:val="22"/>
                <w:lang w:val="en-US"/>
              </w:rPr>
              <w:t>L5</w:t>
            </w:r>
          </w:p>
        </w:tc>
        <w:tc>
          <w:tcPr>
            <w:tcW w:w="1014" w:type="dxa"/>
            <w:tcBorders>
              <w:top w:val="nil"/>
              <w:left w:val="nil"/>
              <w:bottom w:val="single" w:sz="4" w:space="0" w:color="auto"/>
              <w:right w:val="single" w:sz="4" w:space="0" w:color="auto"/>
            </w:tcBorders>
            <w:shd w:val="clear" w:color="auto" w:fill="auto"/>
            <w:noWrap/>
            <w:vAlign w:val="bottom"/>
            <w:hideMark/>
          </w:tcPr>
          <w:p w14:paraId="5771132A"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8.66%</w:t>
            </w:r>
          </w:p>
        </w:tc>
        <w:tc>
          <w:tcPr>
            <w:tcW w:w="1013" w:type="dxa"/>
            <w:tcBorders>
              <w:top w:val="nil"/>
              <w:left w:val="nil"/>
              <w:bottom w:val="single" w:sz="4" w:space="0" w:color="auto"/>
              <w:right w:val="single" w:sz="4" w:space="0" w:color="auto"/>
            </w:tcBorders>
            <w:shd w:val="clear" w:color="auto" w:fill="auto"/>
            <w:noWrap/>
            <w:vAlign w:val="bottom"/>
            <w:hideMark/>
          </w:tcPr>
          <w:p w14:paraId="27F90F19"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16.64%</w:t>
            </w:r>
          </w:p>
        </w:tc>
        <w:tc>
          <w:tcPr>
            <w:tcW w:w="1013" w:type="dxa"/>
            <w:tcBorders>
              <w:top w:val="nil"/>
              <w:left w:val="nil"/>
              <w:bottom w:val="single" w:sz="4" w:space="0" w:color="auto"/>
              <w:right w:val="single" w:sz="4" w:space="0" w:color="auto"/>
            </w:tcBorders>
            <w:shd w:val="clear" w:color="auto" w:fill="auto"/>
            <w:noWrap/>
            <w:vAlign w:val="bottom"/>
            <w:hideMark/>
          </w:tcPr>
          <w:p w14:paraId="18C4E795"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15.15%</w:t>
            </w:r>
          </w:p>
        </w:tc>
        <w:tc>
          <w:tcPr>
            <w:tcW w:w="1120" w:type="dxa"/>
            <w:tcBorders>
              <w:top w:val="nil"/>
              <w:left w:val="nil"/>
              <w:bottom w:val="single" w:sz="4" w:space="0" w:color="auto"/>
              <w:right w:val="single" w:sz="4" w:space="0" w:color="auto"/>
            </w:tcBorders>
            <w:shd w:val="clear" w:color="auto" w:fill="auto"/>
            <w:noWrap/>
            <w:vAlign w:val="bottom"/>
            <w:hideMark/>
          </w:tcPr>
          <w:p w14:paraId="54F50D21"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6.09%</w:t>
            </w:r>
          </w:p>
        </w:tc>
        <w:tc>
          <w:tcPr>
            <w:tcW w:w="1120" w:type="dxa"/>
            <w:tcBorders>
              <w:top w:val="nil"/>
              <w:left w:val="nil"/>
              <w:bottom w:val="single" w:sz="4" w:space="0" w:color="auto"/>
              <w:right w:val="single" w:sz="4" w:space="0" w:color="auto"/>
            </w:tcBorders>
            <w:shd w:val="clear" w:color="auto" w:fill="auto"/>
            <w:noWrap/>
            <w:vAlign w:val="bottom"/>
            <w:hideMark/>
          </w:tcPr>
          <w:p w14:paraId="58058833"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7.94%</w:t>
            </w:r>
          </w:p>
        </w:tc>
        <w:tc>
          <w:tcPr>
            <w:tcW w:w="1120" w:type="dxa"/>
            <w:tcBorders>
              <w:top w:val="nil"/>
              <w:left w:val="nil"/>
              <w:bottom w:val="single" w:sz="4" w:space="0" w:color="auto"/>
              <w:right w:val="single" w:sz="4" w:space="0" w:color="auto"/>
            </w:tcBorders>
            <w:shd w:val="clear" w:color="auto" w:fill="auto"/>
            <w:noWrap/>
            <w:vAlign w:val="bottom"/>
            <w:hideMark/>
          </w:tcPr>
          <w:p w14:paraId="6746E4DE"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7.27%</w:t>
            </w:r>
          </w:p>
        </w:tc>
        <w:tc>
          <w:tcPr>
            <w:tcW w:w="960" w:type="dxa"/>
            <w:tcBorders>
              <w:top w:val="nil"/>
              <w:left w:val="nil"/>
              <w:bottom w:val="single" w:sz="4" w:space="0" w:color="auto"/>
              <w:right w:val="single" w:sz="4" w:space="0" w:color="auto"/>
            </w:tcBorders>
            <w:shd w:val="clear" w:color="auto" w:fill="auto"/>
            <w:noWrap/>
            <w:vAlign w:val="bottom"/>
            <w:hideMark/>
          </w:tcPr>
          <w:p w14:paraId="25C6F869" w14:textId="768D829F"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5.56%</w:t>
            </w:r>
          </w:p>
        </w:tc>
        <w:tc>
          <w:tcPr>
            <w:tcW w:w="960" w:type="dxa"/>
            <w:tcBorders>
              <w:top w:val="nil"/>
              <w:left w:val="nil"/>
              <w:bottom w:val="single" w:sz="4" w:space="0" w:color="auto"/>
              <w:right w:val="single" w:sz="4" w:space="0" w:color="auto"/>
            </w:tcBorders>
            <w:shd w:val="clear" w:color="auto" w:fill="auto"/>
            <w:noWrap/>
            <w:vAlign w:val="bottom"/>
            <w:hideMark/>
          </w:tcPr>
          <w:p w14:paraId="5D348CDD" w14:textId="77E8D1DB"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8.06%</w:t>
            </w:r>
          </w:p>
        </w:tc>
        <w:tc>
          <w:tcPr>
            <w:tcW w:w="960" w:type="dxa"/>
            <w:tcBorders>
              <w:top w:val="nil"/>
              <w:left w:val="nil"/>
              <w:bottom w:val="single" w:sz="4" w:space="0" w:color="auto"/>
              <w:right w:val="single" w:sz="4" w:space="0" w:color="auto"/>
            </w:tcBorders>
            <w:shd w:val="clear" w:color="auto" w:fill="auto"/>
            <w:noWrap/>
            <w:vAlign w:val="bottom"/>
            <w:hideMark/>
          </w:tcPr>
          <w:p w14:paraId="440CE761" w14:textId="3D13C600"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7.03%</w:t>
            </w:r>
          </w:p>
        </w:tc>
      </w:tr>
      <w:tr w:rsidR="002D21F7" w:rsidRPr="00590854" w14:paraId="01EA12D8" w14:textId="77777777" w:rsidTr="00683084">
        <w:trPr>
          <w:trHeight w:val="300"/>
        </w:trPr>
        <w:tc>
          <w:tcPr>
            <w:tcW w:w="1120" w:type="dxa"/>
            <w:tcBorders>
              <w:top w:val="nil"/>
              <w:left w:val="single" w:sz="4" w:space="0" w:color="auto"/>
              <w:bottom w:val="single" w:sz="4" w:space="0" w:color="auto"/>
              <w:right w:val="single" w:sz="4" w:space="0" w:color="auto"/>
            </w:tcBorders>
            <w:shd w:val="clear" w:color="000000" w:fill="DDEBF7"/>
            <w:noWrap/>
            <w:vAlign w:val="bottom"/>
            <w:hideMark/>
          </w:tcPr>
          <w:p w14:paraId="551307E6" w14:textId="77777777" w:rsidR="002D21F7" w:rsidRPr="00590854" w:rsidRDefault="002D21F7" w:rsidP="002D21F7">
            <w:pPr>
              <w:overflowPunct/>
              <w:autoSpaceDE/>
              <w:autoSpaceDN/>
              <w:adjustRightInd/>
              <w:spacing w:after="0"/>
              <w:textAlignment w:val="auto"/>
              <w:rPr>
                <w:rFonts w:ascii="Calibri" w:hAnsi="Calibri"/>
                <w:color w:val="000000"/>
                <w:sz w:val="22"/>
                <w:szCs w:val="22"/>
                <w:lang w:val="en-US"/>
              </w:rPr>
            </w:pPr>
            <w:r w:rsidRPr="00590854">
              <w:rPr>
                <w:rFonts w:ascii="Calibri" w:hAnsi="Calibri"/>
                <w:color w:val="000000"/>
                <w:sz w:val="22"/>
                <w:szCs w:val="22"/>
                <w:lang w:val="en-US"/>
              </w:rPr>
              <w:t>L6</w:t>
            </w:r>
          </w:p>
        </w:tc>
        <w:tc>
          <w:tcPr>
            <w:tcW w:w="1014" w:type="dxa"/>
            <w:tcBorders>
              <w:top w:val="nil"/>
              <w:left w:val="nil"/>
              <w:bottom w:val="single" w:sz="4" w:space="0" w:color="auto"/>
              <w:right w:val="single" w:sz="4" w:space="0" w:color="auto"/>
            </w:tcBorders>
            <w:shd w:val="clear" w:color="auto" w:fill="auto"/>
            <w:noWrap/>
            <w:vAlign w:val="bottom"/>
            <w:hideMark/>
          </w:tcPr>
          <w:p w14:paraId="5622E456"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-0.12%</w:t>
            </w:r>
          </w:p>
        </w:tc>
        <w:tc>
          <w:tcPr>
            <w:tcW w:w="1013" w:type="dxa"/>
            <w:tcBorders>
              <w:top w:val="nil"/>
              <w:left w:val="nil"/>
              <w:bottom w:val="single" w:sz="4" w:space="0" w:color="auto"/>
              <w:right w:val="single" w:sz="4" w:space="0" w:color="auto"/>
            </w:tcBorders>
            <w:shd w:val="clear" w:color="auto" w:fill="auto"/>
            <w:noWrap/>
            <w:vAlign w:val="bottom"/>
            <w:hideMark/>
          </w:tcPr>
          <w:p w14:paraId="139E92A8"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0.19%</w:t>
            </w:r>
          </w:p>
        </w:tc>
        <w:tc>
          <w:tcPr>
            <w:tcW w:w="1013" w:type="dxa"/>
            <w:tcBorders>
              <w:top w:val="nil"/>
              <w:left w:val="nil"/>
              <w:bottom w:val="single" w:sz="4" w:space="0" w:color="auto"/>
              <w:right w:val="single" w:sz="4" w:space="0" w:color="auto"/>
            </w:tcBorders>
            <w:shd w:val="clear" w:color="auto" w:fill="auto"/>
            <w:noWrap/>
            <w:vAlign w:val="bottom"/>
            <w:hideMark/>
          </w:tcPr>
          <w:p w14:paraId="456D0196"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0.07%</w:t>
            </w:r>
          </w:p>
        </w:tc>
        <w:tc>
          <w:tcPr>
            <w:tcW w:w="1120" w:type="dxa"/>
            <w:tcBorders>
              <w:top w:val="nil"/>
              <w:left w:val="nil"/>
              <w:bottom w:val="single" w:sz="4" w:space="0" w:color="auto"/>
              <w:right w:val="single" w:sz="4" w:space="0" w:color="auto"/>
            </w:tcBorders>
            <w:shd w:val="clear" w:color="auto" w:fill="auto"/>
            <w:noWrap/>
            <w:vAlign w:val="bottom"/>
            <w:hideMark/>
          </w:tcPr>
          <w:p w14:paraId="01E2A712"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0.21%</w:t>
            </w:r>
          </w:p>
        </w:tc>
        <w:tc>
          <w:tcPr>
            <w:tcW w:w="1120" w:type="dxa"/>
            <w:tcBorders>
              <w:top w:val="nil"/>
              <w:left w:val="nil"/>
              <w:bottom w:val="single" w:sz="4" w:space="0" w:color="auto"/>
              <w:right w:val="single" w:sz="4" w:space="0" w:color="auto"/>
            </w:tcBorders>
            <w:shd w:val="clear" w:color="auto" w:fill="auto"/>
            <w:noWrap/>
            <w:vAlign w:val="bottom"/>
            <w:hideMark/>
          </w:tcPr>
          <w:p w14:paraId="6F300D44"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0.24%</w:t>
            </w:r>
          </w:p>
        </w:tc>
        <w:tc>
          <w:tcPr>
            <w:tcW w:w="1120" w:type="dxa"/>
            <w:tcBorders>
              <w:top w:val="nil"/>
              <w:left w:val="nil"/>
              <w:bottom w:val="single" w:sz="4" w:space="0" w:color="auto"/>
              <w:right w:val="single" w:sz="4" w:space="0" w:color="auto"/>
            </w:tcBorders>
            <w:shd w:val="clear" w:color="auto" w:fill="auto"/>
            <w:noWrap/>
            <w:vAlign w:val="bottom"/>
            <w:hideMark/>
          </w:tcPr>
          <w:p w14:paraId="2179DE99" w14:textId="77777777"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sidRPr="00590854">
              <w:rPr>
                <w:rFonts w:ascii="Calibri" w:hAnsi="Calibri"/>
                <w:color w:val="000000"/>
                <w:sz w:val="22"/>
                <w:szCs w:val="22"/>
                <w:lang w:val="en-US"/>
              </w:rPr>
              <w:t>0.15%</w:t>
            </w:r>
          </w:p>
        </w:tc>
        <w:tc>
          <w:tcPr>
            <w:tcW w:w="960" w:type="dxa"/>
            <w:tcBorders>
              <w:top w:val="nil"/>
              <w:left w:val="nil"/>
              <w:bottom w:val="single" w:sz="4" w:space="0" w:color="auto"/>
              <w:right w:val="single" w:sz="4" w:space="0" w:color="auto"/>
            </w:tcBorders>
            <w:shd w:val="clear" w:color="auto" w:fill="auto"/>
            <w:noWrap/>
            <w:vAlign w:val="bottom"/>
            <w:hideMark/>
          </w:tcPr>
          <w:p w14:paraId="5B5D458F" w14:textId="1F326FBC"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0.18%</w:t>
            </w:r>
          </w:p>
        </w:tc>
        <w:tc>
          <w:tcPr>
            <w:tcW w:w="960" w:type="dxa"/>
            <w:tcBorders>
              <w:top w:val="nil"/>
              <w:left w:val="nil"/>
              <w:bottom w:val="single" w:sz="4" w:space="0" w:color="auto"/>
              <w:right w:val="single" w:sz="4" w:space="0" w:color="auto"/>
            </w:tcBorders>
            <w:shd w:val="clear" w:color="auto" w:fill="auto"/>
            <w:noWrap/>
            <w:vAlign w:val="bottom"/>
            <w:hideMark/>
          </w:tcPr>
          <w:p w14:paraId="24425EB6" w14:textId="1A4152B6"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-0.16%</w:t>
            </w:r>
          </w:p>
        </w:tc>
        <w:tc>
          <w:tcPr>
            <w:tcW w:w="960" w:type="dxa"/>
            <w:tcBorders>
              <w:top w:val="nil"/>
              <w:left w:val="nil"/>
              <w:bottom w:val="single" w:sz="4" w:space="0" w:color="auto"/>
              <w:right w:val="single" w:sz="4" w:space="0" w:color="auto"/>
            </w:tcBorders>
            <w:shd w:val="clear" w:color="auto" w:fill="auto"/>
            <w:noWrap/>
            <w:vAlign w:val="bottom"/>
            <w:hideMark/>
          </w:tcPr>
          <w:p w14:paraId="213824D7" w14:textId="6CC2EC44" w:rsidR="002D21F7" w:rsidRPr="00590854" w:rsidRDefault="002D21F7" w:rsidP="002D21F7">
            <w:pPr>
              <w:overflowPunct/>
              <w:autoSpaceDE/>
              <w:autoSpaceDN/>
              <w:adjustRightInd/>
              <w:spacing w:after="0"/>
              <w:jc w:val="right"/>
              <w:textAlignment w:val="auto"/>
              <w:rPr>
                <w:rFonts w:ascii="Calibri" w:hAnsi="Calibri"/>
                <w:color w:val="000000"/>
                <w:sz w:val="22"/>
                <w:szCs w:val="22"/>
                <w:lang w:val="en-US"/>
              </w:rPr>
            </w:pPr>
            <w:r>
              <w:rPr>
                <w:rFonts w:ascii="Calibri" w:hAnsi="Calibri"/>
                <w:color w:val="000000"/>
                <w:sz w:val="22"/>
                <w:szCs w:val="22"/>
              </w:rPr>
              <w:t>-0.35%</w:t>
            </w:r>
          </w:p>
        </w:tc>
      </w:tr>
    </w:tbl>
    <w:p w14:paraId="368D47C4" w14:textId="33D11BF8" w:rsidR="00590854" w:rsidRPr="00590854" w:rsidRDefault="00590854" w:rsidP="00590854">
      <w:pPr>
        <w:rPr>
          <w:lang w:eastAsia="ko-KR"/>
        </w:rPr>
      </w:pPr>
      <w:r>
        <w:rPr>
          <w:lang w:eastAsia="ko-KR"/>
        </w:rPr>
        <w:fldChar w:fldCharType="end"/>
      </w:r>
    </w:p>
    <w:p w14:paraId="74ED6F23" w14:textId="5CBC2C6F" w:rsidR="00CC04D8" w:rsidRPr="00550EB2" w:rsidRDefault="001B2814" w:rsidP="00CC04D8">
      <w:pPr>
        <w:pStyle w:val="Heading1"/>
        <w:rPr>
          <w:rFonts w:cs="Arial"/>
          <w:szCs w:val="36"/>
        </w:rPr>
      </w:pPr>
      <w:r w:rsidRPr="00550EB2">
        <w:rPr>
          <w:rFonts w:cs="Arial"/>
          <w:szCs w:val="36"/>
        </w:rPr>
        <w:t>3</w:t>
      </w:r>
      <w:r w:rsidR="00B7216B" w:rsidRPr="00550EB2">
        <w:rPr>
          <w:rFonts w:cs="Arial"/>
          <w:szCs w:val="36"/>
        </w:rPr>
        <w:tab/>
        <w:t>Conclusions</w:t>
      </w:r>
      <w:bookmarkEnd w:id="8"/>
    </w:p>
    <w:p w14:paraId="74ED6F28" w14:textId="6E49EDBA" w:rsidR="00427814" w:rsidRPr="00530262" w:rsidRDefault="00706749" w:rsidP="00800551">
      <w:pPr>
        <w:keepNext/>
        <w:keepLines/>
        <w:tabs>
          <w:tab w:val="num" w:pos="567"/>
        </w:tabs>
        <w:spacing w:before="180"/>
        <w:ind w:left="90"/>
        <w:outlineLvl w:val="1"/>
        <w:rPr>
          <w:rFonts w:asciiTheme="minorHAnsi" w:hAnsiTheme="minorHAnsi"/>
          <w:lang w:eastAsia="zh-CN"/>
        </w:rPr>
      </w:pPr>
      <w:r w:rsidRPr="00706749">
        <w:t>T</w:t>
      </w:r>
      <w:r w:rsidR="00AC4A5F" w:rsidRPr="00706749">
        <w:t>his contribution</w:t>
      </w:r>
      <w:r>
        <w:t xml:space="preserve"> provides the </w:t>
      </w:r>
      <w:r w:rsidR="00683084">
        <w:t>link</w:t>
      </w:r>
      <w:r>
        <w:t xml:space="preserve"> level simulation results for </w:t>
      </w:r>
      <w:r w:rsidR="00683084">
        <w:t xml:space="preserve">opportunistic </w:t>
      </w:r>
      <w:r>
        <w:t>pre-decoding NAIC</w:t>
      </w:r>
      <w:r w:rsidR="00683084">
        <w:t>.</w:t>
      </w:r>
      <w:r w:rsidR="002D21F7">
        <w:t xml:space="preserve"> Pre-decoding NAIC results in high throughput gain for the pico UE when QPSK modulation is used by the strong interferer. However, a network tends to schedule mostly 16-QAM transmissions for which pre-decoding NAIC gain is limited even with very strong interferer. </w:t>
      </w:r>
    </w:p>
    <w:p w14:paraId="74ED6F29" w14:textId="690F0B07" w:rsidR="00B7216B" w:rsidRPr="00550EB2" w:rsidRDefault="001B2814" w:rsidP="00B7216B">
      <w:pPr>
        <w:pStyle w:val="Heading1"/>
        <w:rPr>
          <w:rFonts w:cs="Arial"/>
          <w:kern w:val="2"/>
          <w:szCs w:val="36"/>
          <w:lang w:val="en-US" w:eastAsia="zh-CN"/>
        </w:rPr>
      </w:pPr>
      <w:r w:rsidRPr="00550EB2">
        <w:rPr>
          <w:rFonts w:cs="Arial"/>
          <w:kern w:val="2"/>
          <w:szCs w:val="36"/>
          <w:lang w:val="en-US" w:eastAsia="ko-KR"/>
        </w:rPr>
        <w:t>4</w:t>
      </w:r>
      <w:r w:rsidR="00B7216B" w:rsidRPr="00550EB2">
        <w:rPr>
          <w:rFonts w:cs="Arial"/>
          <w:kern w:val="2"/>
          <w:szCs w:val="36"/>
          <w:lang w:val="en-US" w:eastAsia="zh-CN"/>
        </w:rPr>
        <w:tab/>
        <w:t>References</w:t>
      </w:r>
    </w:p>
    <w:bookmarkEnd w:id="9"/>
    <w:p w14:paraId="0FECD9F3" w14:textId="77777777" w:rsidR="00697524" w:rsidRPr="005F4BCF" w:rsidRDefault="00697524" w:rsidP="00697524">
      <w:pPr>
        <w:pStyle w:val="Reference"/>
        <w:numPr>
          <w:ilvl w:val="0"/>
          <w:numId w:val="33"/>
        </w:numPr>
        <w:overflowPunct/>
        <w:autoSpaceDE/>
        <w:autoSpaceDN/>
        <w:adjustRightInd/>
        <w:spacing w:before="120" w:after="0" w:line="280" w:lineRule="atLeast"/>
        <w:ind w:left="450" w:hanging="450"/>
        <w:textAlignment w:val="auto"/>
        <w:rPr>
          <w:bCs/>
          <w:kern w:val="2"/>
          <w:sz w:val="20"/>
        </w:rPr>
      </w:pPr>
      <w:r w:rsidRPr="005F4BCF">
        <w:rPr>
          <w:noProof/>
          <w:sz w:val="20"/>
        </w:rPr>
        <w:t>R1-</w:t>
      </w:r>
      <w:r w:rsidRPr="005F4BCF">
        <w:rPr>
          <w:rFonts w:eastAsia="SimSun"/>
          <w:noProof/>
          <w:sz w:val="20"/>
        </w:rPr>
        <w:t>140686</w:t>
      </w:r>
      <w:r w:rsidRPr="005F4BCF">
        <w:rPr>
          <w:bCs/>
          <w:kern w:val="2"/>
          <w:sz w:val="20"/>
        </w:rPr>
        <w:t xml:space="preserve">, </w:t>
      </w:r>
      <w:r w:rsidRPr="005F4BCF">
        <w:rPr>
          <w:bCs/>
          <w:sz w:val="20"/>
        </w:rPr>
        <w:t>RRS pattern based coordinated scheduling for new IC UEs</w:t>
      </w:r>
      <w:r w:rsidRPr="005F4BCF">
        <w:rPr>
          <w:bCs/>
          <w:kern w:val="2"/>
          <w:sz w:val="20"/>
        </w:rPr>
        <w:t>, Huawei, HiSilicon.</w:t>
      </w:r>
    </w:p>
    <w:p w14:paraId="0C71E9D7" w14:textId="77777777" w:rsidR="00697524" w:rsidRPr="005F4BCF" w:rsidRDefault="00697524" w:rsidP="00697524">
      <w:pPr>
        <w:pStyle w:val="Reference"/>
        <w:numPr>
          <w:ilvl w:val="0"/>
          <w:numId w:val="33"/>
        </w:numPr>
        <w:overflowPunct/>
        <w:autoSpaceDE/>
        <w:autoSpaceDN/>
        <w:adjustRightInd/>
        <w:spacing w:before="120" w:after="0" w:line="280" w:lineRule="atLeast"/>
        <w:ind w:left="450" w:hanging="450"/>
        <w:textAlignment w:val="auto"/>
        <w:rPr>
          <w:sz w:val="20"/>
        </w:rPr>
      </w:pPr>
      <w:r w:rsidRPr="005F4BCF">
        <w:rPr>
          <w:sz w:val="20"/>
        </w:rPr>
        <w:t>R1-140685, RRS pattern based coordinated scheduling for legacy IC UEs, Huawei, HiSilicon.</w:t>
      </w:r>
      <w:bookmarkStart w:id="10" w:name="_Ref378631753"/>
    </w:p>
    <w:p w14:paraId="0924972E" w14:textId="77777777" w:rsidR="00697524" w:rsidRPr="003B0961" w:rsidRDefault="00697524" w:rsidP="00697524">
      <w:pPr>
        <w:pStyle w:val="Reference"/>
        <w:numPr>
          <w:ilvl w:val="0"/>
          <w:numId w:val="33"/>
        </w:numPr>
        <w:overflowPunct/>
        <w:autoSpaceDE/>
        <w:autoSpaceDN/>
        <w:adjustRightInd/>
        <w:spacing w:before="120" w:after="0" w:line="280" w:lineRule="atLeast"/>
        <w:ind w:left="450" w:hanging="450"/>
        <w:textAlignment w:val="auto"/>
        <w:rPr>
          <w:sz w:val="20"/>
          <w:lang w:eastAsia="ja-JP"/>
        </w:rPr>
      </w:pPr>
      <w:r w:rsidRPr="003B0961">
        <w:rPr>
          <w:sz w:val="20"/>
          <w:lang w:eastAsia="ja-JP"/>
        </w:rPr>
        <w:t>R1-135685</w:t>
      </w:r>
      <w:r w:rsidRPr="003B0961">
        <w:rPr>
          <w:sz w:val="20"/>
        </w:rPr>
        <w:t xml:space="preserve">, </w:t>
      </w:r>
      <w:r w:rsidRPr="003B0961">
        <w:rPr>
          <w:sz w:val="20"/>
          <w:lang w:eastAsia="ja-JP"/>
        </w:rPr>
        <w:t>Pre-decoding IC results with fixed MCS interference</w:t>
      </w:r>
      <w:r w:rsidRPr="003B0961">
        <w:rPr>
          <w:sz w:val="20"/>
        </w:rPr>
        <w:t xml:space="preserve">, </w:t>
      </w:r>
      <w:r w:rsidRPr="003B0961">
        <w:rPr>
          <w:sz w:val="20"/>
          <w:lang w:eastAsia="ja-JP"/>
        </w:rPr>
        <w:t>Huawei, HiSilicon</w:t>
      </w:r>
      <w:r w:rsidRPr="003B0961">
        <w:rPr>
          <w:sz w:val="20"/>
        </w:rPr>
        <w:t>.</w:t>
      </w:r>
      <w:bookmarkStart w:id="11" w:name="_Ref378632056"/>
      <w:bookmarkStart w:id="12" w:name="_Ref378632368"/>
      <w:bookmarkEnd w:id="10"/>
    </w:p>
    <w:p w14:paraId="5BC86A6B" w14:textId="77777777" w:rsidR="00697524" w:rsidRDefault="00697524" w:rsidP="00697524">
      <w:pPr>
        <w:pStyle w:val="Reference"/>
        <w:numPr>
          <w:ilvl w:val="0"/>
          <w:numId w:val="33"/>
        </w:numPr>
        <w:overflowPunct/>
        <w:autoSpaceDE/>
        <w:autoSpaceDN/>
        <w:adjustRightInd/>
        <w:spacing w:before="120" w:after="0" w:line="280" w:lineRule="atLeast"/>
        <w:ind w:left="450" w:hanging="450"/>
        <w:textAlignment w:val="auto"/>
        <w:rPr>
          <w:sz w:val="20"/>
          <w:lang w:eastAsia="ja-JP"/>
        </w:rPr>
      </w:pPr>
      <w:r w:rsidRPr="003B0961">
        <w:rPr>
          <w:rFonts w:hint="eastAsia"/>
          <w:sz w:val="20"/>
          <w:lang w:eastAsia="ja-JP"/>
        </w:rPr>
        <w:t xml:space="preserve">R1-135782, </w:t>
      </w:r>
      <w:r w:rsidRPr="003B0961">
        <w:rPr>
          <w:sz w:val="20"/>
          <w:lang w:eastAsia="ja-JP"/>
        </w:rPr>
        <w:t>Link Performance of RRS in HetNet</w:t>
      </w:r>
      <w:r w:rsidRPr="003B0961">
        <w:rPr>
          <w:rFonts w:hint="eastAsia"/>
          <w:sz w:val="20"/>
          <w:lang w:eastAsia="ja-JP"/>
        </w:rPr>
        <w:t xml:space="preserve">, </w:t>
      </w:r>
      <w:r w:rsidRPr="003B0961">
        <w:rPr>
          <w:sz w:val="20"/>
          <w:lang w:eastAsia="ja-JP"/>
        </w:rPr>
        <w:t>QUALCOMM Incorporated</w:t>
      </w:r>
      <w:r w:rsidRPr="003B0961">
        <w:rPr>
          <w:rFonts w:hint="eastAsia"/>
          <w:sz w:val="20"/>
        </w:rPr>
        <w:t>.</w:t>
      </w:r>
      <w:bookmarkEnd w:id="11"/>
    </w:p>
    <w:p w14:paraId="267C439D" w14:textId="31465BBF" w:rsidR="00697524" w:rsidRDefault="00697524" w:rsidP="00697524">
      <w:pPr>
        <w:pStyle w:val="Reference"/>
        <w:numPr>
          <w:ilvl w:val="0"/>
          <w:numId w:val="33"/>
        </w:numPr>
        <w:overflowPunct/>
        <w:autoSpaceDE/>
        <w:autoSpaceDN/>
        <w:adjustRightInd/>
        <w:spacing w:before="120" w:after="0" w:line="280" w:lineRule="atLeast"/>
        <w:ind w:left="450" w:hanging="450"/>
        <w:textAlignment w:val="auto"/>
        <w:rPr>
          <w:sz w:val="20"/>
          <w:lang w:eastAsia="ja-JP"/>
        </w:rPr>
      </w:pPr>
      <w:r>
        <w:rPr>
          <w:sz w:val="20"/>
        </w:rPr>
        <w:lastRenderedPageBreak/>
        <w:t>R1-xxxxxx,</w:t>
      </w:r>
      <w:r w:rsidRPr="00697524">
        <w:rPr>
          <w:rFonts w:ascii="Arial" w:hAnsi="Arial" w:cs="Arial"/>
          <w:sz w:val="24"/>
          <w:szCs w:val="24"/>
        </w:rPr>
        <w:t xml:space="preserve"> </w:t>
      </w:r>
      <w:r w:rsidRPr="00697524">
        <w:rPr>
          <w:sz w:val="20"/>
          <w:lang w:eastAsia="ja-JP"/>
        </w:rPr>
        <w:t>NAIC with RRS</w:t>
      </w:r>
      <w:r>
        <w:rPr>
          <w:sz w:val="20"/>
          <w:lang w:eastAsia="ja-JP"/>
        </w:rPr>
        <w:t>,</w:t>
      </w:r>
      <w:r w:rsidRPr="00697524">
        <w:rPr>
          <w:rFonts w:hint="eastAsia"/>
          <w:sz w:val="20"/>
          <w:lang w:eastAsia="ja-JP"/>
        </w:rPr>
        <w:t xml:space="preserve"> </w:t>
      </w:r>
      <w:r w:rsidRPr="003B0961">
        <w:rPr>
          <w:sz w:val="20"/>
          <w:lang w:eastAsia="ja-JP"/>
        </w:rPr>
        <w:t>QUALCOMM Incorporated</w:t>
      </w:r>
      <w:r w:rsidRPr="003B0961">
        <w:rPr>
          <w:rFonts w:hint="eastAsia"/>
          <w:sz w:val="20"/>
        </w:rPr>
        <w:t>.</w:t>
      </w:r>
    </w:p>
    <w:p w14:paraId="733A77D0" w14:textId="1CD63A4D" w:rsidR="00697524" w:rsidRPr="003B0961" w:rsidRDefault="00697524" w:rsidP="00697524">
      <w:pPr>
        <w:pStyle w:val="Reference"/>
        <w:numPr>
          <w:ilvl w:val="0"/>
          <w:numId w:val="33"/>
        </w:numPr>
        <w:overflowPunct/>
        <w:autoSpaceDE/>
        <w:autoSpaceDN/>
        <w:adjustRightInd/>
        <w:spacing w:before="120" w:after="0" w:line="280" w:lineRule="atLeast"/>
        <w:ind w:left="450" w:hanging="450"/>
        <w:textAlignment w:val="auto"/>
        <w:rPr>
          <w:sz w:val="20"/>
          <w:lang w:eastAsia="ja-JP"/>
        </w:rPr>
      </w:pPr>
      <w:r>
        <w:rPr>
          <w:sz w:val="20"/>
        </w:rPr>
        <w:t xml:space="preserve">R1-xxxxxx, </w:t>
      </w:r>
      <w:r w:rsidRPr="00697524">
        <w:rPr>
          <w:sz w:val="20"/>
          <w:lang w:eastAsia="ja-JP"/>
        </w:rPr>
        <w:t>System results on opportunistic predecoding NAIC</w:t>
      </w:r>
      <w:r>
        <w:rPr>
          <w:sz w:val="20"/>
          <w:lang w:eastAsia="ja-JP"/>
        </w:rPr>
        <w:t xml:space="preserve">, </w:t>
      </w:r>
      <w:r w:rsidRPr="003B0961">
        <w:rPr>
          <w:sz w:val="20"/>
          <w:lang w:eastAsia="ja-JP"/>
        </w:rPr>
        <w:t>QUALCOMM Incorporated</w:t>
      </w:r>
      <w:r w:rsidRPr="003B0961">
        <w:rPr>
          <w:rFonts w:hint="eastAsia"/>
          <w:sz w:val="20"/>
        </w:rPr>
        <w:t>.</w:t>
      </w:r>
      <w:bookmarkEnd w:id="12"/>
    </w:p>
    <w:sectPr w:rsidR="00697524" w:rsidRPr="003B0961" w:rsidSect="008C2332">
      <w:headerReference w:type="even" r:id="rId11"/>
      <w:footnotePr>
        <w:numRestart w:val="eachSect"/>
      </w:footnotePr>
      <w:pgSz w:w="11907" w:h="16840" w:code="9"/>
      <w:pgMar w:top="1080" w:right="1134" w:bottom="1080"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22492" w14:textId="77777777" w:rsidR="00082E89" w:rsidRDefault="00082E89">
      <w:pPr>
        <w:spacing w:after="0"/>
      </w:pPr>
      <w:r>
        <w:separator/>
      </w:r>
    </w:p>
  </w:endnote>
  <w:endnote w:type="continuationSeparator" w:id="0">
    <w:p w14:paraId="0821C1B4" w14:textId="77777777" w:rsidR="00082E89" w:rsidRDefault="00082E89">
      <w:pPr>
        <w:spacing w:after="0"/>
      </w:pPr>
      <w:r>
        <w:continuationSeparator/>
      </w:r>
    </w:p>
  </w:endnote>
  <w:endnote w:type="continuationNotice" w:id="1">
    <w:p w14:paraId="29119BD7" w14:textId="77777777" w:rsidR="00082E89" w:rsidRDefault="00082E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93BBB" w14:textId="77777777" w:rsidR="00082E89" w:rsidRDefault="00082E89">
      <w:pPr>
        <w:spacing w:after="0"/>
      </w:pPr>
      <w:r>
        <w:separator/>
      </w:r>
    </w:p>
  </w:footnote>
  <w:footnote w:type="continuationSeparator" w:id="0">
    <w:p w14:paraId="23EA41B0" w14:textId="77777777" w:rsidR="00082E89" w:rsidRDefault="00082E89">
      <w:pPr>
        <w:spacing w:after="0"/>
      </w:pPr>
      <w:r>
        <w:continuationSeparator/>
      </w:r>
    </w:p>
  </w:footnote>
  <w:footnote w:type="continuationNotice" w:id="1">
    <w:p w14:paraId="696C5FC8" w14:textId="77777777" w:rsidR="00082E89" w:rsidRDefault="00082E8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D6F46" w14:textId="77777777" w:rsidR="00E505C9" w:rsidRDefault="00E50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87B0127"/>
    <w:multiLevelType w:val="hybridMultilevel"/>
    <w:tmpl w:val="F442330A"/>
    <w:lvl w:ilvl="0" w:tplc="E564EAA2">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96F13EC"/>
    <w:multiLevelType w:val="hybridMultilevel"/>
    <w:tmpl w:val="C3AC56DE"/>
    <w:lvl w:ilvl="0" w:tplc="DD6618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DC7C0A"/>
    <w:multiLevelType w:val="hybridMultilevel"/>
    <w:tmpl w:val="37B8FFF6"/>
    <w:lvl w:ilvl="0" w:tplc="4718FB32">
      <w:start w:val="1"/>
      <w:numFmt w:val="bullet"/>
      <w:pStyle w:val="TableBullet"/>
      <w:lvlText w:val=""/>
      <w:lvlJc w:val="left"/>
      <w:pPr>
        <w:tabs>
          <w:tab w:val="num" w:pos="288"/>
        </w:tabs>
        <w:ind w:left="432" w:hanging="144"/>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987E53"/>
    <w:multiLevelType w:val="hybridMultilevel"/>
    <w:tmpl w:val="EF0E884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4F0AE3"/>
    <w:multiLevelType w:val="hybridMultilevel"/>
    <w:tmpl w:val="AF306D6A"/>
    <w:lvl w:ilvl="0" w:tplc="1688DB42">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11">
    <w:nsid w:val="1B611D2F"/>
    <w:multiLevelType w:val="hybridMultilevel"/>
    <w:tmpl w:val="D72C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8B54C1"/>
    <w:multiLevelType w:val="hybridMultilevel"/>
    <w:tmpl w:val="5CA0B842"/>
    <w:lvl w:ilvl="0" w:tplc="1688DB4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FC20763"/>
    <w:multiLevelType w:val="hybridMultilevel"/>
    <w:tmpl w:val="2E9C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5E2A27"/>
    <w:multiLevelType w:val="hybridMultilevel"/>
    <w:tmpl w:val="AECA1C88"/>
    <w:lvl w:ilvl="0" w:tplc="0DEC61A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EF7CE4"/>
    <w:multiLevelType w:val="hybridMultilevel"/>
    <w:tmpl w:val="4230973C"/>
    <w:lvl w:ilvl="0" w:tplc="1572FB96">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55655F1"/>
    <w:multiLevelType w:val="hybridMultilevel"/>
    <w:tmpl w:val="82A4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nsid w:val="45785362"/>
    <w:multiLevelType w:val="hybridMultilevel"/>
    <w:tmpl w:val="F3663448"/>
    <w:lvl w:ilvl="0" w:tplc="2790240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CB3AC3"/>
    <w:multiLevelType w:val="hybridMultilevel"/>
    <w:tmpl w:val="0CC66738"/>
    <w:lvl w:ilvl="0" w:tplc="490CD5B0">
      <w:start w:val="1"/>
      <w:numFmt w:val="bullet"/>
      <w:lvlText w:val="•"/>
      <w:lvlJc w:val="left"/>
      <w:pPr>
        <w:tabs>
          <w:tab w:val="num" w:pos="720"/>
        </w:tabs>
        <w:ind w:left="720" w:hanging="360"/>
      </w:pPr>
      <w:rPr>
        <w:rFonts w:ascii="Arial" w:hAnsi="Arial" w:hint="default"/>
      </w:rPr>
    </w:lvl>
    <w:lvl w:ilvl="1" w:tplc="5BF6750C">
      <w:start w:val="42"/>
      <w:numFmt w:val="bullet"/>
      <w:lvlText w:val=""/>
      <w:lvlJc w:val="left"/>
      <w:pPr>
        <w:tabs>
          <w:tab w:val="num" w:pos="1440"/>
        </w:tabs>
        <w:ind w:left="1440" w:hanging="360"/>
      </w:pPr>
      <w:rPr>
        <w:rFonts w:ascii="Wingdings" w:hAnsi="Wingdings" w:hint="default"/>
      </w:rPr>
    </w:lvl>
    <w:lvl w:ilvl="2" w:tplc="B1549154" w:tentative="1">
      <w:start w:val="1"/>
      <w:numFmt w:val="bullet"/>
      <w:lvlText w:val="•"/>
      <w:lvlJc w:val="left"/>
      <w:pPr>
        <w:tabs>
          <w:tab w:val="num" w:pos="2160"/>
        </w:tabs>
        <w:ind w:left="2160" w:hanging="360"/>
      </w:pPr>
      <w:rPr>
        <w:rFonts w:ascii="Arial" w:hAnsi="Arial" w:hint="default"/>
      </w:rPr>
    </w:lvl>
    <w:lvl w:ilvl="3" w:tplc="C4847EE6" w:tentative="1">
      <w:start w:val="1"/>
      <w:numFmt w:val="bullet"/>
      <w:lvlText w:val="•"/>
      <w:lvlJc w:val="left"/>
      <w:pPr>
        <w:tabs>
          <w:tab w:val="num" w:pos="2880"/>
        </w:tabs>
        <w:ind w:left="2880" w:hanging="360"/>
      </w:pPr>
      <w:rPr>
        <w:rFonts w:ascii="Arial" w:hAnsi="Arial" w:hint="default"/>
      </w:rPr>
    </w:lvl>
    <w:lvl w:ilvl="4" w:tplc="B816C810" w:tentative="1">
      <w:start w:val="1"/>
      <w:numFmt w:val="bullet"/>
      <w:lvlText w:val="•"/>
      <w:lvlJc w:val="left"/>
      <w:pPr>
        <w:tabs>
          <w:tab w:val="num" w:pos="3600"/>
        </w:tabs>
        <w:ind w:left="3600" w:hanging="360"/>
      </w:pPr>
      <w:rPr>
        <w:rFonts w:ascii="Arial" w:hAnsi="Arial" w:hint="default"/>
      </w:rPr>
    </w:lvl>
    <w:lvl w:ilvl="5" w:tplc="923EC372" w:tentative="1">
      <w:start w:val="1"/>
      <w:numFmt w:val="bullet"/>
      <w:lvlText w:val="•"/>
      <w:lvlJc w:val="left"/>
      <w:pPr>
        <w:tabs>
          <w:tab w:val="num" w:pos="4320"/>
        </w:tabs>
        <w:ind w:left="4320" w:hanging="360"/>
      </w:pPr>
      <w:rPr>
        <w:rFonts w:ascii="Arial" w:hAnsi="Arial" w:hint="default"/>
      </w:rPr>
    </w:lvl>
    <w:lvl w:ilvl="6" w:tplc="793ED55A" w:tentative="1">
      <w:start w:val="1"/>
      <w:numFmt w:val="bullet"/>
      <w:lvlText w:val="•"/>
      <w:lvlJc w:val="left"/>
      <w:pPr>
        <w:tabs>
          <w:tab w:val="num" w:pos="5040"/>
        </w:tabs>
        <w:ind w:left="5040" w:hanging="360"/>
      </w:pPr>
      <w:rPr>
        <w:rFonts w:ascii="Arial" w:hAnsi="Arial" w:hint="default"/>
      </w:rPr>
    </w:lvl>
    <w:lvl w:ilvl="7" w:tplc="8B8020EE" w:tentative="1">
      <w:start w:val="1"/>
      <w:numFmt w:val="bullet"/>
      <w:lvlText w:val="•"/>
      <w:lvlJc w:val="left"/>
      <w:pPr>
        <w:tabs>
          <w:tab w:val="num" w:pos="5760"/>
        </w:tabs>
        <w:ind w:left="5760" w:hanging="360"/>
      </w:pPr>
      <w:rPr>
        <w:rFonts w:ascii="Arial" w:hAnsi="Arial" w:hint="default"/>
      </w:rPr>
    </w:lvl>
    <w:lvl w:ilvl="8" w:tplc="B308EFAC" w:tentative="1">
      <w:start w:val="1"/>
      <w:numFmt w:val="bullet"/>
      <w:lvlText w:val="•"/>
      <w:lvlJc w:val="left"/>
      <w:pPr>
        <w:tabs>
          <w:tab w:val="num" w:pos="6480"/>
        </w:tabs>
        <w:ind w:left="6480" w:hanging="360"/>
      </w:pPr>
      <w:rPr>
        <w:rFonts w:ascii="Arial" w:hAnsi="Arial" w:hint="default"/>
      </w:rPr>
    </w:lvl>
  </w:abstractNum>
  <w:abstractNum w:abstractNumId="25">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7">
    <w:nsid w:val="587001F7"/>
    <w:multiLevelType w:val="hybridMultilevel"/>
    <w:tmpl w:val="25EC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580918"/>
    <w:multiLevelType w:val="hybridMultilevel"/>
    <w:tmpl w:val="F79802BE"/>
    <w:lvl w:ilvl="0" w:tplc="0409000F">
      <w:start w:val="1"/>
      <w:numFmt w:val="decimal"/>
      <w:lvlText w:val="%1."/>
      <w:lvlJc w:val="left"/>
      <w:pPr>
        <w:ind w:left="1080" w:hanging="360"/>
      </w:pPr>
      <w:rPr>
        <w:rFonts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2">
    <w:nsid w:val="6A785CC3"/>
    <w:multiLevelType w:val="hybridMultilevel"/>
    <w:tmpl w:val="B9C09C70"/>
    <w:lvl w:ilvl="0" w:tplc="0988076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5644E41"/>
    <w:multiLevelType w:val="hybridMultilevel"/>
    <w:tmpl w:val="3B823E42"/>
    <w:lvl w:ilvl="0" w:tplc="18609E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2407A1"/>
    <w:multiLevelType w:val="singleLevel"/>
    <w:tmpl w:val="3CBC6FEA"/>
    <w:lvl w:ilvl="0">
      <w:start w:val="1"/>
      <w:numFmt w:val="decimal"/>
      <w:lvlText w:val="[%1]"/>
      <w:lvlJc w:val="left"/>
      <w:pPr>
        <w:tabs>
          <w:tab w:val="num" w:pos="360"/>
        </w:tabs>
        <w:ind w:left="360" w:hanging="360"/>
      </w:pPr>
    </w:lvl>
  </w:abstractNum>
  <w:num w:numId="1">
    <w:abstractNumId w:val="22"/>
  </w:num>
  <w:num w:numId="2">
    <w:abstractNumId w:val="23"/>
  </w:num>
  <w:num w:numId="3">
    <w:abstractNumId w:val="35"/>
  </w:num>
  <w:num w:numId="4">
    <w:abstractNumId w:val="25"/>
  </w:num>
  <w:num w:numId="5">
    <w:abstractNumId w:val="29"/>
  </w:num>
  <w:num w:numId="6">
    <w:abstractNumId w:val="3"/>
  </w:num>
  <w:num w:numId="7">
    <w:abstractNumId w:val="8"/>
  </w:num>
  <w:num w:numId="8">
    <w:abstractNumId w:val="19"/>
  </w:num>
  <w:num w:numId="9">
    <w:abstractNumId w:val="33"/>
  </w:num>
  <w:num w:numId="10">
    <w:abstractNumId w:val="5"/>
  </w:num>
  <w:num w:numId="11">
    <w:abstractNumId w:val="10"/>
  </w:num>
  <w:num w:numId="12">
    <w:abstractNumId w:val="0"/>
  </w:num>
  <w:num w:numId="13">
    <w:abstractNumId w:val="31"/>
  </w:num>
  <w:num w:numId="14">
    <w:abstractNumId w:val="7"/>
  </w:num>
  <w:num w:numId="15">
    <w:abstractNumId w:val="15"/>
  </w:num>
  <w:num w:numId="16">
    <w:abstractNumId w:val="28"/>
  </w:num>
  <w:num w:numId="17">
    <w:abstractNumId w:val="20"/>
  </w:num>
  <w:num w:numId="18">
    <w:abstractNumId w:val="26"/>
  </w:num>
  <w:num w:numId="19">
    <w:abstractNumId w:val="18"/>
  </w:num>
  <w:num w:numId="20">
    <w:abstractNumId w:val="14"/>
  </w:num>
  <w:num w:numId="21">
    <w:abstractNumId w:val="32"/>
  </w:num>
  <w:num w:numId="22">
    <w:abstractNumId w:val="11"/>
  </w:num>
  <w:num w:numId="23">
    <w:abstractNumId w:val="17"/>
  </w:num>
  <w:num w:numId="24">
    <w:abstractNumId w:val="6"/>
  </w:num>
  <w:num w:numId="25">
    <w:abstractNumId w:val="13"/>
  </w:num>
  <w:num w:numId="26">
    <w:abstractNumId w:val="27"/>
  </w:num>
  <w:num w:numId="27">
    <w:abstractNumId w:val="3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1"/>
  </w:num>
  <w:num w:numId="30">
    <w:abstractNumId w:val="24"/>
  </w:num>
  <w:num w:numId="31">
    <w:abstractNumId w:val="2"/>
  </w:num>
  <w:num w:numId="32">
    <w:abstractNumId w:val="16"/>
  </w:num>
  <w:num w:numId="33">
    <w:abstractNumId w:val="9"/>
  </w:num>
  <w:num w:numId="34">
    <w:abstractNumId w:val="12"/>
  </w:num>
  <w:num w:numId="35">
    <w:abstractNumId w:val="21"/>
  </w:num>
  <w:num w:numId="36">
    <w:abstractNumId w:val="34"/>
  </w:num>
  <w:num w:numId="3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95F"/>
    <w:rsid w:val="00000077"/>
    <w:rsid w:val="00001FE9"/>
    <w:rsid w:val="00003908"/>
    <w:rsid w:val="00004581"/>
    <w:rsid w:val="00004CAA"/>
    <w:rsid w:val="0000753A"/>
    <w:rsid w:val="00020724"/>
    <w:rsid w:val="00021619"/>
    <w:rsid w:val="00022C13"/>
    <w:rsid w:val="00025EF3"/>
    <w:rsid w:val="00027839"/>
    <w:rsid w:val="00030210"/>
    <w:rsid w:val="0003091C"/>
    <w:rsid w:val="000314FF"/>
    <w:rsid w:val="000330FA"/>
    <w:rsid w:val="000366D2"/>
    <w:rsid w:val="000369F0"/>
    <w:rsid w:val="00037724"/>
    <w:rsid w:val="000403EF"/>
    <w:rsid w:val="00041FBD"/>
    <w:rsid w:val="000420F9"/>
    <w:rsid w:val="0004239A"/>
    <w:rsid w:val="00042FC1"/>
    <w:rsid w:val="00044B13"/>
    <w:rsid w:val="000477D1"/>
    <w:rsid w:val="00050418"/>
    <w:rsid w:val="00051FB6"/>
    <w:rsid w:val="00052CB8"/>
    <w:rsid w:val="00053C13"/>
    <w:rsid w:val="00055E78"/>
    <w:rsid w:val="0005615D"/>
    <w:rsid w:val="00060D52"/>
    <w:rsid w:val="00061E7E"/>
    <w:rsid w:val="00067638"/>
    <w:rsid w:val="0007054A"/>
    <w:rsid w:val="000712B8"/>
    <w:rsid w:val="00071AD0"/>
    <w:rsid w:val="000775AD"/>
    <w:rsid w:val="0007792B"/>
    <w:rsid w:val="0008033F"/>
    <w:rsid w:val="00080A0B"/>
    <w:rsid w:val="0008139D"/>
    <w:rsid w:val="00082E89"/>
    <w:rsid w:val="00085AAD"/>
    <w:rsid w:val="0008719E"/>
    <w:rsid w:val="00087CEB"/>
    <w:rsid w:val="00090AC6"/>
    <w:rsid w:val="00093053"/>
    <w:rsid w:val="00093FC0"/>
    <w:rsid w:val="00094E7E"/>
    <w:rsid w:val="00096386"/>
    <w:rsid w:val="000A22B6"/>
    <w:rsid w:val="000A40B9"/>
    <w:rsid w:val="000A41B8"/>
    <w:rsid w:val="000A515C"/>
    <w:rsid w:val="000A5D08"/>
    <w:rsid w:val="000A63BC"/>
    <w:rsid w:val="000A7462"/>
    <w:rsid w:val="000B0FF5"/>
    <w:rsid w:val="000B1828"/>
    <w:rsid w:val="000B1A30"/>
    <w:rsid w:val="000B24DE"/>
    <w:rsid w:val="000B473E"/>
    <w:rsid w:val="000B575B"/>
    <w:rsid w:val="000B5A0F"/>
    <w:rsid w:val="000B65EA"/>
    <w:rsid w:val="000C5A30"/>
    <w:rsid w:val="000C77C3"/>
    <w:rsid w:val="000D3D31"/>
    <w:rsid w:val="000D71C7"/>
    <w:rsid w:val="000E07A6"/>
    <w:rsid w:val="000E1554"/>
    <w:rsid w:val="000E1E30"/>
    <w:rsid w:val="000E3529"/>
    <w:rsid w:val="000E3F46"/>
    <w:rsid w:val="000E4CC2"/>
    <w:rsid w:val="000F1BDB"/>
    <w:rsid w:val="000F2955"/>
    <w:rsid w:val="000F3141"/>
    <w:rsid w:val="000F551A"/>
    <w:rsid w:val="000F57CA"/>
    <w:rsid w:val="000F5C3D"/>
    <w:rsid w:val="000F60DB"/>
    <w:rsid w:val="000F64F0"/>
    <w:rsid w:val="001019BF"/>
    <w:rsid w:val="00101C17"/>
    <w:rsid w:val="00103E47"/>
    <w:rsid w:val="00104CC6"/>
    <w:rsid w:val="00106304"/>
    <w:rsid w:val="001078BF"/>
    <w:rsid w:val="00107C48"/>
    <w:rsid w:val="00110D00"/>
    <w:rsid w:val="00111B3E"/>
    <w:rsid w:val="0011247C"/>
    <w:rsid w:val="0011288B"/>
    <w:rsid w:val="001140B8"/>
    <w:rsid w:val="0011445A"/>
    <w:rsid w:val="00114620"/>
    <w:rsid w:val="001148C1"/>
    <w:rsid w:val="00115554"/>
    <w:rsid w:val="0012167E"/>
    <w:rsid w:val="00121C26"/>
    <w:rsid w:val="00121D93"/>
    <w:rsid w:val="00122862"/>
    <w:rsid w:val="00123066"/>
    <w:rsid w:val="00124DB2"/>
    <w:rsid w:val="00125826"/>
    <w:rsid w:val="00126F5A"/>
    <w:rsid w:val="00127E6F"/>
    <w:rsid w:val="0013054C"/>
    <w:rsid w:val="00130DE2"/>
    <w:rsid w:val="0013182A"/>
    <w:rsid w:val="0013244A"/>
    <w:rsid w:val="00133033"/>
    <w:rsid w:val="0013353D"/>
    <w:rsid w:val="0013680C"/>
    <w:rsid w:val="00136B04"/>
    <w:rsid w:val="001371FD"/>
    <w:rsid w:val="001400B8"/>
    <w:rsid w:val="0014088B"/>
    <w:rsid w:val="0014246D"/>
    <w:rsid w:val="00144C9C"/>
    <w:rsid w:val="00145EA3"/>
    <w:rsid w:val="0015214B"/>
    <w:rsid w:val="001526A1"/>
    <w:rsid w:val="00152B29"/>
    <w:rsid w:val="00154469"/>
    <w:rsid w:val="001553B3"/>
    <w:rsid w:val="00157898"/>
    <w:rsid w:val="00160E0C"/>
    <w:rsid w:val="00162D06"/>
    <w:rsid w:val="001642EE"/>
    <w:rsid w:val="001647B9"/>
    <w:rsid w:val="00164A2E"/>
    <w:rsid w:val="0016508B"/>
    <w:rsid w:val="0016550F"/>
    <w:rsid w:val="001664E4"/>
    <w:rsid w:val="001665A7"/>
    <w:rsid w:val="001677BB"/>
    <w:rsid w:val="001726C2"/>
    <w:rsid w:val="001730A9"/>
    <w:rsid w:val="00173E90"/>
    <w:rsid w:val="0017489B"/>
    <w:rsid w:val="00175ABD"/>
    <w:rsid w:val="00175C10"/>
    <w:rsid w:val="00175D0B"/>
    <w:rsid w:val="001764D8"/>
    <w:rsid w:val="001765C1"/>
    <w:rsid w:val="00177EF9"/>
    <w:rsid w:val="001816E2"/>
    <w:rsid w:val="00181DED"/>
    <w:rsid w:val="00182728"/>
    <w:rsid w:val="00182A6B"/>
    <w:rsid w:val="00185598"/>
    <w:rsid w:val="00186056"/>
    <w:rsid w:val="00190FBE"/>
    <w:rsid w:val="00191C29"/>
    <w:rsid w:val="00193527"/>
    <w:rsid w:val="001956B2"/>
    <w:rsid w:val="001A0728"/>
    <w:rsid w:val="001A16E1"/>
    <w:rsid w:val="001A1943"/>
    <w:rsid w:val="001A252E"/>
    <w:rsid w:val="001A3516"/>
    <w:rsid w:val="001A5DC4"/>
    <w:rsid w:val="001A6596"/>
    <w:rsid w:val="001A6A19"/>
    <w:rsid w:val="001A73CE"/>
    <w:rsid w:val="001B2814"/>
    <w:rsid w:val="001B3FA2"/>
    <w:rsid w:val="001B46ED"/>
    <w:rsid w:val="001B4C78"/>
    <w:rsid w:val="001B51C5"/>
    <w:rsid w:val="001C2357"/>
    <w:rsid w:val="001C279C"/>
    <w:rsid w:val="001C339E"/>
    <w:rsid w:val="001C492A"/>
    <w:rsid w:val="001C4D1F"/>
    <w:rsid w:val="001C764E"/>
    <w:rsid w:val="001C7C87"/>
    <w:rsid w:val="001D04AC"/>
    <w:rsid w:val="001D112C"/>
    <w:rsid w:val="001D28B7"/>
    <w:rsid w:val="001D3566"/>
    <w:rsid w:val="001D35E4"/>
    <w:rsid w:val="001D3CCC"/>
    <w:rsid w:val="001D3F66"/>
    <w:rsid w:val="001D5586"/>
    <w:rsid w:val="001D5D73"/>
    <w:rsid w:val="001D60A8"/>
    <w:rsid w:val="001D64FF"/>
    <w:rsid w:val="001E1121"/>
    <w:rsid w:val="001E1889"/>
    <w:rsid w:val="001E22B4"/>
    <w:rsid w:val="001E25F2"/>
    <w:rsid w:val="001E2A38"/>
    <w:rsid w:val="001E2EE6"/>
    <w:rsid w:val="001E6E0D"/>
    <w:rsid w:val="001E76AB"/>
    <w:rsid w:val="001E7ED5"/>
    <w:rsid w:val="001F05F3"/>
    <w:rsid w:val="001F0795"/>
    <w:rsid w:val="001F0DB2"/>
    <w:rsid w:val="001F57A7"/>
    <w:rsid w:val="001F6450"/>
    <w:rsid w:val="001F74AD"/>
    <w:rsid w:val="00200548"/>
    <w:rsid w:val="00200C74"/>
    <w:rsid w:val="00202E96"/>
    <w:rsid w:val="00203C7E"/>
    <w:rsid w:val="00204125"/>
    <w:rsid w:val="00204AC9"/>
    <w:rsid w:val="00205F55"/>
    <w:rsid w:val="00210FB8"/>
    <w:rsid w:val="002112AA"/>
    <w:rsid w:val="00212933"/>
    <w:rsid w:val="00213044"/>
    <w:rsid w:val="0021390F"/>
    <w:rsid w:val="0021460C"/>
    <w:rsid w:val="00214D9E"/>
    <w:rsid w:val="0021759A"/>
    <w:rsid w:val="00221050"/>
    <w:rsid w:val="00221D19"/>
    <w:rsid w:val="00222BED"/>
    <w:rsid w:val="0022395F"/>
    <w:rsid w:val="00224063"/>
    <w:rsid w:val="002242FC"/>
    <w:rsid w:val="002252C3"/>
    <w:rsid w:val="00225546"/>
    <w:rsid w:val="00226543"/>
    <w:rsid w:val="00230978"/>
    <w:rsid w:val="00232042"/>
    <w:rsid w:val="00233BD8"/>
    <w:rsid w:val="002342E9"/>
    <w:rsid w:val="002374EE"/>
    <w:rsid w:val="00241604"/>
    <w:rsid w:val="0024297A"/>
    <w:rsid w:val="002432EB"/>
    <w:rsid w:val="00244CBC"/>
    <w:rsid w:val="0024610E"/>
    <w:rsid w:val="002474CF"/>
    <w:rsid w:val="00250799"/>
    <w:rsid w:val="00250EAA"/>
    <w:rsid w:val="00251468"/>
    <w:rsid w:val="002521AA"/>
    <w:rsid w:val="00257816"/>
    <w:rsid w:val="0026028D"/>
    <w:rsid w:val="002602EE"/>
    <w:rsid w:val="002612D1"/>
    <w:rsid w:val="00261DD0"/>
    <w:rsid w:val="002640B6"/>
    <w:rsid w:val="00264108"/>
    <w:rsid w:val="00264CF7"/>
    <w:rsid w:val="00266BC1"/>
    <w:rsid w:val="00267366"/>
    <w:rsid w:val="0026784D"/>
    <w:rsid w:val="0027223D"/>
    <w:rsid w:val="002724D8"/>
    <w:rsid w:val="0027331B"/>
    <w:rsid w:val="00274461"/>
    <w:rsid w:val="00274B3F"/>
    <w:rsid w:val="00281704"/>
    <w:rsid w:val="00281D57"/>
    <w:rsid w:val="002835B4"/>
    <w:rsid w:val="002878FE"/>
    <w:rsid w:val="00287F47"/>
    <w:rsid w:val="00294209"/>
    <w:rsid w:val="0029532C"/>
    <w:rsid w:val="0029622B"/>
    <w:rsid w:val="00296AA1"/>
    <w:rsid w:val="00296CE8"/>
    <w:rsid w:val="00297337"/>
    <w:rsid w:val="00297A0F"/>
    <w:rsid w:val="002A0BE3"/>
    <w:rsid w:val="002A0D61"/>
    <w:rsid w:val="002A16C5"/>
    <w:rsid w:val="002A2E80"/>
    <w:rsid w:val="002A7063"/>
    <w:rsid w:val="002B0166"/>
    <w:rsid w:val="002B1D17"/>
    <w:rsid w:val="002B4997"/>
    <w:rsid w:val="002B53F9"/>
    <w:rsid w:val="002B5BC5"/>
    <w:rsid w:val="002B7859"/>
    <w:rsid w:val="002B7E44"/>
    <w:rsid w:val="002C1715"/>
    <w:rsid w:val="002C29A1"/>
    <w:rsid w:val="002C3ADC"/>
    <w:rsid w:val="002C44FC"/>
    <w:rsid w:val="002C48F9"/>
    <w:rsid w:val="002C4E74"/>
    <w:rsid w:val="002C5644"/>
    <w:rsid w:val="002C5FA8"/>
    <w:rsid w:val="002C6848"/>
    <w:rsid w:val="002C693E"/>
    <w:rsid w:val="002C70E0"/>
    <w:rsid w:val="002D0AD4"/>
    <w:rsid w:val="002D21F7"/>
    <w:rsid w:val="002D5C59"/>
    <w:rsid w:val="002D72F7"/>
    <w:rsid w:val="002D7556"/>
    <w:rsid w:val="002E3981"/>
    <w:rsid w:val="002E3C00"/>
    <w:rsid w:val="002E5C7A"/>
    <w:rsid w:val="002F208A"/>
    <w:rsid w:val="002F40E4"/>
    <w:rsid w:val="002F5325"/>
    <w:rsid w:val="002F7408"/>
    <w:rsid w:val="002F7A34"/>
    <w:rsid w:val="003041EA"/>
    <w:rsid w:val="0030481F"/>
    <w:rsid w:val="003053E3"/>
    <w:rsid w:val="00305FFA"/>
    <w:rsid w:val="0030626E"/>
    <w:rsid w:val="00306553"/>
    <w:rsid w:val="00307795"/>
    <w:rsid w:val="003078E4"/>
    <w:rsid w:val="00310795"/>
    <w:rsid w:val="003118FB"/>
    <w:rsid w:val="00312512"/>
    <w:rsid w:val="0031426B"/>
    <w:rsid w:val="003163CE"/>
    <w:rsid w:val="0032160D"/>
    <w:rsid w:val="003220B0"/>
    <w:rsid w:val="0032269B"/>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4792A"/>
    <w:rsid w:val="00350509"/>
    <w:rsid w:val="00351AB4"/>
    <w:rsid w:val="0035338F"/>
    <w:rsid w:val="00353A9E"/>
    <w:rsid w:val="00355266"/>
    <w:rsid w:val="00355914"/>
    <w:rsid w:val="0035620F"/>
    <w:rsid w:val="003564DD"/>
    <w:rsid w:val="0035657E"/>
    <w:rsid w:val="0035774C"/>
    <w:rsid w:val="00360F9A"/>
    <w:rsid w:val="003621A3"/>
    <w:rsid w:val="0036388B"/>
    <w:rsid w:val="0036430D"/>
    <w:rsid w:val="00365047"/>
    <w:rsid w:val="00365217"/>
    <w:rsid w:val="00366BE6"/>
    <w:rsid w:val="003678C4"/>
    <w:rsid w:val="00367E79"/>
    <w:rsid w:val="00370345"/>
    <w:rsid w:val="00370FEB"/>
    <w:rsid w:val="00371A2A"/>
    <w:rsid w:val="00371A8E"/>
    <w:rsid w:val="00380AB1"/>
    <w:rsid w:val="003811E7"/>
    <w:rsid w:val="00382186"/>
    <w:rsid w:val="00383A63"/>
    <w:rsid w:val="0038615D"/>
    <w:rsid w:val="00387D24"/>
    <w:rsid w:val="00390152"/>
    <w:rsid w:val="0039025F"/>
    <w:rsid w:val="003941CA"/>
    <w:rsid w:val="003946AB"/>
    <w:rsid w:val="00394C7D"/>
    <w:rsid w:val="003953E6"/>
    <w:rsid w:val="003A0B32"/>
    <w:rsid w:val="003A1E21"/>
    <w:rsid w:val="003A2AD1"/>
    <w:rsid w:val="003A411A"/>
    <w:rsid w:val="003A6E17"/>
    <w:rsid w:val="003A72F0"/>
    <w:rsid w:val="003A7440"/>
    <w:rsid w:val="003A7857"/>
    <w:rsid w:val="003B0961"/>
    <w:rsid w:val="003B112C"/>
    <w:rsid w:val="003B1B98"/>
    <w:rsid w:val="003B1D4D"/>
    <w:rsid w:val="003B1F22"/>
    <w:rsid w:val="003B4699"/>
    <w:rsid w:val="003B4A0E"/>
    <w:rsid w:val="003C0FCF"/>
    <w:rsid w:val="003C1EF7"/>
    <w:rsid w:val="003C23B7"/>
    <w:rsid w:val="003C2F75"/>
    <w:rsid w:val="003C4C2B"/>
    <w:rsid w:val="003C513C"/>
    <w:rsid w:val="003C72AC"/>
    <w:rsid w:val="003C791D"/>
    <w:rsid w:val="003D2E70"/>
    <w:rsid w:val="003D2F3E"/>
    <w:rsid w:val="003D3AAF"/>
    <w:rsid w:val="003D572D"/>
    <w:rsid w:val="003D7255"/>
    <w:rsid w:val="003D726A"/>
    <w:rsid w:val="003D7D5B"/>
    <w:rsid w:val="003E2E9F"/>
    <w:rsid w:val="003E3D23"/>
    <w:rsid w:val="003E4169"/>
    <w:rsid w:val="003E5F8C"/>
    <w:rsid w:val="003E6A36"/>
    <w:rsid w:val="003E7AAD"/>
    <w:rsid w:val="003E7EB0"/>
    <w:rsid w:val="003F0BA9"/>
    <w:rsid w:val="003F2D2B"/>
    <w:rsid w:val="003F5EA0"/>
    <w:rsid w:val="003F5F5E"/>
    <w:rsid w:val="003F7B6A"/>
    <w:rsid w:val="00402FAC"/>
    <w:rsid w:val="00403038"/>
    <w:rsid w:val="00403CAC"/>
    <w:rsid w:val="004054FF"/>
    <w:rsid w:val="00406124"/>
    <w:rsid w:val="00407695"/>
    <w:rsid w:val="00411A30"/>
    <w:rsid w:val="00411B86"/>
    <w:rsid w:val="00415F19"/>
    <w:rsid w:val="004167D3"/>
    <w:rsid w:val="004167E1"/>
    <w:rsid w:val="0041734D"/>
    <w:rsid w:val="00421253"/>
    <w:rsid w:val="00424DC6"/>
    <w:rsid w:val="0042751E"/>
    <w:rsid w:val="00427814"/>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0CD2"/>
    <w:rsid w:val="0045106A"/>
    <w:rsid w:val="0045189B"/>
    <w:rsid w:val="00454B3A"/>
    <w:rsid w:val="0045567D"/>
    <w:rsid w:val="004626AB"/>
    <w:rsid w:val="0046280A"/>
    <w:rsid w:val="004656D3"/>
    <w:rsid w:val="0046608B"/>
    <w:rsid w:val="00472CD7"/>
    <w:rsid w:val="004733B7"/>
    <w:rsid w:val="0047522E"/>
    <w:rsid w:val="004772BA"/>
    <w:rsid w:val="00477A50"/>
    <w:rsid w:val="0048247F"/>
    <w:rsid w:val="004870AA"/>
    <w:rsid w:val="0048717B"/>
    <w:rsid w:val="00487C80"/>
    <w:rsid w:val="004907FA"/>
    <w:rsid w:val="00490B6E"/>
    <w:rsid w:val="004915FA"/>
    <w:rsid w:val="004937E1"/>
    <w:rsid w:val="004951F8"/>
    <w:rsid w:val="00496F2C"/>
    <w:rsid w:val="004A180D"/>
    <w:rsid w:val="004A25B5"/>
    <w:rsid w:val="004A2F0D"/>
    <w:rsid w:val="004A3731"/>
    <w:rsid w:val="004A4761"/>
    <w:rsid w:val="004A4C62"/>
    <w:rsid w:val="004A55CB"/>
    <w:rsid w:val="004A6096"/>
    <w:rsid w:val="004A6A1F"/>
    <w:rsid w:val="004B0991"/>
    <w:rsid w:val="004B51C4"/>
    <w:rsid w:val="004B5412"/>
    <w:rsid w:val="004C150A"/>
    <w:rsid w:val="004C352E"/>
    <w:rsid w:val="004C4DE0"/>
    <w:rsid w:val="004C4FD9"/>
    <w:rsid w:val="004C64B5"/>
    <w:rsid w:val="004C7CC4"/>
    <w:rsid w:val="004D1FD3"/>
    <w:rsid w:val="004D2DEC"/>
    <w:rsid w:val="004D3373"/>
    <w:rsid w:val="004D34D7"/>
    <w:rsid w:val="004D401B"/>
    <w:rsid w:val="004D4C49"/>
    <w:rsid w:val="004D4EDB"/>
    <w:rsid w:val="004D515F"/>
    <w:rsid w:val="004D67A6"/>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2E9"/>
    <w:rsid w:val="00523951"/>
    <w:rsid w:val="00530262"/>
    <w:rsid w:val="00535C0E"/>
    <w:rsid w:val="00535DF0"/>
    <w:rsid w:val="00537476"/>
    <w:rsid w:val="00540446"/>
    <w:rsid w:val="00544475"/>
    <w:rsid w:val="00545618"/>
    <w:rsid w:val="00550633"/>
    <w:rsid w:val="00550BE2"/>
    <w:rsid w:val="00550EB2"/>
    <w:rsid w:val="00552484"/>
    <w:rsid w:val="00552540"/>
    <w:rsid w:val="00553929"/>
    <w:rsid w:val="00553FA1"/>
    <w:rsid w:val="005542D9"/>
    <w:rsid w:val="00555405"/>
    <w:rsid w:val="00555DAB"/>
    <w:rsid w:val="00556072"/>
    <w:rsid w:val="005566CF"/>
    <w:rsid w:val="00557A9B"/>
    <w:rsid w:val="00561733"/>
    <w:rsid w:val="00564F1A"/>
    <w:rsid w:val="0056639F"/>
    <w:rsid w:val="005667C0"/>
    <w:rsid w:val="00566E9D"/>
    <w:rsid w:val="005676B5"/>
    <w:rsid w:val="005721F6"/>
    <w:rsid w:val="0057380B"/>
    <w:rsid w:val="00575D89"/>
    <w:rsid w:val="00575F80"/>
    <w:rsid w:val="00576D83"/>
    <w:rsid w:val="005775B4"/>
    <w:rsid w:val="0057790B"/>
    <w:rsid w:val="00577A58"/>
    <w:rsid w:val="00577E22"/>
    <w:rsid w:val="00580690"/>
    <w:rsid w:val="00581845"/>
    <w:rsid w:val="0058184C"/>
    <w:rsid w:val="005818C2"/>
    <w:rsid w:val="0058239D"/>
    <w:rsid w:val="00582583"/>
    <w:rsid w:val="00582833"/>
    <w:rsid w:val="00582EF4"/>
    <w:rsid w:val="00585A06"/>
    <w:rsid w:val="00585AA5"/>
    <w:rsid w:val="00585C82"/>
    <w:rsid w:val="005862DE"/>
    <w:rsid w:val="00586A6F"/>
    <w:rsid w:val="00590731"/>
    <w:rsid w:val="00590854"/>
    <w:rsid w:val="00591A04"/>
    <w:rsid w:val="00592690"/>
    <w:rsid w:val="00594E58"/>
    <w:rsid w:val="0059566F"/>
    <w:rsid w:val="005A069D"/>
    <w:rsid w:val="005A086F"/>
    <w:rsid w:val="005A33B8"/>
    <w:rsid w:val="005A44B2"/>
    <w:rsid w:val="005A578E"/>
    <w:rsid w:val="005A5814"/>
    <w:rsid w:val="005A67B3"/>
    <w:rsid w:val="005A6D2D"/>
    <w:rsid w:val="005A7731"/>
    <w:rsid w:val="005A78D0"/>
    <w:rsid w:val="005A78EF"/>
    <w:rsid w:val="005B021B"/>
    <w:rsid w:val="005B1E2B"/>
    <w:rsid w:val="005B254A"/>
    <w:rsid w:val="005B27E8"/>
    <w:rsid w:val="005B418B"/>
    <w:rsid w:val="005B4242"/>
    <w:rsid w:val="005B5770"/>
    <w:rsid w:val="005B7084"/>
    <w:rsid w:val="005B7939"/>
    <w:rsid w:val="005C28FB"/>
    <w:rsid w:val="005C3AF1"/>
    <w:rsid w:val="005C4E28"/>
    <w:rsid w:val="005C5842"/>
    <w:rsid w:val="005C6338"/>
    <w:rsid w:val="005C64B3"/>
    <w:rsid w:val="005C7529"/>
    <w:rsid w:val="005D40DA"/>
    <w:rsid w:val="005D4577"/>
    <w:rsid w:val="005D7CDA"/>
    <w:rsid w:val="005E0268"/>
    <w:rsid w:val="005E15EE"/>
    <w:rsid w:val="005E69AF"/>
    <w:rsid w:val="005E7908"/>
    <w:rsid w:val="005F0AAA"/>
    <w:rsid w:val="005F0D6C"/>
    <w:rsid w:val="005F2CFE"/>
    <w:rsid w:val="005F2DBD"/>
    <w:rsid w:val="005F3F5F"/>
    <w:rsid w:val="005F473B"/>
    <w:rsid w:val="005F47D1"/>
    <w:rsid w:val="005F4BCF"/>
    <w:rsid w:val="005F4F8B"/>
    <w:rsid w:val="005F523E"/>
    <w:rsid w:val="005F5436"/>
    <w:rsid w:val="005F5712"/>
    <w:rsid w:val="005F577D"/>
    <w:rsid w:val="005F61D8"/>
    <w:rsid w:val="005F7B2F"/>
    <w:rsid w:val="005F7CB3"/>
    <w:rsid w:val="006000AD"/>
    <w:rsid w:val="00600F9C"/>
    <w:rsid w:val="00602E1B"/>
    <w:rsid w:val="00603587"/>
    <w:rsid w:val="00605EEB"/>
    <w:rsid w:val="00606059"/>
    <w:rsid w:val="00607A67"/>
    <w:rsid w:val="00611824"/>
    <w:rsid w:val="00611925"/>
    <w:rsid w:val="00612CDF"/>
    <w:rsid w:val="00613160"/>
    <w:rsid w:val="006133CE"/>
    <w:rsid w:val="00614ED5"/>
    <w:rsid w:val="00615F12"/>
    <w:rsid w:val="0061675D"/>
    <w:rsid w:val="00617744"/>
    <w:rsid w:val="006177DB"/>
    <w:rsid w:val="00620F61"/>
    <w:rsid w:val="00621051"/>
    <w:rsid w:val="00621941"/>
    <w:rsid w:val="00624F33"/>
    <w:rsid w:val="00625CFA"/>
    <w:rsid w:val="006267E1"/>
    <w:rsid w:val="00631946"/>
    <w:rsid w:val="00632E38"/>
    <w:rsid w:val="006336DC"/>
    <w:rsid w:val="006342DC"/>
    <w:rsid w:val="00636F4D"/>
    <w:rsid w:val="00642482"/>
    <w:rsid w:val="00643793"/>
    <w:rsid w:val="00643AE5"/>
    <w:rsid w:val="006440CA"/>
    <w:rsid w:val="006456E6"/>
    <w:rsid w:val="0064573B"/>
    <w:rsid w:val="0064749B"/>
    <w:rsid w:val="006500F8"/>
    <w:rsid w:val="00650ACE"/>
    <w:rsid w:val="00654C02"/>
    <w:rsid w:val="00655693"/>
    <w:rsid w:val="00655D26"/>
    <w:rsid w:val="0066156F"/>
    <w:rsid w:val="00661C14"/>
    <w:rsid w:val="0066447D"/>
    <w:rsid w:val="006653CE"/>
    <w:rsid w:val="00665AAB"/>
    <w:rsid w:val="00665C0B"/>
    <w:rsid w:val="00666891"/>
    <w:rsid w:val="00671BCD"/>
    <w:rsid w:val="00671E94"/>
    <w:rsid w:val="0067674A"/>
    <w:rsid w:val="0067772F"/>
    <w:rsid w:val="00677F13"/>
    <w:rsid w:val="006804D0"/>
    <w:rsid w:val="00683084"/>
    <w:rsid w:val="00683F0E"/>
    <w:rsid w:val="00684BBA"/>
    <w:rsid w:val="00687503"/>
    <w:rsid w:val="00692696"/>
    <w:rsid w:val="00692F5E"/>
    <w:rsid w:val="006932DB"/>
    <w:rsid w:val="00694068"/>
    <w:rsid w:val="00697524"/>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C02"/>
    <w:rsid w:val="006C2907"/>
    <w:rsid w:val="006C2BD2"/>
    <w:rsid w:val="006C2D83"/>
    <w:rsid w:val="006C4FFC"/>
    <w:rsid w:val="006C7379"/>
    <w:rsid w:val="006D15C1"/>
    <w:rsid w:val="006D3C5A"/>
    <w:rsid w:val="006D411B"/>
    <w:rsid w:val="006D6382"/>
    <w:rsid w:val="006D6C69"/>
    <w:rsid w:val="006D73AF"/>
    <w:rsid w:val="006D78A3"/>
    <w:rsid w:val="006D7956"/>
    <w:rsid w:val="006D7D68"/>
    <w:rsid w:val="006D7F85"/>
    <w:rsid w:val="006E0332"/>
    <w:rsid w:val="006E0900"/>
    <w:rsid w:val="006E0BC9"/>
    <w:rsid w:val="006E27EE"/>
    <w:rsid w:val="006E3044"/>
    <w:rsid w:val="006E338B"/>
    <w:rsid w:val="006E3F5B"/>
    <w:rsid w:val="006E4EA4"/>
    <w:rsid w:val="006E5AAD"/>
    <w:rsid w:val="006E6A9A"/>
    <w:rsid w:val="006E703D"/>
    <w:rsid w:val="006E7EEC"/>
    <w:rsid w:val="006F088E"/>
    <w:rsid w:val="006F3B81"/>
    <w:rsid w:val="006F5086"/>
    <w:rsid w:val="006F611F"/>
    <w:rsid w:val="007013FE"/>
    <w:rsid w:val="007014AB"/>
    <w:rsid w:val="00705F9D"/>
    <w:rsid w:val="007065C8"/>
    <w:rsid w:val="00706611"/>
    <w:rsid w:val="00706749"/>
    <w:rsid w:val="0070793C"/>
    <w:rsid w:val="00714CDD"/>
    <w:rsid w:val="00714FC0"/>
    <w:rsid w:val="00716309"/>
    <w:rsid w:val="00717691"/>
    <w:rsid w:val="00720220"/>
    <w:rsid w:val="00722E56"/>
    <w:rsid w:val="0072541F"/>
    <w:rsid w:val="007267A7"/>
    <w:rsid w:val="007335A4"/>
    <w:rsid w:val="0073453A"/>
    <w:rsid w:val="007371EF"/>
    <w:rsid w:val="00737AB6"/>
    <w:rsid w:val="00737C70"/>
    <w:rsid w:val="00740D7B"/>
    <w:rsid w:val="007428E0"/>
    <w:rsid w:val="00742CAD"/>
    <w:rsid w:val="007434AD"/>
    <w:rsid w:val="00744363"/>
    <w:rsid w:val="0074757B"/>
    <w:rsid w:val="007503D9"/>
    <w:rsid w:val="00750CA8"/>
    <w:rsid w:val="007510FB"/>
    <w:rsid w:val="007522C2"/>
    <w:rsid w:val="00753303"/>
    <w:rsid w:val="00757D2C"/>
    <w:rsid w:val="0076178A"/>
    <w:rsid w:val="007635DC"/>
    <w:rsid w:val="00763FBF"/>
    <w:rsid w:val="007710A4"/>
    <w:rsid w:val="007735DD"/>
    <w:rsid w:val="00773FB8"/>
    <w:rsid w:val="0077618F"/>
    <w:rsid w:val="007769C2"/>
    <w:rsid w:val="0077755F"/>
    <w:rsid w:val="00777729"/>
    <w:rsid w:val="007810C7"/>
    <w:rsid w:val="00781971"/>
    <w:rsid w:val="00782A7F"/>
    <w:rsid w:val="00783C94"/>
    <w:rsid w:val="007862C2"/>
    <w:rsid w:val="00791505"/>
    <w:rsid w:val="00791A1B"/>
    <w:rsid w:val="0079277B"/>
    <w:rsid w:val="00792826"/>
    <w:rsid w:val="007944C5"/>
    <w:rsid w:val="00796AC5"/>
    <w:rsid w:val="0079749C"/>
    <w:rsid w:val="007A2725"/>
    <w:rsid w:val="007A4A43"/>
    <w:rsid w:val="007A5222"/>
    <w:rsid w:val="007A717D"/>
    <w:rsid w:val="007B11AE"/>
    <w:rsid w:val="007B24A2"/>
    <w:rsid w:val="007B2908"/>
    <w:rsid w:val="007B29E0"/>
    <w:rsid w:val="007B4145"/>
    <w:rsid w:val="007B42A8"/>
    <w:rsid w:val="007B6167"/>
    <w:rsid w:val="007B7756"/>
    <w:rsid w:val="007C0BB0"/>
    <w:rsid w:val="007C2053"/>
    <w:rsid w:val="007C46A7"/>
    <w:rsid w:val="007C5272"/>
    <w:rsid w:val="007C7D20"/>
    <w:rsid w:val="007D0F7D"/>
    <w:rsid w:val="007D200F"/>
    <w:rsid w:val="007D2209"/>
    <w:rsid w:val="007D2C5E"/>
    <w:rsid w:val="007D2DFB"/>
    <w:rsid w:val="007D3339"/>
    <w:rsid w:val="007D3732"/>
    <w:rsid w:val="007D3BD7"/>
    <w:rsid w:val="007D3F5B"/>
    <w:rsid w:val="007D48A6"/>
    <w:rsid w:val="007E47D8"/>
    <w:rsid w:val="007E6248"/>
    <w:rsid w:val="007E7EB8"/>
    <w:rsid w:val="007E7FBA"/>
    <w:rsid w:val="007F2477"/>
    <w:rsid w:val="007F33B0"/>
    <w:rsid w:val="007F3D7F"/>
    <w:rsid w:val="007F65C6"/>
    <w:rsid w:val="007F6BFD"/>
    <w:rsid w:val="00800095"/>
    <w:rsid w:val="00800551"/>
    <w:rsid w:val="00801057"/>
    <w:rsid w:val="00801AA4"/>
    <w:rsid w:val="00802670"/>
    <w:rsid w:val="008027A2"/>
    <w:rsid w:val="00802A61"/>
    <w:rsid w:val="00804C20"/>
    <w:rsid w:val="00805394"/>
    <w:rsid w:val="0080630B"/>
    <w:rsid w:val="008073EA"/>
    <w:rsid w:val="00807B87"/>
    <w:rsid w:val="00810780"/>
    <w:rsid w:val="008111F9"/>
    <w:rsid w:val="0081176C"/>
    <w:rsid w:val="0081399D"/>
    <w:rsid w:val="008176F2"/>
    <w:rsid w:val="0082063D"/>
    <w:rsid w:val="00820854"/>
    <w:rsid w:val="00820ACC"/>
    <w:rsid w:val="00820C48"/>
    <w:rsid w:val="008215F6"/>
    <w:rsid w:val="0082170E"/>
    <w:rsid w:val="00821BBB"/>
    <w:rsid w:val="00825BFF"/>
    <w:rsid w:val="00825F01"/>
    <w:rsid w:val="00826743"/>
    <w:rsid w:val="008320C1"/>
    <w:rsid w:val="00832D19"/>
    <w:rsid w:val="00832DC8"/>
    <w:rsid w:val="008334E4"/>
    <w:rsid w:val="008339FD"/>
    <w:rsid w:val="008368BB"/>
    <w:rsid w:val="00842053"/>
    <w:rsid w:val="00846830"/>
    <w:rsid w:val="0085000D"/>
    <w:rsid w:val="00851AF9"/>
    <w:rsid w:val="00854255"/>
    <w:rsid w:val="00854DC7"/>
    <w:rsid w:val="0085698B"/>
    <w:rsid w:val="008569B2"/>
    <w:rsid w:val="00857774"/>
    <w:rsid w:val="00863F58"/>
    <w:rsid w:val="008660CC"/>
    <w:rsid w:val="00866D49"/>
    <w:rsid w:val="008740B3"/>
    <w:rsid w:val="008773ED"/>
    <w:rsid w:val="008811FD"/>
    <w:rsid w:val="0088165E"/>
    <w:rsid w:val="0088261F"/>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2CE7"/>
    <w:rsid w:val="008A3349"/>
    <w:rsid w:val="008A44DE"/>
    <w:rsid w:val="008A4793"/>
    <w:rsid w:val="008B0308"/>
    <w:rsid w:val="008B0543"/>
    <w:rsid w:val="008B08AD"/>
    <w:rsid w:val="008B08D6"/>
    <w:rsid w:val="008B2312"/>
    <w:rsid w:val="008B404F"/>
    <w:rsid w:val="008B45C3"/>
    <w:rsid w:val="008B7107"/>
    <w:rsid w:val="008B78AE"/>
    <w:rsid w:val="008C06F3"/>
    <w:rsid w:val="008C2332"/>
    <w:rsid w:val="008C3282"/>
    <w:rsid w:val="008C32CC"/>
    <w:rsid w:val="008C4BB7"/>
    <w:rsid w:val="008D0BBC"/>
    <w:rsid w:val="008D14CC"/>
    <w:rsid w:val="008D46EB"/>
    <w:rsid w:val="008D5786"/>
    <w:rsid w:val="008D62C5"/>
    <w:rsid w:val="008D62E5"/>
    <w:rsid w:val="008D664F"/>
    <w:rsid w:val="008D6813"/>
    <w:rsid w:val="008D6D16"/>
    <w:rsid w:val="008E2735"/>
    <w:rsid w:val="008E2F3C"/>
    <w:rsid w:val="008E367C"/>
    <w:rsid w:val="008F021A"/>
    <w:rsid w:val="008F212F"/>
    <w:rsid w:val="008F2B79"/>
    <w:rsid w:val="008F3785"/>
    <w:rsid w:val="008F6239"/>
    <w:rsid w:val="008F79FF"/>
    <w:rsid w:val="008F7DC9"/>
    <w:rsid w:val="00900210"/>
    <w:rsid w:val="00901201"/>
    <w:rsid w:val="009031B6"/>
    <w:rsid w:val="00904110"/>
    <w:rsid w:val="0090495B"/>
    <w:rsid w:val="00904BED"/>
    <w:rsid w:val="00905A5A"/>
    <w:rsid w:val="009068D0"/>
    <w:rsid w:val="00911B06"/>
    <w:rsid w:val="009125F8"/>
    <w:rsid w:val="00912FBD"/>
    <w:rsid w:val="009143FF"/>
    <w:rsid w:val="00914682"/>
    <w:rsid w:val="00916323"/>
    <w:rsid w:val="00921CED"/>
    <w:rsid w:val="00921F8B"/>
    <w:rsid w:val="0092291C"/>
    <w:rsid w:val="00922EFF"/>
    <w:rsid w:val="00925A4F"/>
    <w:rsid w:val="00926F36"/>
    <w:rsid w:val="0092719F"/>
    <w:rsid w:val="00930A00"/>
    <w:rsid w:val="009311CB"/>
    <w:rsid w:val="00931430"/>
    <w:rsid w:val="009330DF"/>
    <w:rsid w:val="00933314"/>
    <w:rsid w:val="00936E05"/>
    <w:rsid w:val="00940C29"/>
    <w:rsid w:val="00940DE7"/>
    <w:rsid w:val="00941126"/>
    <w:rsid w:val="0094172C"/>
    <w:rsid w:val="00942063"/>
    <w:rsid w:val="00942374"/>
    <w:rsid w:val="009470AD"/>
    <w:rsid w:val="009513FE"/>
    <w:rsid w:val="00952B21"/>
    <w:rsid w:val="00956B0F"/>
    <w:rsid w:val="00963315"/>
    <w:rsid w:val="00965386"/>
    <w:rsid w:val="00965E8C"/>
    <w:rsid w:val="00972FA7"/>
    <w:rsid w:val="00974392"/>
    <w:rsid w:val="0097440D"/>
    <w:rsid w:val="009778A3"/>
    <w:rsid w:val="00980A3B"/>
    <w:rsid w:val="00981709"/>
    <w:rsid w:val="00981E1C"/>
    <w:rsid w:val="0098291B"/>
    <w:rsid w:val="0098532D"/>
    <w:rsid w:val="009922F0"/>
    <w:rsid w:val="00992A2F"/>
    <w:rsid w:val="00992CCF"/>
    <w:rsid w:val="0099318C"/>
    <w:rsid w:val="00993B7A"/>
    <w:rsid w:val="00993E1F"/>
    <w:rsid w:val="00994C6A"/>
    <w:rsid w:val="00995159"/>
    <w:rsid w:val="00995487"/>
    <w:rsid w:val="00996C43"/>
    <w:rsid w:val="00997FBD"/>
    <w:rsid w:val="009A043C"/>
    <w:rsid w:val="009A3CC7"/>
    <w:rsid w:val="009A42BD"/>
    <w:rsid w:val="009A4337"/>
    <w:rsid w:val="009A44BE"/>
    <w:rsid w:val="009A46BD"/>
    <w:rsid w:val="009A610F"/>
    <w:rsid w:val="009A6584"/>
    <w:rsid w:val="009A6F8A"/>
    <w:rsid w:val="009A722E"/>
    <w:rsid w:val="009A764C"/>
    <w:rsid w:val="009A787F"/>
    <w:rsid w:val="009A7E87"/>
    <w:rsid w:val="009B082F"/>
    <w:rsid w:val="009B0D22"/>
    <w:rsid w:val="009B0F5C"/>
    <w:rsid w:val="009B25E1"/>
    <w:rsid w:val="009B2ECE"/>
    <w:rsid w:val="009B50CF"/>
    <w:rsid w:val="009B5394"/>
    <w:rsid w:val="009B6EC9"/>
    <w:rsid w:val="009C36A1"/>
    <w:rsid w:val="009C38BC"/>
    <w:rsid w:val="009C5F4B"/>
    <w:rsid w:val="009C67D2"/>
    <w:rsid w:val="009C7C40"/>
    <w:rsid w:val="009D0502"/>
    <w:rsid w:val="009D1D8F"/>
    <w:rsid w:val="009D25ED"/>
    <w:rsid w:val="009D3667"/>
    <w:rsid w:val="009E29F8"/>
    <w:rsid w:val="009E34A2"/>
    <w:rsid w:val="009E3EF4"/>
    <w:rsid w:val="009E7260"/>
    <w:rsid w:val="009E7BF2"/>
    <w:rsid w:val="009F0693"/>
    <w:rsid w:val="009F0A39"/>
    <w:rsid w:val="009F0B68"/>
    <w:rsid w:val="009F34BA"/>
    <w:rsid w:val="009F34BE"/>
    <w:rsid w:val="009F438C"/>
    <w:rsid w:val="009F498B"/>
    <w:rsid w:val="009F786C"/>
    <w:rsid w:val="009F7C5D"/>
    <w:rsid w:val="00A0231B"/>
    <w:rsid w:val="00A052A7"/>
    <w:rsid w:val="00A0583A"/>
    <w:rsid w:val="00A06611"/>
    <w:rsid w:val="00A06785"/>
    <w:rsid w:val="00A07FE3"/>
    <w:rsid w:val="00A15615"/>
    <w:rsid w:val="00A16939"/>
    <w:rsid w:val="00A21E12"/>
    <w:rsid w:val="00A22C15"/>
    <w:rsid w:val="00A22F3B"/>
    <w:rsid w:val="00A23F88"/>
    <w:rsid w:val="00A24D9C"/>
    <w:rsid w:val="00A2735B"/>
    <w:rsid w:val="00A27C13"/>
    <w:rsid w:val="00A27EC8"/>
    <w:rsid w:val="00A31558"/>
    <w:rsid w:val="00A31E2E"/>
    <w:rsid w:val="00A31ECC"/>
    <w:rsid w:val="00A33B63"/>
    <w:rsid w:val="00A357F6"/>
    <w:rsid w:val="00A40460"/>
    <w:rsid w:val="00A40523"/>
    <w:rsid w:val="00A42B18"/>
    <w:rsid w:val="00A442BC"/>
    <w:rsid w:val="00A471EB"/>
    <w:rsid w:val="00A47F15"/>
    <w:rsid w:val="00A51DEC"/>
    <w:rsid w:val="00A53BB9"/>
    <w:rsid w:val="00A56118"/>
    <w:rsid w:val="00A56785"/>
    <w:rsid w:val="00A57AB8"/>
    <w:rsid w:val="00A57E16"/>
    <w:rsid w:val="00A609A9"/>
    <w:rsid w:val="00A60E7D"/>
    <w:rsid w:val="00A63803"/>
    <w:rsid w:val="00A6389C"/>
    <w:rsid w:val="00A645F2"/>
    <w:rsid w:val="00A65492"/>
    <w:rsid w:val="00A65899"/>
    <w:rsid w:val="00A6708D"/>
    <w:rsid w:val="00A71875"/>
    <w:rsid w:val="00A72042"/>
    <w:rsid w:val="00A753FB"/>
    <w:rsid w:val="00A758B1"/>
    <w:rsid w:val="00A77857"/>
    <w:rsid w:val="00A77F74"/>
    <w:rsid w:val="00A80AF4"/>
    <w:rsid w:val="00A80F12"/>
    <w:rsid w:val="00A80F4D"/>
    <w:rsid w:val="00A8388D"/>
    <w:rsid w:val="00A853C4"/>
    <w:rsid w:val="00A85D78"/>
    <w:rsid w:val="00A86005"/>
    <w:rsid w:val="00A8684F"/>
    <w:rsid w:val="00A92F74"/>
    <w:rsid w:val="00A93F63"/>
    <w:rsid w:val="00A94090"/>
    <w:rsid w:val="00A9596B"/>
    <w:rsid w:val="00A96C51"/>
    <w:rsid w:val="00A970AA"/>
    <w:rsid w:val="00AA4050"/>
    <w:rsid w:val="00AA4D17"/>
    <w:rsid w:val="00AA5223"/>
    <w:rsid w:val="00AA55D1"/>
    <w:rsid w:val="00AA6B05"/>
    <w:rsid w:val="00AB2F9F"/>
    <w:rsid w:val="00AB3863"/>
    <w:rsid w:val="00AB4968"/>
    <w:rsid w:val="00AB4B92"/>
    <w:rsid w:val="00AB5528"/>
    <w:rsid w:val="00AB6253"/>
    <w:rsid w:val="00AB6F3B"/>
    <w:rsid w:val="00AC3726"/>
    <w:rsid w:val="00AC428F"/>
    <w:rsid w:val="00AC4462"/>
    <w:rsid w:val="00AC4799"/>
    <w:rsid w:val="00AC4A5F"/>
    <w:rsid w:val="00AC5854"/>
    <w:rsid w:val="00AC7E10"/>
    <w:rsid w:val="00AD26E1"/>
    <w:rsid w:val="00AD3273"/>
    <w:rsid w:val="00AD3F7A"/>
    <w:rsid w:val="00AD449E"/>
    <w:rsid w:val="00AD6FAD"/>
    <w:rsid w:val="00AD7D68"/>
    <w:rsid w:val="00AE01ED"/>
    <w:rsid w:val="00AE09E9"/>
    <w:rsid w:val="00AE295C"/>
    <w:rsid w:val="00AE29CF"/>
    <w:rsid w:val="00AE39B3"/>
    <w:rsid w:val="00AE3B4F"/>
    <w:rsid w:val="00AE5504"/>
    <w:rsid w:val="00AF052B"/>
    <w:rsid w:val="00AF17A3"/>
    <w:rsid w:val="00AF2B3C"/>
    <w:rsid w:val="00AF3256"/>
    <w:rsid w:val="00B00EE9"/>
    <w:rsid w:val="00B01DC7"/>
    <w:rsid w:val="00B0336C"/>
    <w:rsid w:val="00B04D0A"/>
    <w:rsid w:val="00B0577E"/>
    <w:rsid w:val="00B05CDF"/>
    <w:rsid w:val="00B06696"/>
    <w:rsid w:val="00B1071A"/>
    <w:rsid w:val="00B11EA4"/>
    <w:rsid w:val="00B13559"/>
    <w:rsid w:val="00B14972"/>
    <w:rsid w:val="00B15B60"/>
    <w:rsid w:val="00B163F5"/>
    <w:rsid w:val="00B17B79"/>
    <w:rsid w:val="00B20C11"/>
    <w:rsid w:val="00B22141"/>
    <w:rsid w:val="00B22523"/>
    <w:rsid w:val="00B26A0F"/>
    <w:rsid w:val="00B307DE"/>
    <w:rsid w:val="00B30BC6"/>
    <w:rsid w:val="00B325AB"/>
    <w:rsid w:val="00B34605"/>
    <w:rsid w:val="00B376B1"/>
    <w:rsid w:val="00B377FF"/>
    <w:rsid w:val="00B40F2F"/>
    <w:rsid w:val="00B40F45"/>
    <w:rsid w:val="00B470E2"/>
    <w:rsid w:val="00B47EF3"/>
    <w:rsid w:val="00B509DC"/>
    <w:rsid w:val="00B51139"/>
    <w:rsid w:val="00B5152C"/>
    <w:rsid w:val="00B52678"/>
    <w:rsid w:val="00B562C2"/>
    <w:rsid w:val="00B57000"/>
    <w:rsid w:val="00B618F9"/>
    <w:rsid w:val="00B625B8"/>
    <w:rsid w:val="00B64115"/>
    <w:rsid w:val="00B6506D"/>
    <w:rsid w:val="00B65D25"/>
    <w:rsid w:val="00B667D4"/>
    <w:rsid w:val="00B708C9"/>
    <w:rsid w:val="00B710EC"/>
    <w:rsid w:val="00B7216B"/>
    <w:rsid w:val="00B76573"/>
    <w:rsid w:val="00B77462"/>
    <w:rsid w:val="00B778ED"/>
    <w:rsid w:val="00B812BA"/>
    <w:rsid w:val="00B83099"/>
    <w:rsid w:val="00B85EF4"/>
    <w:rsid w:val="00B8615C"/>
    <w:rsid w:val="00B86ACD"/>
    <w:rsid w:val="00B86CD9"/>
    <w:rsid w:val="00B872FB"/>
    <w:rsid w:val="00B87A3D"/>
    <w:rsid w:val="00B90110"/>
    <w:rsid w:val="00B91D99"/>
    <w:rsid w:val="00B92549"/>
    <w:rsid w:val="00B92AED"/>
    <w:rsid w:val="00B936AB"/>
    <w:rsid w:val="00B95C6B"/>
    <w:rsid w:val="00B975A0"/>
    <w:rsid w:val="00B9765C"/>
    <w:rsid w:val="00BA633F"/>
    <w:rsid w:val="00BB03A8"/>
    <w:rsid w:val="00BB06F7"/>
    <w:rsid w:val="00BB21FE"/>
    <w:rsid w:val="00BB2B57"/>
    <w:rsid w:val="00BB52EA"/>
    <w:rsid w:val="00BB622B"/>
    <w:rsid w:val="00BB7046"/>
    <w:rsid w:val="00BB7707"/>
    <w:rsid w:val="00BC0749"/>
    <w:rsid w:val="00BC2C13"/>
    <w:rsid w:val="00BC4225"/>
    <w:rsid w:val="00BC4A71"/>
    <w:rsid w:val="00BC4D62"/>
    <w:rsid w:val="00BC5756"/>
    <w:rsid w:val="00BC6C0F"/>
    <w:rsid w:val="00BC7BBB"/>
    <w:rsid w:val="00BD00EF"/>
    <w:rsid w:val="00BD0FDD"/>
    <w:rsid w:val="00BD1285"/>
    <w:rsid w:val="00BD23C3"/>
    <w:rsid w:val="00BD2E2E"/>
    <w:rsid w:val="00BD2E4D"/>
    <w:rsid w:val="00BD3D41"/>
    <w:rsid w:val="00BD5FE3"/>
    <w:rsid w:val="00BD692C"/>
    <w:rsid w:val="00BD7B8E"/>
    <w:rsid w:val="00BE08CA"/>
    <w:rsid w:val="00BE1D4B"/>
    <w:rsid w:val="00BE21AF"/>
    <w:rsid w:val="00BE3553"/>
    <w:rsid w:val="00BE5118"/>
    <w:rsid w:val="00BE52EC"/>
    <w:rsid w:val="00BE5D5A"/>
    <w:rsid w:val="00BE6F09"/>
    <w:rsid w:val="00BF240F"/>
    <w:rsid w:val="00BF250F"/>
    <w:rsid w:val="00BF409D"/>
    <w:rsid w:val="00BF582A"/>
    <w:rsid w:val="00BF5C9A"/>
    <w:rsid w:val="00BF6E4E"/>
    <w:rsid w:val="00C00E8B"/>
    <w:rsid w:val="00C03085"/>
    <w:rsid w:val="00C043CD"/>
    <w:rsid w:val="00C04C58"/>
    <w:rsid w:val="00C05504"/>
    <w:rsid w:val="00C07379"/>
    <w:rsid w:val="00C100C7"/>
    <w:rsid w:val="00C10749"/>
    <w:rsid w:val="00C10967"/>
    <w:rsid w:val="00C1164B"/>
    <w:rsid w:val="00C11B89"/>
    <w:rsid w:val="00C17445"/>
    <w:rsid w:val="00C2093B"/>
    <w:rsid w:val="00C22CAE"/>
    <w:rsid w:val="00C238F6"/>
    <w:rsid w:val="00C23E5F"/>
    <w:rsid w:val="00C24801"/>
    <w:rsid w:val="00C25CA1"/>
    <w:rsid w:val="00C2709B"/>
    <w:rsid w:val="00C27612"/>
    <w:rsid w:val="00C3068B"/>
    <w:rsid w:val="00C30B8F"/>
    <w:rsid w:val="00C328E1"/>
    <w:rsid w:val="00C36105"/>
    <w:rsid w:val="00C4051B"/>
    <w:rsid w:val="00C43119"/>
    <w:rsid w:val="00C47EFC"/>
    <w:rsid w:val="00C51990"/>
    <w:rsid w:val="00C52550"/>
    <w:rsid w:val="00C54688"/>
    <w:rsid w:val="00C54E30"/>
    <w:rsid w:val="00C5575E"/>
    <w:rsid w:val="00C563A5"/>
    <w:rsid w:val="00C5643F"/>
    <w:rsid w:val="00C57E67"/>
    <w:rsid w:val="00C60221"/>
    <w:rsid w:val="00C60EEB"/>
    <w:rsid w:val="00C63E99"/>
    <w:rsid w:val="00C656C5"/>
    <w:rsid w:val="00C66E36"/>
    <w:rsid w:val="00C70DE4"/>
    <w:rsid w:val="00C7263D"/>
    <w:rsid w:val="00C74612"/>
    <w:rsid w:val="00C76FF4"/>
    <w:rsid w:val="00C7762E"/>
    <w:rsid w:val="00C777F8"/>
    <w:rsid w:val="00C80687"/>
    <w:rsid w:val="00C810A2"/>
    <w:rsid w:val="00C814B3"/>
    <w:rsid w:val="00C81A0E"/>
    <w:rsid w:val="00C81EE1"/>
    <w:rsid w:val="00C82DAF"/>
    <w:rsid w:val="00C83701"/>
    <w:rsid w:val="00C84CA2"/>
    <w:rsid w:val="00C857B9"/>
    <w:rsid w:val="00C8727E"/>
    <w:rsid w:val="00C900F6"/>
    <w:rsid w:val="00C9254B"/>
    <w:rsid w:val="00C925B9"/>
    <w:rsid w:val="00C92FB8"/>
    <w:rsid w:val="00C930FD"/>
    <w:rsid w:val="00C931ED"/>
    <w:rsid w:val="00C9395B"/>
    <w:rsid w:val="00C942C7"/>
    <w:rsid w:val="00C94A88"/>
    <w:rsid w:val="00C96CFE"/>
    <w:rsid w:val="00C971B7"/>
    <w:rsid w:val="00CA0D9F"/>
    <w:rsid w:val="00CA115F"/>
    <w:rsid w:val="00CA2250"/>
    <w:rsid w:val="00CA5CE1"/>
    <w:rsid w:val="00CA6002"/>
    <w:rsid w:val="00CA656D"/>
    <w:rsid w:val="00CA765F"/>
    <w:rsid w:val="00CA781E"/>
    <w:rsid w:val="00CB0F10"/>
    <w:rsid w:val="00CB2CDC"/>
    <w:rsid w:val="00CB37C7"/>
    <w:rsid w:val="00CB3A51"/>
    <w:rsid w:val="00CB3B0E"/>
    <w:rsid w:val="00CB5082"/>
    <w:rsid w:val="00CB5745"/>
    <w:rsid w:val="00CB7F83"/>
    <w:rsid w:val="00CC0245"/>
    <w:rsid w:val="00CC04D8"/>
    <w:rsid w:val="00CC0C55"/>
    <w:rsid w:val="00CC0EBB"/>
    <w:rsid w:val="00CC2181"/>
    <w:rsid w:val="00CC2338"/>
    <w:rsid w:val="00CC4950"/>
    <w:rsid w:val="00CC4F9B"/>
    <w:rsid w:val="00CC5BC4"/>
    <w:rsid w:val="00CD2472"/>
    <w:rsid w:val="00CD2574"/>
    <w:rsid w:val="00CD28B4"/>
    <w:rsid w:val="00CD37DD"/>
    <w:rsid w:val="00CD47A8"/>
    <w:rsid w:val="00CD4830"/>
    <w:rsid w:val="00CD6842"/>
    <w:rsid w:val="00CE1296"/>
    <w:rsid w:val="00CE24BE"/>
    <w:rsid w:val="00CE25F4"/>
    <w:rsid w:val="00CE271D"/>
    <w:rsid w:val="00CE3C93"/>
    <w:rsid w:val="00CE3E36"/>
    <w:rsid w:val="00CE4600"/>
    <w:rsid w:val="00CE4FBF"/>
    <w:rsid w:val="00CE6B19"/>
    <w:rsid w:val="00CE6CC9"/>
    <w:rsid w:val="00CF198D"/>
    <w:rsid w:val="00CF4029"/>
    <w:rsid w:val="00CF5025"/>
    <w:rsid w:val="00CF5967"/>
    <w:rsid w:val="00D01FC0"/>
    <w:rsid w:val="00D02279"/>
    <w:rsid w:val="00D03FF9"/>
    <w:rsid w:val="00D046BF"/>
    <w:rsid w:val="00D04D02"/>
    <w:rsid w:val="00D06CC4"/>
    <w:rsid w:val="00D104B5"/>
    <w:rsid w:val="00D10780"/>
    <w:rsid w:val="00D10EFE"/>
    <w:rsid w:val="00D116D8"/>
    <w:rsid w:val="00D12423"/>
    <w:rsid w:val="00D12B0A"/>
    <w:rsid w:val="00D1416E"/>
    <w:rsid w:val="00D16D31"/>
    <w:rsid w:val="00D22E40"/>
    <w:rsid w:val="00D2323A"/>
    <w:rsid w:val="00D23CC2"/>
    <w:rsid w:val="00D24A52"/>
    <w:rsid w:val="00D264ED"/>
    <w:rsid w:val="00D27556"/>
    <w:rsid w:val="00D322F3"/>
    <w:rsid w:val="00D326E0"/>
    <w:rsid w:val="00D33193"/>
    <w:rsid w:val="00D35638"/>
    <w:rsid w:val="00D37C64"/>
    <w:rsid w:val="00D40454"/>
    <w:rsid w:val="00D41249"/>
    <w:rsid w:val="00D42B2C"/>
    <w:rsid w:val="00D45E6E"/>
    <w:rsid w:val="00D50B2E"/>
    <w:rsid w:val="00D513C4"/>
    <w:rsid w:val="00D516F8"/>
    <w:rsid w:val="00D52085"/>
    <w:rsid w:val="00D52FCB"/>
    <w:rsid w:val="00D552B6"/>
    <w:rsid w:val="00D55508"/>
    <w:rsid w:val="00D56EA8"/>
    <w:rsid w:val="00D60374"/>
    <w:rsid w:val="00D60698"/>
    <w:rsid w:val="00D6255B"/>
    <w:rsid w:val="00D63E37"/>
    <w:rsid w:val="00D65C9F"/>
    <w:rsid w:val="00D663F3"/>
    <w:rsid w:val="00D67727"/>
    <w:rsid w:val="00D713F1"/>
    <w:rsid w:val="00D719EC"/>
    <w:rsid w:val="00D71CCE"/>
    <w:rsid w:val="00D7220B"/>
    <w:rsid w:val="00D75AA4"/>
    <w:rsid w:val="00D765E9"/>
    <w:rsid w:val="00D76E1B"/>
    <w:rsid w:val="00D80161"/>
    <w:rsid w:val="00D822F0"/>
    <w:rsid w:val="00D85829"/>
    <w:rsid w:val="00D86228"/>
    <w:rsid w:val="00D87CDC"/>
    <w:rsid w:val="00D907BC"/>
    <w:rsid w:val="00D91A1D"/>
    <w:rsid w:val="00D94154"/>
    <w:rsid w:val="00D944BE"/>
    <w:rsid w:val="00D9489E"/>
    <w:rsid w:val="00D96C0E"/>
    <w:rsid w:val="00D96DA8"/>
    <w:rsid w:val="00DA33B4"/>
    <w:rsid w:val="00DA3BED"/>
    <w:rsid w:val="00DA40A5"/>
    <w:rsid w:val="00DA4116"/>
    <w:rsid w:val="00DA4B61"/>
    <w:rsid w:val="00DA54AB"/>
    <w:rsid w:val="00DA6B62"/>
    <w:rsid w:val="00DA7F9F"/>
    <w:rsid w:val="00DB0EF2"/>
    <w:rsid w:val="00DB5F01"/>
    <w:rsid w:val="00DC060A"/>
    <w:rsid w:val="00DC276C"/>
    <w:rsid w:val="00DC377C"/>
    <w:rsid w:val="00DC4418"/>
    <w:rsid w:val="00DC519F"/>
    <w:rsid w:val="00DC5938"/>
    <w:rsid w:val="00DC5F3D"/>
    <w:rsid w:val="00DC66A0"/>
    <w:rsid w:val="00DC7CCE"/>
    <w:rsid w:val="00DC7F06"/>
    <w:rsid w:val="00DD10C6"/>
    <w:rsid w:val="00DD1A08"/>
    <w:rsid w:val="00DD4972"/>
    <w:rsid w:val="00DD78E8"/>
    <w:rsid w:val="00DE25EA"/>
    <w:rsid w:val="00DE4DBD"/>
    <w:rsid w:val="00DF04FF"/>
    <w:rsid w:val="00DF24AC"/>
    <w:rsid w:val="00DF3204"/>
    <w:rsid w:val="00DF3629"/>
    <w:rsid w:val="00DF5A5E"/>
    <w:rsid w:val="00DF5B94"/>
    <w:rsid w:val="00DF7D14"/>
    <w:rsid w:val="00E000B0"/>
    <w:rsid w:val="00E002DD"/>
    <w:rsid w:val="00E019D9"/>
    <w:rsid w:val="00E02A2B"/>
    <w:rsid w:val="00E02C2E"/>
    <w:rsid w:val="00E02EA9"/>
    <w:rsid w:val="00E05AAE"/>
    <w:rsid w:val="00E05B74"/>
    <w:rsid w:val="00E07BE0"/>
    <w:rsid w:val="00E11D7B"/>
    <w:rsid w:val="00E122D6"/>
    <w:rsid w:val="00E13E5B"/>
    <w:rsid w:val="00E1615D"/>
    <w:rsid w:val="00E16F25"/>
    <w:rsid w:val="00E179E0"/>
    <w:rsid w:val="00E21704"/>
    <w:rsid w:val="00E223FE"/>
    <w:rsid w:val="00E24203"/>
    <w:rsid w:val="00E249CA"/>
    <w:rsid w:val="00E2507F"/>
    <w:rsid w:val="00E25173"/>
    <w:rsid w:val="00E2779A"/>
    <w:rsid w:val="00E27B5E"/>
    <w:rsid w:val="00E339E4"/>
    <w:rsid w:val="00E3566F"/>
    <w:rsid w:val="00E379F2"/>
    <w:rsid w:val="00E37A5A"/>
    <w:rsid w:val="00E37D31"/>
    <w:rsid w:val="00E407A9"/>
    <w:rsid w:val="00E43913"/>
    <w:rsid w:val="00E441F0"/>
    <w:rsid w:val="00E44C9E"/>
    <w:rsid w:val="00E47BFE"/>
    <w:rsid w:val="00E47DED"/>
    <w:rsid w:val="00E501EA"/>
    <w:rsid w:val="00E505C9"/>
    <w:rsid w:val="00E507BC"/>
    <w:rsid w:val="00E52157"/>
    <w:rsid w:val="00E5405B"/>
    <w:rsid w:val="00E54E38"/>
    <w:rsid w:val="00E57548"/>
    <w:rsid w:val="00E57AF4"/>
    <w:rsid w:val="00E61421"/>
    <w:rsid w:val="00E633CD"/>
    <w:rsid w:val="00E643C3"/>
    <w:rsid w:val="00E651C5"/>
    <w:rsid w:val="00E66998"/>
    <w:rsid w:val="00E702F9"/>
    <w:rsid w:val="00E718D0"/>
    <w:rsid w:val="00E72A78"/>
    <w:rsid w:val="00E730EA"/>
    <w:rsid w:val="00E73789"/>
    <w:rsid w:val="00E744D0"/>
    <w:rsid w:val="00E75E5F"/>
    <w:rsid w:val="00E771D2"/>
    <w:rsid w:val="00E77579"/>
    <w:rsid w:val="00E827F3"/>
    <w:rsid w:val="00E84ABE"/>
    <w:rsid w:val="00E856BB"/>
    <w:rsid w:val="00E8641C"/>
    <w:rsid w:val="00E87ACF"/>
    <w:rsid w:val="00E87D2E"/>
    <w:rsid w:val="00E90F76"/>
    <w:rsid w:val="00E91434"/>
    <w:rsid w:val="00E917F0"/>
    <w:rsid w:val="00E91BC1"/>
    <w:rsid w:val="00E92B0F"/>
    <w:rsid w:val="00E934DB"/>
    <w:rsid w:val="00E968E4"/>
    <w:rsid w:val="00E96FE2"/>
    <w:rsid w:val="00E97778"/>
    <w:rsid w:val="00E97849"/>
    <w:rsid w:val="00E97A97"/>
    <w:rsid w:val="00E97CF8"/>
    <w:rsid w:val="00EA0522"/>
    <w:rsid w:val="00EA1F08"/>
    <w:rsid w:val="00EA6E3F"/>
    <w:rsid w:val="00EA71B6"/>
    <w:rsid w:val="00EB13EF"/>
    <w:rsid w:val="00EB156C"/>
    <w:rsid w:val="00EB2D89"/>
    <w:rsid w:val="00EB375E"/>
    <w:rsid w:val="00EB670D"/>
    <w:rsid w:val="00EB6BF1"/>
    <w:rsid w:val="00EB7F8A"/>
    <w:rsid w:val="00EC26B6"/>
    <w:rsid w:val="00EC2D88"/>
    <w:rsid w:val="00EC6184"/>
    <w:rsid w:val="00EC777E"/>
    <w:rsid w:val="00ED316E"/>
    <w:rsid w:val="00ED5079"/>
    <w:rsid w:val="00ED52D3"/>
    <w:rsid w:val="00ED6D9E"/>
    <w:rsid w:val="00ED6E80"/>
    <w:rsid w:val="00ED7162"/>
    <w:rsid w:val="00EE1955"/>
    <w:rsid w:val="00EE1ECD"/>
    <w:rsid w:val="00EE38E4"/>
    <w:rsid w:val="00EE39FE"/>
    <w:rsid w:val="00EE3C94"/>
    <w:rsid w:val="00EE6132"/>
    <w:rsid w:val="00EE70A8"/>
    <w:rsid w:val="00EE73C4"/>
    <w:rsid w:val="00EF041C"/>
    <w:rsid w:val="00EF07E6"/>
    <w:rsid w:val="00EF12A5"/>
    <w:rsid w:val="00EF1C4F"/>
    <w:rsid w:val="00EF1D0E"/>
    <w:rsid w:val="00EF23BA"/>
    <w:rsid w:val="00EF2AB1"/>
    <w:rsid w:val="00EF2DD1"/>
    <w:rsid w:val="00EF3D25"/>
    <w:rsid w:val="00EF5372"/>
    <w:rsid w:val="00EF7BBC"/>
    <w:rsid w:val="00F001A7"/>
    <w:rsid w:val="00F00795"/>
    <w:rsid w:val="00F0145D"/>
    <w:rsid w:val="00F02212"/>
    <w:rsid w:val="00F103AB"/>
    <w:rsid w:val="00F12559"/>
    <w:rsid w:val="00F128DC"/>
    <w:rsid w:val="00F1468B"/>
    <w:rsid w:val="00F15237"/>
    <w:rsid w:val="00F16287"/>
    <w:rsid w:val="00F213F2"/>
    <w:rsid w:val="00F2226A"/>
    <w:rsid w:val="00F2284F"/>
    <w:rsid w:val="00F23386"/>
    <w:rsid w:val="00F253E5"/>
    <w:rsid w:val="00F256C5"/>
    <w:rsid w:val="00F25D2F"/>
    <w:rsid w:val="00F26898"/>
    <w:rsid w:val="00F27840"/>
    <w:rsid w:val="00F3327E"/>
    <w:rsid w:val="00F33312"/>
    <w:rsid w:val="00F33CF1"/>
    <w:rsid w:val="00F35DB9"/>
    <w:rsid w:val="00F369A1"/>
    <w:rsid w:val="00F36C36"/>
    <w:rsid w:val="00F418FD"/>
    <w:rsid w:val="00F429E1"/>
    <w:rsid w:val="00F432E9"/>
    <w:rsid w:val="00F43C64"/>
    <w:rsid w:val="00F43DBE"/>
    <w:rsid w:val="00F4422B"/>
    <w:rsid w:val="00F44FBA"/>
    <w:rsid w:val="00F45AF1"/>
    <w:rsid w:val="00F4689F"/>
    <w:rsid w:val="00F51090"/>
    <w:rsid w:val="00F52A5E"/>
    <w:rsid w:val="00F52B8E"/>
    <w:rsid w:val="00F53C2C"/>
    <w:rsid w:val="00F53DF3"/>
    <w:rsid w:val="00F55EF2"/>
    <w:rsid w:val="00F575E3"/>
    <w:rsid w:val="00F606F2"/>
    <w:rsid w:val="00F62110"/>
    <w:rsid w:val="00F62388"/>
    <w:rsid w:val="00F67BFF"/>
    <w:rsid w:val="00F67D12"/>
    <w:rsid w:val="00F7288F"/>
    <w:rsid w:val="00F75330"/>
    <w:rsid w:val="00F767BA"/>
    <w:rsid w:val="00F80AA4"/>
    <w:rsid w:val="00F815EB"/>
    <w:rsid w:val="00F8177C"/>
    <w:rsid w:val="00F8183A"/>
    <w:rsid w:val="00F83321"/>
    <w:rsid w:val="00F84769"/>
    <w:rsid w:val="00F851D0"/>
    <w:rsid w:val="00F8784A"/>
    <w:rsid w:val="00F92560"/>
    <w:rsid w:val="00F9721A"/>
    <w:rsid w:val="00FA3E59"/>
    <w:rsid w:val="00FA4DC4"/>
    <w:rsid w:val="00FA55F7"/>
    <w:rsid w:val="00FA597E"/>
    <w:rsid w:val="00FB2050"/>
    <w:rsid w:val="00FB2118"/>
    <w:rsid w:val="00FB2D03"/>
    <w:rsid w:val="00FB2E1C"/>
    <w:rsid w:val="00FB3C6E"/>
    <w:rsid w:val="00FB47B7"/>
    <w:rsid w:val="00FB59BF"/>
    <w:rsid w:val="00FB5E9D"/>
    <w:rsid w:val="00FC2656"/>
    <w:rsid w:val="00FC407C"/>
    <w:rsid w:val="00FC7E59"/>
    <w:rsid w:val="00FD0D7C"/>
    <w:rsid w:val="00FD1AD5"/>
    <w:rsid w:val="00FD40CF"/>
    <w:rsid w:val="00FD6F46"/>
    <w:rsid w:val="00FE478F"/>
    <w:rsid w:val="00FE4ECB"/>
    <w:rsid w:val="00FE4EDD"/>
    <w:rsid w:val="00FE6EFE"/>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ED6E1F"/>
  <w15:docId w15:val="{B5A6E327-176A-4607-97D5-9572C3863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78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
    <w:qFormat/>
    <w:rsid w:val="00E737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E73789"/>
    <w:pPr>
      <w:pBdr>
        <w:top w:val="none" w:sz="0" w:space="0" w:color="auto"/>
      </w:pBdr>
      <w:spacing w:before="180"/>
      <w:outlineLvl w:val="1"/>
    </w:pPr>
    <w:rPr>
      <w:sz w:val="32"/>
    </w:rPr>
  </w:style>
  <w:style w:type="paragraph" w:styleId="Heading3">
    <w:name w:val="heading 3"/>
    <w:basedOn w:val="Heading2"/>
    <w:next w:val="Normal"/>
    <w:qFormat/>
    <w:rsid w:val="00E73789"/>
    <w:pPr>
      <w:spacing w:before="120"/>
      <w:outlineLvl w:val="2"/>
    </w:pPr>
    <w:rPr>
      <w:sz w:val="28"/>
    </w:rPr>
  </w:style>
  <w:style w:type="paragraph" w:styleId="Heading4">
    <w:name w:val="heading 4"/>
    <w:basedOn w:val="Heading3"/>
    <w:next w:val="Normal"/>
    <w:qFormat/>
    <w:rsid w:val="00E73789"/>
    <w:pPr>
      <w:ind w:left="1418" w:hanging="1418"/>
      <w:outlineLvl w:val="3"/>
    </w:pPr>
    <w:rPr>
      <w:sz w:val="24"/>
    </w:rPr>
  </w:style>
  <w:style w:type="paragraph" w:styleId="Heading5">
    <w:name w:val="heading 5"/>
    <w:basedOn w:val="Heading4"/>
    <w:next w:val="Normal"/>
    <w:qFormat/>
    <w:rsid w:val="00E73789"/>
    <w:pPr>
      <w:ind w:left="1701" w:hanging="1701"/>
      <w:outlineLvl w:val="4"/>
    </w:pPr>
    <w:rPr>
      <w:sz w:val="22"/>
    </w:rPr>
  </w:style>
  <w:style w:type="paragraph" w:styleId="Heading6">
    <w:name w:val="heading 6"/>
    <w:basedOn w:val="H6"/>
    <w:next w:val="Normal"/>
    <w:qFormat/>
    <w:rsid w:val="00E73789"/>
    <w:pPr>
      <w:outlineLvl w:val="5"/>
    </w:pPr>
  </w:style>
  <w:style w:type="paragraph" w:styleId="Heading7">
    <w:name w:val="heading 7"/>
    <w:basedOn w:val="H6"/>
    <w:next w:val="Normal"/>
    <w:qFormat/>
    <w:rsid w:val="00E73789"/>
    <w:pPr>
      <w:outlineLvl w:val="6"/>
    </w:pPr>
  </w:style>
  <w:style w:type="paragraph" w:styleId="Heading8">
    <w:name w:val="heading 8"/>
    <w:basedOn w:val="Heading1"/>
    <w:next w:val="Normal"/>
    <w:qFormat/>
    <w:rsid w:val="00E73789"/>
    <w:pPr>
      <w:ind w:left="0" w:firstLine="0"/>
      <w:outlineLvl w:val="7"/>
    </w:pPr>
  </w:style>
  <w:style w:type="paragraph" w:styleId="Heading9">
    <w:name w:val="heading 9"/>
    <w:basedOn w:val="Heading8"/>
    <w:next w:val="Normal"/>
    <w:qFormat/>
    <w:rsid w:val="00E73789"/>
    <w:pPr>
      <w:outlineLvl w:val="8"/>
    </w:pPr>
  </w:style>
  <w:style w:type="character" w:default="1" w:styleId="DefaultParagraphFont">
    <w:name w:val="Default Paragraph Font"/>
    <w:semiHidden/>
    <w:rsid w:val="00E737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3789"/>
  </w:style>
  <w:style w:type="paragraph" w:styleId="TOC8">
    <w:name w:val="toc 8"/>
    <w:basedOn w:val="TOC1"/>
    <w:semiHidden/>
    <w:rsid w:val="00E73789"/>
    <w:pPr>
      <w:spacing w:before="180"/>
      <w:ind w:left="2693" w:hanging="2693"/>
    </w:pPr>
    <w:rPr>
      <w:b/>
    </w:rPr>
  </w:style>
  <w:style w:type="paragraph" w:styleId="TOC1">
    <w:name w:val="toc 1"/>
    <w:semiHidden/>
    <w:rsid w:val="00E737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37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E73789"/>
    <w:pPr>
      <w:ind w:left="1701" w:hanging="1701"/>
    </w:pPr>
  </w:style>
  <w:style w:type="paragraph" w:styleId="TOC4">
    <w:name w:val="toc 4"/>
    <w:basedOn w:val="TOC3"/>
    <w:semiHidden/>
    <w:rsid w:val="00E73789"/>
    <w:pPr>
      <w:ind w:left="1418" w:hanging="1418"/>
    </w:pPr>
  </w:style>
  <w:style w:type="paragraph" w:styleId="TOC3">
    <w:name w:val="toc 3"/>
    <w:basedOn w:val="TOC2"/>
    <w:semiHidden/>
    <w:rsid w:val="00E73789"/>
    <w:pPr>
      <w:ind w:left="1134" w:hanging="1134"/>
    </w:pPr>
  </w:style>
  <w:style w:type="paragraph" w:styleId="TOC2">
    <w:name w:val="toc 2"/>
    <w:basedOn w:val="TOC1"/>
    <w:semiHidden/>
    <w:rsid w:val="00E73789"/>
    <w:pPr>
      <w:keepNext w:val="0"/>
      <w:spacing w:before="0"/>
      <w:ind w:left="851" w:hanging="851"/>
    </w:pPr>
    <w:rPr>
      <w:sz w:val="20"/>
    </w:rPr>
  </w:style>
  <w:style w:type="paragraph" w:styleId="Index2">
    <w:name w:val="index 2"/>
    <w:basedOn w:val="Index1"/>
    <w:semiHidden/>
    <w:rsid w:val="00E73789"/>
    <w:pPr>
      <w:ind w:left="284"/>
    </w:pPr>
  </w:style>
  <w:style w:type="paragraph" w:styleId="Index1">
    <w:name w:val="index 1"/>
    <w:basedOn w:val="Normal"/>
    <w:semiHidden/>
    <w:rsid w:val="00E73789"/>
    <w:pPr>
      <w:keepLines/>
      <w:spacing w:after="0"/>
    </w:pPr>
  </w:style>
  <w:style w:type="paragraph" w:customStyle="1" w:styleId="ZH">
    <w:name w:val="ZH"/>
    <w:rsid w:val="00E737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3789"/>
    <w:pPr>
      <w:outlineLvl w:val="9"/>
    </w:pPr>
  </w:style>
  <w:style w:type="paragraph" w:styleId="ListNumber2">
    <w:name w:val="List Number 2"/>
    <w:basedOn w:val="ListNumber"/>
    <w:semiHidden/>
    <w:rsid w:val="00E7378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73789"/>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E73789"/>
    <w:rPr>
      <w:b/>
      <w:position w:val="6"/>
      <w:sz w:val="16"/>
    </w:rPr>
  </w:style>
  <w:style w:type="paragraph" w:styleId="FootnoteText">
    <w:name w:val="footnote text"/>
    <w:basedOn w:val="Normal"/>
    <w:semiHidden/>
    <w:rsid w:val="00E73789"/>
    <w:pPr>
      <w:keepLines/>
      <w:spacing w:after="0"/>
      <w:ind w:left="454" w:hanging="454"/>
    </w:pPr>
    <w:rPr>
      <w:sz w:val="16"/>
    </w:rPr>
  </w:style>
  <w:style w:type="paragraph" w:customStyle="1" w:styleId="TAH">
    <w:name w:val="TAH"/>
    <w:basedOn w:val="TAC"/>
    <w:rsid w:val="00E73789"/>
    <w:rPr>
      <w:b/>
    </w:rPr>
  </w:style>
  <w:style w:type="paragraph" w:customStyle="1" w:styleId="TAC">
    <w:name w:val="TAC"/>
    <w:basedOn w:val="TAL"/>
    <w:link w:val="TACChar"/>
    <w:rsid w:val="00E73789"/>
    <w:pPr>
      <w:jc w:val="center"/>
    </w:pPr>
  </w:style>
  <w:style w:type="paragraph" w:customStyle="1" w:styleId="TF">
    <w:name w:val="TF"/>
    <w:basedOn w:val="TH"/>
    <w:rsid w:val="00E73789"/>
    <w:pPr>
      <w:keepNext w:val="0"/>
      <w:spacing w:before="0" w:after="240"/>
    </w:pPr>
  </w:style>
  <w:style w:type="paragraph" w:customStyle="1" w:styleId="NO">
    <w:name w:val="NO"/>
    <w:basedOn w:val="Normal"/>
    <w:rsid w:val="00E73789"/>
    <w:pPr>
      <w:keepLines/>
      <w:ind w:left="1135" w:hanging="851"/>
    </w:pPr>
  </w:style>
  <w:style w:type="paragraph" w:styleId="TOC9">
    <w:name w:val="toc 9"/>
    <w:basedOn w:val="TOC8"/>
    <w:semiHidden/>
    <w:rsid w:val="00E73789"/>
    <w:pPr>
      <w:ind w:left="1418" w:hanging="1418"/>
    </w:pPr>
  </w:style>
  <w:style w:type="paragraph" w:customStyle="1" w:styleId="EX">
    <w:name w:val="EX"/>
    <w:basedOn w:val="Normal"/>
    <w:rsid w:val="00E73789"/>
    <w:pPr>
      <w:keepLines/>
      <w:ind w:left="1702" w:hanging="1418"/>
    </w:pPr>
  </w:style>
  <w:style w:type="paragraph" w:customStyle="1" w:styleId="FP">
    <w:name w:val="FP"/>
    <w:basedOn w:val="Normal"/>
    <w:rsid w:val="00E73789"/>
    <w:pPr>
      <w:spacing w:after="0"/>
    </w:pPr>
  </w:style>
  <w:style w:type="paragraph" w:customStyle="1" w:styleId="LD">
    <w:name w:val="LD"/>
    <w:rsid w:val="00E7378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3789"/>
    <w:pPr>
      <w:spacing w:after="0"/>
    </w:pPr>
  </w:style>
  <w:style w:type="paragraph" w:customStyle="1" w:styleId="EW">
    <w:name w:val="EW"/>
    <w:basedOn w:val="EX"/>
    <w:rsid w:val="00E73789"/>
    <w:pPr>
      <w:spacing w:after="0"/>
    </w:pPr>
  </w:style>
  <w:style w:type="paragraph" w:styleId="TOC6">
    <w:name w:val="toc 6"/>
    <w:basedOn w:val="TOC5"/>
    <w:next w:val="Normal"/>
    <w:semiHidden/>
    <w:rsid w:val="00E73789"/>
    <w:pPr>
      <w:ind w:left="1985" w:hanging="1985"/>
    </w:pPr>
  </w:style>
  <w:style w:type="paragraph" w:styleId="TOC7">
    <w:name w:val="toc 7"/>
    <w:basedOn w:val="TOC6"/>
    <w:next w:val="Normal"/>
    <w:semiHidden/>
    <w:rsid w:val="00E73789"/>
    <w:pPr>
      <w:ind w:left="2268" w:hanging="2268"/>
    </w:pPr>
  </w:style>
  <w:style w:type="paragraph" w:styleId="ListBullet2">
    <w:name w:val="List Bullet 2"/>
    <w:basedOn w:val="ListBullet"/>
    <w:semiHidden/>
    <w:rsid w:val="00E73789"/>
    <w:pPr>
      <w:ind w:left="851"/>
    </w:pPr>
  </w:style>
  <w:style w:type="paragraph" w:styleId="ListBullet3">
    <w:name w:val="List Bullet 3"/>
    <w:basedOn w:val="ListBullet2"/>
    <w:semiHidden/>
    <w:rsid w:val="00E73789"/>
    <w:pPr>
      <w:ind w:left="1135"/>
    </w:pPr>
  </w:style>
  <w:style w:type="paragraph" w:styleId="ListNumber">
    <w:name w:val="List Number"/>
    <w:basedOn w:val="List"/>
    <w:semiHidden/>
    <w:rsid w:val="00E73789"/>
  </w:style>
  <w:style w:type="paragraph" w:customStyle="1" w:styleId="EQ">
    <w:name w:val="EQ"/>
    <w:basedOn w:val="Normal"/>
    <w:next w:val="Normal"/>
    <w:rsid w:val="00E73789"/>
    <w:pPr>
      <w:keepLines/>
      <w:tabs>
        <w:tab w:val="center" w:pos="4536"/>
        <w:tab w:val="right" w:pos="9072"/>
      </w:tabs>
    </w:pPr>
    <w:rPr>
      <w:noProof/>
    </w:rPr>
  </w:style>
  <w:style w:type="paragraph" w:customStyle="1" w:styleId="TH">
    <w:name w:val="TH"/>
    <w:basedOn w:val="Normal"/>
    <w:rsid w:val="00E73789"/>
    <w:pPr>
      <w:keepNext/>
      <w:keepLines/>
      <w:spacing w:before="60"/>
      <w:jc w:val="center"/>
    </w:pPr>
    <w:rPr>
      <w:rFonts w:ascii="Arial" w:hAnsi="Arial"/>
      <w:b/>
    </w:rPr>
  </w:style>
  <w:style w:type="paragraph" w:customStyle="1" w:styleId="NF">
    <w:name w:val="NF"/>
    <w:basedOn w:val="NO"/>
    <w:rsid w:val="00E73789"/>
    <w:pPr>
      <w:keepNext/>
      <w:spacing w:after="0"/>
    </w:pPr>
    <w:rPr>
      <w:rFonts w:ascii="Arial" w:hAnsi="Arial"/>
      <w:sz w:val="18"/>
    </w:rPr>
  </w:style>
  <w:style w:type="paragraph" w:customStyle="1" w:styleId="PL">
    <w:name w:val="PL"/>
    <w:rsid w:val="00E737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3789"/>
    <w:pPr>
      <w:jc w:val="right"/>
    </w:pPr>
  </w:style>
  <w:style w:type="paragraph" w:customStyle="1" w:styleId="H6">
    <w:name w:val="H6"/>
    <w:basedOn w:val="Heading5"/>
    <w:next w:val="Normal"/>
    <w:rsid w:val="00E73789"/>
    <w:pPr>
      <w:ind w:left="1985" w:hanging="1985"/>
      <w:outlineLvl w:val="9"/>
    </w:pPr>
    <w:rPr>
      <w:sz w:val="20"/>
    </w:rPr>
  </w:style>
  <w:style w:type="paragraph" w:customStyle="1" w:styleId="TAN">
    <w:name w:val="TAN"/>
    <w:basedOn w:val="TAL"/>
    <w:rsid w:val="00E73789"/>
    <w:pPr>
      <w:ind w:left="851" w:hanging="851"/>
    </w:pPr>
  </w:style>
  <w:style w:type="paragraph" w:customStyle="1" w:styleId="TAL">
    <w:name w:val="TAL"/>
    <w:basedOn w:val="Normal"/>
    <w:rsid w:val="00E73789"/>
    <w:pPr>
      <w:keepNext/>
      <w:keepLines/>
      <w:spacing w:after="0"/>
    </w:pPr>
    <w:rPr>
      <w:rFonts w:ascii="Arial" w:hAnsi="Arial"/>
      <w:sz w:val="18"/>
    </w:rPr>
  </w:style>
  <w:style w:type="paragraph" w:customStyle="1" w:styleId="ZA">
    <w:name w:val="ZA"/>
    <w:rsid w:val="00E73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3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37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3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3789"/>
    <w:pPr>
      <w:framePr w:wrap="notBeside" w:y="16161"/>
    </w:pPr>
  </w:style>
  <w:style w:type="character" w:customStyle="1" w:styleId="ZGSM">
    <w:name w:val="ZGSM"/>
    <w:rsid w:val="00E73789"/>
  </w:style>
  <w:style w:type="paragraph" w:styleId="List2">
    <w:name w:val="List 2"/>
    <w:basedOn w:val="List"/>
    <w:semiHidden/>
    <w:rsid w:val="00E73789"/>
    <w:pPr>
      <w:ind w:left="851"/>
    </w:pPr>
  </w:style>
  <w:style w:type="paragraph" w:customStyle="1" w:styleId="ZG">
    <w:name w:val="ZG"/>
    <w:rsid w:val="00E737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3789"/>
    <w:pPr>
      <w:ind w:left="1135"/>
    </w:pPr>
  </w:style>
  <w:style w:type="paragraph" w:styleId="List4">
    <w:name w:val="List 4"/>
    <w:basedOn w:val="List3"/>
    <w:semiHidden/>
    <w:rsid w:val="00E73789"/>
    <w:pPr>
      <w:ind w:left="1418"/>
    </w:pPr>
  </w:style>
  <w:style w:type="paragraph" w:styleId="List5">
    <w:name w:val="List 5"/>
    <w:basedOn w:val="List4"/>
    <w:semiHidden/>
    <w:rsid w:val="00E73789"/>
    <w:pPr>
      <w:ind w:left="1702"/>
    </w:pPr>
  </w:style>
  <w:style w:type="paragraph" w:customStyle="1" w:styleId="EditorsNote">
    <w:name w:val="Editor's Note"/>
    <w:basedOn w:val="NO"/>
    <w:rsid w:val="00E73789"/>
    <w:rPr>
      <w:color w:val="FF0000"/>
    </w:rPr>
  </w:style>
  <w:style w:type="paragraph" w:styleId="List">
    <w:name w:val="List"/>
    <w:basedOn w:val="Normal"/>
    <w:semiHidden/>
    <w:rsid w:val="00E73789"/>
    <w:pPr>
      <w:ind w:left="568" w:hanging="284"/>
    </w:pPr>
  </w:style>
  <w:style w:type="paragraph" w:styleId="ListBullet">
    <w:name w:val="List Bullet"/>
    <w:basedOn w:val="List"/>
    <w:semiHidden/>
    <w:rsid w:val="00E73789"/>
  </w:style>
  <w:style w:type="paragraph" w:styleId="ListBullet4">
    <w:name w:val="List Bullet 4"/>
    <w:basedOn w:val="ListBullet3"/>
    <w:semiHidden/>
    <w:rsid w:val="00E73789"/>
    <w:pPr>
      <w:ind w:left="1418"/>
    </w:pPr>
  </w:style>
  <w:style w:type="paragraph" w:styleId="ListBullet5">
    <w:name w:val="List Bullet 5"/>
    <w:basedOn w:val="ListBullet4"/>
    <w:semiHidden/>
    <w:rsid w:val="00E73789"/>
    <w:pPr>
      <w:ind w:left="1702"/>
    </w:pPr>
  </w:style>
  <w:style w:type="paragraph" w:customStyle="1" w:styleId="B1">
    <w:name w:val="B1"/>
    <w:basedOn w:val="List"/>
    <w:rsid w:val="00E73789"/>
  </w:style>
  <w:style w:type="paragraph" w:customStyle="1" w:styleId="B2">
    <w:name w:val="B2"/>
    <w:basedOn w:val="List2"/>
    <w:rsid w:val="00E73789"/>
  </w:style>
  <w:style w:type="paragraph" w:customStyle="1" w:styleId="B3">
    <w:name w:val="B3"/>
    <w:basedOn w:val="List3"/>
    <w:rsid w:val="00E73789"/>
  </w:style>
  <w:style w:type="paragraph" w:customStyle="1" w:styleId="B4">
    <w:name w:val="B4"/>
    <w:basedOn w:val="List4"/>
    <w:rsid w:val="00E73789"/>
  </w:style>
  <w:style w:type="paragraph" w:customStyle="1" w:styleId="B5">
    <w:name w:val="B5"/>
    <w:basedOn w:val="List5"/>
    <w:rsid w:val="00E73789"/>
  </w:style>
  <w:style w:type="paragraph" w:styleId="Footer">
    <w:name w:val="footer"/>
    <w:basedOn w:val="Header"/>
    <w:link w:val="FooterChar"/>
    <w:rsid w:val="00E73789"/>
    <w:pPr>
      <w:jc w:val="center"/>
    </w:pPr>
    <w:rPr>
      <w:i/>
    </w:rPr>
  </w:style>
  <w:style w:type="paragraph" w:customStyle="1" w:styleId="ZTD">
    <w:name w:val="ZTD"/>
    <w:basedOn w:val="ZB"/>
    <w:rsid w:val="00E73789"/>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eastAsia="Times New Roman" w:hAnsi="Arial"/>
      <w:b/>
      <w:noProof/>
      <w:sz w:val="18"/>
    </w:rPr>
  </w:style>
  <w:style w:type="character" w:customStyle="1" w:styleId="FooterChar">
    <w:name w:val="Footer Char"/>
    <w:link w:val="Footer"/>
    <w:rsid w:val="00337E23"/>
    <w:rPr>
      <w:rFonts w:ascii="Arial" w:eastAsia="Times New Roman" w:hAnsi="Arial"/>
      <w:b/>
      <w:i/>
      <w:noProof/>
      <w:sz w:val="18"/>
    </w:rPr>
  </w:style>
  <w:style w:type="paragraph" w:styleId="Caption">
    <w:name w:val="caption"/>
    <w:aliases w:val="cap,cap Char,Caption Char,Caption Char1 Char,cap Char Char1,Caption Char Char1 Char,cap Char2,条目"/>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eastAsia="Times New Roman" w:hAnsi="Arial"/>
      <w:sz w:val="18"/>
      <w:lang w:val="en-GB"/>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style>
  <w:style w:type="character" w:customStyle="1" w:styleId="Heading1Char">
    <w:name w:val="Heading 1 Char"/>
    <w:link w:val="Heading1"/>
    <w:rsid w:val="007635DC"/>
    <w:rPr>
      <w:rFonts w:ascii="Arial" w:eastAsia="Times New Roman" w:hAnsi="Arial"/>
      <w:sz w:val="36"/>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sz w:val="22"/>
      <w:lang w:val="en-US"/>
    </w:rPr>
  </w:style>
  <w:style w:type="character" w:customStyle="1" w:styleId="paragraphChar">
    <w:name w:val="paragraph Char"/>
    <w:link w:val="paragraph"/>
    <w:rsid w:val="007635DC"/>
    <w:rPr>
      <w:rFonts w:ascii="Times New Roman" w:eastAsia="Times New Roman" w:hAnsi="Times New Roman"/>
      <w:sz w:val="22"/>
    </w:rPr>
  </w:style>
  <w:style w:type="table" w:styleId="LightList-Accent1">
    <w:name w:val="Light List Accent 1"/>
    <w:basedOn w:val="TableNormal"/>
    <w:uiPriority w:val="61"/>
    <w:rsid w:val="00D96C0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Shading-Accent1">
    <w:name w:val="Colorful Shading Accent 1"/>
    <w:basedOn w:val="TableNormal"/>
    <w:uiPriority w:val="71"/>
    <w:rsid w:val="00AC4A5F"/>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character" w:styleId="PlaceholderText">
    <w:name w:val="Placeholder Text"/>
    <w:basedOn w:val="DefaultParagraphFont"/>
    <w:uiPriority w:val="99"/>
    <w:semiHidden/>
    <w:rsid w:val="00D713F1"/>
    <w:rPr>
      <w:color w:val="808080"/>
    </w:rPr>
  </w:style>
  <w:style w:type="paragraph" w:styleId="Revision">
    <w:name w:val="Revision"/>
    <w:hidden/>
    <w:uiPriority w:val="99"/>
    <w:semiHidden/>
    <w:rsid w:val="00BF409D"/>
    <w:rPr>
      <w:rFonts w:ascii="Times New Roman" w:hAnsi="Times New Roman"/>
      <w:lang w:val="en-GB"/>
    </w:rPr>
  </w:style>
  <w:style w:type="paragraph" w:customStyle="1" w:styleId="TableBullet">
    <w:name w:val="TableBullet"/>
    <w:basedOn w:val="Normal"/>
    <w:rsid w:val="007769C2"/>
    <w:pPr>
      <w:keepLines/>
      <w:numPr>
        <w:numId w:val="28"/>
      </w:numPr>
      <w:overflowPunct/>
      <w:autoSpaceDE/>
      <w:autoSpaceDN/>
      <w:adjustRightInd/>
      <w:spacing w:before="40" w:after="40" w:line="240" w:lineRule="atLeast"/>
      <w:textAlignment w:val="auto"/>
    </w:pPr>
    <w:rPr>
      <w:rFonts w:ascii="Arial" w:hAnsi="Arial"/>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8258">
      <w:bodyDiv w:val="1"/>
      <w:marLeft w:val="0"/>
      <w:marRight w:val="0"/>
      <w:marTop w:val="0"/>
      <w:marBottom w:val="0"/>
      <w:divBdr>
        <w:top w:val="none" w:sz="0" w:space="0" w:color="auto"/>
        <w:left w:val="none" w:sz="0" w:space="0" w:color="auto"/>
        <w:bottom w:val="none" w:sz="0" w:space="0" w:color="auto"/>
        <w:right w:val="none" w:sz="0" w:space="0" w:color="auto"/>
      </w:divBdr>
    </w:div>
    <w:div w:id="70276730">
      <w:bodyDiv w:val="1"/>
      <w:marLeft w:val="0"/>
      <w:marRight w:val="0"/>
      <w:marTop w:val="0"/>
      <w:marBottom w:val="0"/>
      <w:divBdr>
        <w:top w:val="none" w:sz="0" w:space="0" w:color="auto"/>
        <w:left w:val="none" w:sz="0" w:space="0" w:color="auto"/>
        <w:bottom w:val="none" w:sz="0" w:space="0" w:color="auto"/>
        <w:right w:val="none" w:sz="0" w:space="0" w:color="auto"/>
      </w:divBdr>
    </w:div>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82607611">
      <w:bodyDiv w:val="1"/>
      <w:marLeft w:val="0"/>
      <w:marRight w:val="0"/>
      <w:marTop w:val="0"/>
      <w:marBottom w:val="0"/>
      <w:divBdr>
        <w:top w:val="none" w:sz="0" w:space="0" w:color="auto"/>
        <w:left w:val="none" w:sz="0" w:space="0" w:color="auto"/>
        <w:bottom w:val="none" w:sz="0" w:space="0" w:color="auto"/>
        <w:right w:val="none" w:sz="0" w:space="0" w:color="auto"/>
      </w:divBdr>
    </w:div>
    <w:div w:id="106245438">
      <w:bodyDiv w:val="1"/>
      <w:marLeft w:val="0"/>
      <w:marRight w:val="0"/>
      <w:marTop w:val="0"/>
      <w:marBottom w:val="0"/>
      <w:divBdr>
        <w:top w:val="none" w:sz="0" w:space="0" w:color="auto"/>
        <w:left w:val="none" w:sz="0" w:space="0" w:color="auto"/>
        <w:bottom w:val="none" w:sz="0" w:space="0" w:color="auto"/>
        <w:right w:val="none" w:sz="0" w:space="0" w:color="auto"/>
      </w:divBdr>
    </w:div>
    <w:div w:id="158694284">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236670323">
      <w:bodyDiv w:val="1"/>
      <w:marLeft w:val="0"/>
      <w:marRight w:val="0"/>
      <w:marTop w:val="0"/>
      <w:marBottom w:val="0"/>
      <w:divBdr>
        <w:top w:val="none" w:sz="0" w:space="0" w:color="auto"/>
        <w:left w:val="none" w:sz="0" w:space="0" w:color="auto"/>
        <w:bottom w:val="none" w:sz="0" w:space="0" w:color="auto"/>
        <w:right w:val="none" w:sz="0" w:space="0" w:color="auto"/>
      </w:divBdr>
    </w:div>
    <w:div w:id="256982969">
      <w:bodyDiv w:val="1"/>
      <w:marLeft w:val="0"/>
      <w:marRight w:val="0"/>
      <w:marTop w:val="0"/>
      <w:marBottom w:val="0"/>
      <w:divBdr>
        <w:top w:val="none" w:sz="0" w:space="0" w:color="auto"/>
        <w:left w:val="none" w:sz="0" w:space="0" w:color="auto"/>
        <w:bottom w:val="none" w:sz="0" w:space="0" w:color="auto"/>
        <w:right w:val="none" w:sz="0" w:space="0" w:color="auto"/>
      </w:divBdr>
    </w:div>
    <w:div w:id="269045728">
      <w:bodyDiv w:val="1"/>
      <w:marLeft w:val="0"/>
      <w:marRight w:val="0"/>
      <w:marTop w:val="0"/>
      <w:marBottom w:val="0"/>
      <w:divBdr>
        <w:top w:val="none" w:sz="0" w:space="0" w:color="auto"/>
        <w:left w:val="none" w:sz="0" w:space="0" w:color="auto"/>
        <w:bottom w:val="none" w:sz="0" w:space="0" w:color="auto"/>
        <w:right w:val="none" w:sz="0" w:space="0" w:color="auto"/>
      </w:divBdr>
    </w:div>
    <w:div w:id="312805905">
      <w:bodyDiv w:val="1"/>
      <w:marLeft w:val="0"/>
      <w:marRight w:val="0"/>
      <w:marTop w:val="0"/>
      <w:marBottom w:val="0"/>
      <w:divBdr>
        <w:top w:val="none" w:sz="0" w:space="0" w:color="auto"/>
        <w:left w:val="none" w:sz="0" w:space="0" w:color="auto"/>
        <w:bottom w:val="none" w:sz="0" w:space="0" w:color="auto"/>
        <w:right w:val="none" w:sz="0" w:space="0" w:color="auto"/>
      </w:divBdr>
    </w:div>
    <w:div w:id="357633038">
      <w:bodyDiv w:val="1"/>
      <w:marLeft w:val="0"/>
      <w:marRight w:val="0"/>
      <w:marTop w:val="0"/>
      <w:marBottom w:val="0"/>
      <w:divBdr>
        <w:top w:val="none" w:sz="0" w:space="0" w:color="auto"/>
        <w:left w:val="none" w:sz="0" w:space="0" w:color="auto"/>
        <w:bottom w:val="none" w:sz="0" w:space="0" w:color="auto"/>
        <w:right w:val="none" w:sz="0" w:space="0" w:color="auto"/>
      </w:divBdr>
    </w:div>
    <w:div w:id="446003330">
      <w:bodyDiv w:val="1"/>
      <w:marLeft w:val="0"/>
      <w:marRight w:val="0"/>
      <w:marTop w:val="0"/>
      <w:marBottom w:val="0"/>
      <w:divBdr>
        <w:top w:val="none" w:sz="0" w:space="0" w:color="auto"/>
        <w:left w:val="none" w:sz="0" w:space="0" w:color="auto"/>
        <w:bottom w:val="none" w:sz="0" w:space="0" w:color="auto"/>
        <w:right w:val="none" w:sz="0" w:space="0" w:color="auto"/>
      </w:divBdr>
    </w:div>
    <w:div w:id="500581928">
      <w:bodyDiv w:val="1"/>
      <w:marLeft w:val="0"/>
      <w:marRight w:val="0"/>
      <w:marTop w:val="0"/>
      <w:marBottom w:val="0"/>
      <w:divBdr>
        <w:top w:val="none" w:sz="0" w:space="0" w:color="auto"/>
        <w:left w:val="none" w:sz="0" w:space="0" w:color="auto"/>
        <w:bottom w:val="none" w:sz="0" w:space="0" w:color="auto"/>
        <w:right w:val="none" w:sz="0" w:space="0" w:color="auto"/>
      </w:divBdr>
    </w:div>
    <w:div w:id="545989529">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31135147">
      <w:bodyDiv w:val="1"/>
      <w:marLeft w:val="0"/>
      <w:marRight w:val="0"/>
      <w:marTop w:val="0"/>
      <w:marBottom w:val="0"/>
      <w:divBdr>
        <w:top w:val="none" w:sz="0" w:space="0" w:color="auto"/>
        <w:left w:val="none" w:sz="0" w:space="0" w:color="auto"/>
        <w:bottom w:val="none" w:sz="0" w:space="0" w:color="auto"/>
        <w:right w:val="none" w:sz="0" w:space="0" w:color="auto"/>
      </w:divBdr>
    </w:div>
    <w:div w:id="644818994">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819686449">
      <w:bodyDiv w:val="1"/>
      <w:marLeft w:val="0"/>
      <w:marRight w:val="0"/>
      <w:marTop w:val="0"/>
      <w:marBottom w:val="0"/>
      <w:divBdr>
        <w:top w:val="none" w:sz="0" w:space="0" w:color="auto"/>
        <w:left w:val="none" w:sz="0" w:space="0" w:color="auto"/>
        <w:bottom w:val="none" w:sz="0" w:space="0" w:color="auto"/>
        <w:right w:val="none" w:sz="0" w:space="0" w:color="auto"/>
      </w:divBdr>
    </w:div>
    <w:div w:id="883440842">
      <w:bodyDiv w:val="1"/>
      <w:marLeft w:val="0"/>
      <w:marRight w:val="0"/>
      <w:marTop w:val="0"/>
      <w:marBottom w:val="0"/>
      <w:divBdr>
        <w:top w:val="none" w:sz="0" w:space="0" w:color="auto"/>
        <w:left w:val="none" w:sz="0" w:space="0" w:color="auto"/>
        <w:bottom w:val="none" w:sz="0" w:space="0" w:color="auto"/>
        <w:right w:val="none" w:sz="0" w:space="0" w:color="auto"/>
      </w:divBdr>
    </w:div>
    <w:div w:id="911768567">
      <w:bodyDiv w:val="1"/>
      <w:marLeft w:val="0"/>
      <w:marRight w:val="0"/>
      <w:marTop w:val="0"/>
      <w:marBottom w:val="0"/>
      <w:divBdr>
        <w:top w:val="none" w:sz="0" w:space="0" w:color="auto"/>
        <w:left w:val="none" w:sz="0" w:space="0" w:color="auto"/>
        <w:bottom w:val="none" w:sz="0" w:space="0" w:color="auto"/>
        <w:right w:val="none" w:sz="0" w:space="0" w:color="auto"/>
      </w:divBdr>
    </w:div>
    <w:div w:id="924996613">
      <w:bodyDiv w:val="1"/>
      <w:marLeft w:val="0"/>
      <w:marRight w:val="0"/>
      <w:marTop w:val="0"/>
      <w:marBottom w:val="0"/>
      <w:divBdr>
        <w:top w:val="none" w:sz="0" w:space="0" w:color="auto"/>
        <w:left w:val="none" w:sz="0" w:space="0" w:color="auto"/>
        <w:bottom w:val="none" w:sz="0" w:space="0" w:color="auto"/>
        <w:right w:val="none" w:sz="0" w:space="0" w:color="auto"/>
      </w:divBdr>
    </w:div>
    <w:div w:id="977879202">
      <w:bodyDiv w:val="1"/>
      <w:marLeft w:val="0"/>
      <w:marRight w:val="0"/>
      <w:marTop w:val="0"/>
      <w:marBottom w:val="0"/>
      <w:divBdr>
        <w:top w:val="none" w:sz="0" w:space="0" w:color="auto"/>
        <w:left w:val="none" w:sz="0" w:space="0" w:color="auto"/>
        <w:bottom w:val="none" w:sz="0" w:space="0" w:color="auto"/>
        <w:right w:val="none" w:sz="0" w:space="0" w:color="auto"/>
      </w:divBdr>
    </w:div>
    <w:div w:id="999774874">
      <w:bodyDiv w:val="1"/>
      <w:marLeft w:val="0"/>
      <w:marRight w:val="0"/>
      <w:marTop w:val="0"/>
      <w:marBottom w:val="0"/>
      <w:divBdr>
        <w:top w:val="none" w:sz="0" w:space="0" w:color="auto"/>
        <w:left w:val="none" w:sz="0" w:space="0" w:color="auto"/>
        <w:bottom w:val="none" w:sz="0" w:space="0" w:color="auto"/>
        <w:right w:val="none" w:sz="0" w:space="0" w:color="auto"/>
      </w:divBdr>
    </w:div>
    <w:div w:id="1000738002">
      <w:bodyDiv w:val="1"/>
      <w:marLeft w:val="0"/>
      <w:marRight w:val="0"/>
      <w:marTop w:val="0"/>
      <w:marBottom w:val="0"/>
      <w:divBdr>
        <w:top w:val="none" w:sz="0" w:space="0" w:color="auto"/>
        <w:left w:val="none" w:sz="0" w:space="0" w:color="auto"/>
        <w:bottom w:val="none" w:sz="0" w:space="0" w:color="auto"/>
        <w:right w:val="none" w:sz="0" w:space="0" w:color="auto"/>
      </w:divBdr>
    </w:div>
    <w:div w:id="1003555552">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079717334">
      <w:bodyDiv w:val="1"/>
      <w:marLeft w:val="0"/>
      <w:marRight w:val="0"/>
      <w:marTop w:val="0"/>
      <w:marBottom w:val="0"/>
      <w:divBdr>
        <w:top w:val="none" w:sz="0" w:space="0" w:color="auto"/>
        <w:left w:val="none" w:sz="0" w:space="0" w:color="auto"/>
        <w:bottom w:val="none" w:sz="0" w:space="0" w:color="auto"/>
        <w:right w:val="none" w:sz="0" w:space="0" w:color="auto"/>
      </w:divBdr>
    </w:div>
    <w:div w:id="1151753939">
      <w:bodyDiv w:val="1"/>
      <w:marLeft w:val="0"/>
      <w:marRight w:val="0"/>
      <w:marTop w:val="0"/>
      <w:marBottom w:val="0"/>
      <w:divBdr>
        <w:top w:val="none" w:sz="0" w:space="0" w:color="auto"/>
        <w:left w:val="none" w:sz="0" w:space="0" w:color="auto"/>
        <w:bottom w:val="none" w:sz="0" w:space="0" w:color="auto"/>
        <w:right w:val="none" w:sz="0" w:space="0" w:color="auto"/>
      </w:divBdr>
    </w:div>
    <w:div w:id="1253205591">
      <w:bodyDiv w:val="1"/>
      <w:marLeft w:val="0"/>
      <w:marRight w:val="0"/>
      <w:marTop w:val="0"/>
      <w:marBottom w:val="0"/>
      <w:divBdr>
        <w:top w:val="none" w:sz="0" w:space="0" w:color="auto"/>
        <w:left w:val="none" w:sz="0" w:space="0" w:color="auto"/>
        <w:bottom w:val="none" w:sz="0" w:space="0" w:color="auto"/>
        <w:right w:val="none" w:sz="0" w:space="0" w:color="auto"/>
      </w:divBdr>
    </w:div>
    <w:div w:id="1314992870">
      <w:bodyDiv w:val="1"/>
      <w:marLeft w:val="0"/>
      <w:marRight w:val="0"/>
      <w:marTop w:val="0"/>
      <w:marBottom w:val="0"/>
      <w:divBdr>
        <w:top w:val="none" w:sz="0" w:space="0" w:color="auto"/>
        <w:left w:val="none" w:sz="0" w:space="0" w:color="auto"/>
        <w:bottom w:val="none" w:sz="0" w:space="0" w:color="auto"/>
        <w:right w:val="none" w:sz="0" w:space="0" w:color="auto"/>
      </w:divBdr>
    </w:div>
    <w:div w:id="1326280595">
      <w:bodyDiv w:val="1"/>
      <w:marLeft w:val="0"/>
      <w:marRight w:val="0"/>
      <w:marTop w:val="0"/>
      <w:marBottom w:val="0"/>
      <w:divBdr>
        <w:top w:val="none" w:sz="0" w:space="0" w:color="auto"/>
        <w:left w:val="none" w:sz="0" w:space="0" w:color="auto"/>
        <w:bottom w:val="none" w:sz="0" w:space="0" w:color="auto"/>
        <w:right w:val="none" w:sz="0" w:space="0" w:color="auto"/>
      </w:divBdr>
    </w:div>
    <w:div w:id="1373385457">
      <w:bodyDiv w:val="1"/>
      <w:marLeft w:val="0"/>
      <w:marRight w:val="0"/>
      <w:marTop w:val="0"/>
      <w:marBottom w:val="0"/>
      <w:divBdr>
        <w:top w:val="none" w:sz="0" w:space="0" w:color="auto"/>
        <w:left w:val="none" w:sz="0" w:space="0" w:color="auto"/>
        <w:bottom w:val="none" w:sz="0" w:space="0" w:color="auto"/>
        <w:right w:val="none" w:sz="0" w:space="0" w:color="auto"/>
      </w:divBdr>
    </w:div>
    <w:div w:id="1437750850">
      <w:bodyDiv w:val="1"/>
      <w:marLeft w:val="0"/>
      <w:marRight w:val="0"/>
      <w:marTop w:val="0"/>
      <w:marBottom w:val="0"/>
      <w:divBdr>
        <w:top w:val="none" w:sz="0" w:space="0" w:color="auto"/>
        <w:left w:val="none" w:sz="0" w:space="0" w:color="auto"/>
        <w:bottom w:val="none" w:sz="0" w:space="0" w:color="auto"/>
        <w:right w:val="none" w:sz="0" w:space="0" w:color="auto"/>
      </w:divBdr>
    </w:div>
    <w:div w:id="1466503591">
      <w:bodyDiv w:val="1"/>
      <w:marLeft w:val="0"/>
      <w:marRight w:val="0"/>
      <w:marTop w:val="0"/>
      <w:marBottom w:val="0"/>
      <w:divBdr>
        <w:top w:val="none" w:sz="0" w:space="0" w:color="auto"/>
        <w:left w:val="none" w:sz="0" w:space="0" w:color="auto"/>
        <w:bottom w:val="none" w:sz="0" w:space="0" w:color="auto"/>
        <w:right w:val="none" w:sz="0" w:space="0" w:color="auto"/>
      </w:divBdr>
    </w:div>
    <w:div w:id="1558517530">
      <w:bodyDiv w:val="1"/>
      <w:marLeft w:val="0"/>
      <w:marRight w:val="0"/>
      <w:marTop w:val="0"/>
      <w:marBottom w:val="0"/>
      <w:divBdr>
        <w:top w:val="none" w:sz="0" w:space="0" w:color="auto"/>
        <w:left w:val="none" w:sz="0" w:space="0" w:color="auto"/>
        <w:bottom w:val="none" w:sz="0" w:space="0" w:color="auto"/>
        <w:right w:val="none" w:sz="0" w:space="0" w:color="auto"/>
      </w:divBdr>
    </w:div>
    <w:div w:id="1571842232">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52949123">
      <w:bodyDiv w:val="1"/>
      <w:marLeft w:val="0"/>
      <w:marRight w:val="0"/>
      <w:marTop w:val="0"/>
      <w:marBottom w:val="0"/>
      <w:divBdr>
        <w:top w:val="none" w:sz="0" w:space="0" w:color="auto"/>
        <w:left w:val="none" w:sz="0" w:space="0" w:color="auto"/>
        <w:bottom w:val="none" w:sz="0" w:space="0" w:color="auto"/>
        <w:right w:val="none" w:sz="0" w:space="0" w:color="auto"/>
      </w:divBdr>
    </w:div>
    <w:div w:id="1661541936">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768497008">
      <w:bodyDiv w:val="1"/>
      <w:marLeft w:val="0"/>
      <w:marRight w:val="0"/>
      <w:marTop w:val="0"/>
      <w:marBottom w:val="0"/>
      <w:divBdr>
        <w:top w:val="none" w:sz="0" w:space="0" w:color="auto"/>
        <w:left w:val="none" w:sz="0" w:space="0" w:color="auto"/>
        <w:bottom w:val="none" w:sz="0" w:space="0" w:color="auto"/>
        <w:right w:val="none" w:sz="0" w:space="0" w:color="auto"/>
      </w:divBdr>
    </w:div>
    <w:div w:id="1798447280">
      <w:bodyDiv w:val="1"/>
      <w:marLeft w:val="0"/>
      <w:marRight w:val="0"/>
      <w:marTop w:val="0"/>
      <w:marBottom w:val="0"/>
      <w:divBdr>
        <w:top w:val="none" w:sz="0" w:space="0" w:color="auto"/>
        <w:left w:val="none" w:sz="0" w:space="0" w:color="auto"/>
        <w:bottom w:val="none" w:sz="0" w:space="0" w:color="auto"/>
        <w:right w:val="none" w:sz="0" w:space="0" w:color="auto"/>
      </w:divBdr>
    </w:div>
    <w:div w:id="1933314287">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 w:id="2080397879">
      <w:bodyDiv w:val="1"/>
      <w:marLeft w:val="0"/>
      <w:marRight w:val="0"/>
      <w:marTop w:val="0"/>
      <w:marBottom w:val="0"/>
      <w:divBdr>
        <w:top w:val="none" w:sz="0" w:space="0" w:color="auto"/>
        <w:left w:val="none" w:sz="0" w:space="0" w:color="auto"/>
        <w:bottom w:val="none" w:sz="0" w:space="0" w:color="auto"/>
        <w:right w:val="none" w:sz="0" w:space="0" w:color="auto"/>
      </w:divBdr>
    </w:div>
    <w:div w:id="2110660932">
      <w:bodyDiv w:val="1"/>
      <w:marLeft w:val="0"/>
      <w:marRight w:val="0"/>
      <w:marTop w:val="0"/>
      <w:marBottom w:val="0"/>
      <w:divBdr>
        <w:top w:val="none" w:sz="0" w:space="0" w:color="auto"/>
        <w:left w:val="none" w:sz="0" w:space="0" w:color="auto"/>
        <w:bottom w:val="none" w:sz="0" w:space="0" w:color="auto"/>
        <w:right w:val="none" w:sz="0" w:space="0" w:color="auto"/>
      </w:divBdr>
      <w:divsChild>
        <w:div w:id="2010667417">
          <w:marLeft w:val="547"/>
          <w:marRight w:val="0"/>
          <w:marTop w:val="96"/>
          <w:marBottom w:val="0"/>
          <w:divBdr>
            <w:top w:val="none" w:sz="0" w:space="0" w:color="auto"/>
            <w:left w:val="none" w:sz="0" w:space="0" w:color="auto"/>
            <w:bottom w:val="none" w:sz="0" w:space="0" w:color="auto"/>
            <w:right w:val="none" w:sz="0" w:space="0" w:color="auto"/>
          </w:divBdr>
        </w:div>
        <w:div w:id="485509701">
          <w:marLeft w:val="547"/>
          <w:marRight w:val="0"/>
          <w:marTop w:val="96"/>
          <w:marBottom w:val="0"/>
          <w:divBdr>
            <w:top w:val="none" w:sz="0" w:space="0" w:color="auto"/>
            <w:left w:val="none" w:sz="0" w:space="0" w:color="auto"/>
            <w:bottom w:val="none" w:sz="0" w:space="0" w:color="auto"/>
            <w:right w:val="none" w:sz="0" w:space="0" w:color="auto"/>
          </w:divBdr>
        </w:div>
        <w:div w:id="992566669">
          <w:marLeft w:val="547"/>
          <w:marRight w:val="0"/>
          <w:marTop w:val="96"/>
          <w:marBottom w:val="0"/>
          <w:divBdr>
            <w:top w:val="none" w:sz="0" w:space="0" w:color="auto"/>
            <w:left w:val="none" w:sz="0" w:space="0" w:color="auto"/>
            <w:bottom w:val="none" w:sz="0" w:space="0" w:color="auto"/>
            <w:right w:val="none" w:sz="0" w:space="0" w:color="auto"/>
          </w:divBdr>
        </w:div>
        <w:div w:id="149256231">
          <w:marLeft w:val="547"/>
          <w:marRight w:val="0"/>
          <w:marTop w:val="96"/>
          <w:marBottom w:val="0"/>
          <w:divBdr>
            <w:top w:val="none" w:sz="0" w:space="0" w:color="auto"/>
            <w:left w:val="none" w:sz="0" w:space="0" w:color="auto"/>
            <w:bottom w:val="none" w:sz="0" w:space="0" w:color="auto"/>
            <w:right w:val="none" w:sz="0" w:space="0" w:color="auto"/>
          </w:divBdr>
        </w:div>
        <w:div w:id="298389260">
          <w:marLeft w:val="1166"/>
          <w:marRight w:val="0"/>
          <w:marTop w:val="77"/>
          <w:marBottom w:val="0"/>
          <w:divBdr>
            <w:top w:val="none" w:sz="0" w:space="0" w:color="auto"/>
            <w:left w:val="none" w:sz="0" w:space="0" w:color="auto"/>
            <w:bottom w:val="none" w:sz="0" w:space="0" w:color="auto"/>
            <w:right w:val="none" w:sz="0" w:space="0" w:color="auto"/>
          </w:divBdr>
        </w:div>
        <w:div w:id="1110273484">
          <w:marLeft w:val="1166"/>
          <w:marRight w:val="0"/>
          <w:marTop w:val="77"/>
          <w:marBottom w:val="0"/>
          <w:divBdr>
            <w:top w:val="none" w:sz="0" w:space="0" w:color="auto"/>
            <w:left w:val="none" w:sz="0" w:space="0" w:color="auto"/>
            <w:bottom w:val="none" w:sz="0" w:space="0" w:color="auto"/>
            <w:right w:val="none" w:sz="0" w:space="0" w:color="auto"/>
          </w:divBdr>
        </w:div>
        <w:div w:id="1243100941">
          <w:marLeft w:val="547"/>
          <w:marRight w:val="0"/>
          <w:marTop w:val="96"/>
          <w:marBottom w:val="0"/>
          <w:divBdr>
            <w:top w:val="none" w:sz="0" w:space="0" w:color="auto"/>
            <w:left w:val="none" w:sz="0" w:space="0" w:color="auto"/>
            <w:bottom w:val="none" w:sz="0" w:space="0" w:color="auto"/>
            <w:right w:val="none" w:sz="0" w:space="0" w:color="auto"/>
          </w:divBdr>
        </w:div>
      </w:divsChild>
    </w:div>
    <w:div w:id="2125803688">
      <w:bodyDiv w:val="1"/>
      <w:marLeft w:val="0"/>
      <w:marRight w:val="0"/>
      <w:marTop w:val="0"/>
      <w:marBottom w:val="0"/>
      <w:divBdr>
        <w:top w:val="none" w:sz="0" w:space="0" w:color="auto"/>
        <w:left w:val="none" w:sz="0" w:space="0" w:color="auto"/>
        <w:bottom w:val="none" w:sz="0" w:space="0" w:color="auto"/>
        <w:right w:val="none" w:sz="0" w:space="0" w:color="auto"/>
      </w:divBdr>
    </w:div>
    <w:div w:id="213235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83EB97123F5042A02A20607C10A415" ma:contentTypeVersion="0" ma:contentTypeDescription="Create a new document." ma:contentTypeScope="" ma:versionID="33ace49e8dc9f28a8c9f046706b3d14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98D76-102F-48D9-A825-236C305593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3.xml><?xml version="1.0" encoding="utf-8"?>
<ds:datastoreItem xmlns:ds="http://schemas.openxmlformats.org/officeDocument/2006/customXml" ds:itemID="{D4EED77C-33F7-409D-979B-354293A1D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1C336B7-2187-45E0-96C2-819F0CC19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1113</TotalTime>
  <Pages>1</Pages>
  <Words>648</Words>
  <Characters>3697</Characters>
  <Application>Microsoft Office Word</Application>
  <DocSecurity>0</DocSecurity>
  <Lines>30</Lines>
  <Paragraphs>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Ravi</cp:lastModifiedBy>
  <cp:revision>6</cp:revision>
  <cp:lastPrinted>2013-03-26T19:58:00Z</cp:lastPrinted>
  <dcterms:created xsi:type="dcterms:W3CDTF">2015-01-30T00:49:00Z</dcterms:created>
  <dcterms:modified xsi:type="dcterms:W3CDTF">2015-01-31T04:35:00Z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3" name="_ms_pID_725343_00">
    <vt:lpwstr>_ms_pID_725343</vt:lpwstr>
  </property>
  <property fmtid="{D5CDD505-2E9C-101B-9397-08002B2CF9AE}" pid="4" name="_ms_pID_7253431">
    <vt:lpwstr>U5VDyGLis7+fhNMX3SfpDZCwlrT2v1UoIhC7i88xAH7IAcg8K4bybnYtQZAUC7AiSkrjsP7OgdmsRLnk4XGGu7LD1puSSWlBtwJQaw==</vt:lpwstr>
  </property>
  <property fmtid="{D5CDD505-2E9C-101B-9397-08002B2CF9AE}" pid="5" name="_ms_pID_7253431_00">
    <vt:lpwstr>_ms_pID_7253431</vt:lpwstr>
  </property>
  <property fmtid="{D5CDD505-2E9C-101B-9397-08002B2CF9AE}" pid="6" name="ContentTypeId">
    <vt:lpwstr>0x010100EE83EB97123F5042A02A20607C10A415</vt:lpwstr>
  </property>
  <property fmtid="{D5CDD505-2E9C-101B-9397-08002B2CF9AE}" pid="7" name="_NewReviewCycle">
    <vt:lpwstr/>
  </property>
  <property fmtid="{D5CDD505-2E9C-101B-9397-08002B2CF9AE}" pid="8" name="_EmailSubject">
    <vt:lpwstr>Impact of Slow Power Control on the Uplink</vt:lpwstr>
  </property>
  <property fmtid="{D5CDD505-2E9C-101B-9397-08002B2CF9AE}" pid="9" name="_AuthorEmail">
    <vt:lpwstr>sony@qti.qualcomm.com</vt:lpwstr>
  </property>
  <property fmtid="{D5CDD505-2E9C-101B-9397-08002B2CF9AE}" pid="10" name="_AuthorEmailDisplayName">
    <vt:lpwstr>Akkarakaran, Sony</vt:lpwstr>
  </property>
  <property fmtid="{D5CDD505-2E9C-101B-9397-08002B2CF9AE}" pid="11" name="_PreviousAdHocReviewCycleID">
    <vt:i4>-185971158</vt:i4>
  </property>
</Properties>
</file>