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EC" w:rsidRPr="00E70914" w:rsidRDefault="000043EC" w:rsidP="000043EC">
      <w:pPr>
        <w:tabs>
          <w:tab w:val="right" w:pos="9072"/>
        </w:tabs>
        <w:rPr>
          <w:rFonts w:ascii="Arial" w:eastAsia="MS Mincho" w:hAnsi="Arial"/>
          <w:b/>
        </w:rPr>
      </w:pPr>
      <w:bookmarkStart w:id="0" w:name="OLE_LINK1"/>
      <w:r>
        <w:rPr>
          <w:rFonts w:ascii="Arial" w:eastAsia="MS Mincho" w:hAnsi="Arial"/>
          <w:b/>
          <w:bCs/>
        </w:rPr>
        <w:t>3GPP TSG RAN WG1 Meeting #79,</w:t>
      </w:r>
      <w:r>
        <w:rPr>
          <w:rFonts w:ascii="Arial" w:eastAsia="MS Mincho" w:hAnsi="Arial"/>
          <w:b/>
          <w:bCs/>
        </w:rPr>
        <w:tab/>
        <w:t>R1-144271</w:t>
      </w:r>
    </w:p>
    <w:p w:rsidR="000043EC" w:rsidRPr="003F68FD" w:rsidRDefault="000043EC" w:rsidP="000043EC">
      <w:pPr>
        <w:pStyle w:val="Header"/>
        <w:tabs>
          <w:tab w:val="clear" w:pos="4536"/>
          <w:tab w:val="left" w:pos="1800"/>
        </w:tabs>
        <w:ind w:left="1800" w:hanging="1800"/>
        <w:rPr>
          <w:bCs/>
        </w:rPr>
      </w:pPr>
      <w:r>
        <w:rPr>
          <w:bCs/>
        </w:rPr>
        <w:t>Ljubljana</w:t>
      </w:r>
      <w:r w:rsidRPr="003F68FD">
        <w:rPr>
          <w:bCs/>
        </w:rPr>
        <w:t xml:space="preserve">, </w:t>
      </w:r>
      <w:r>
        <w:rPr>
          <w:bCs/>
        </w:rPr>
        <w:t>Slovenia</w:t>
      </w:r>
      <w:r w:rsidRPr="003F68FD">
        <w:rPr>
          <w:bCs/>
        </w:rPr>
        <w:t xml:space="preserve">, </w:t>
      </w:r>
      <w:r>
        <w:rPr>
          <w:bCs/>
        </w:rPr>
        <w:t>6</w:t>
      </w:r>
      <w:r w:rsidRPr="003F68FD">
        <w:rPr>
          <w:rFonts w:hint="eastAsia"/>
          <w:bCs/>
          <w:vertAlign w:val="superscript"/>
        </w:rPr>
        <w:t>th</w:t>
      </w:r>
      <w:r w:rsidRPr="003F68FD">
        <w:rPr>
          <w:bCs/>
        </w:rPr>
        <w:t xml:space="preserve"> – </w:t>
      </w:r>
      <w:r>
        <w:rPr>
          <w:bCs/>
        </w:rPr>
        <w:t>10</w:t>
      </w:r>
      <w:r w:rsidRPr="003F68FD">
        <w:rPr>
          <w:rFonts w:hint="eastAsia"/>
          <w:bCs/>
          <w:vertAlign w:val="superscript"/>
        </w:rPr>
        <w:t>th</w:t>
      </w:r>
      <w:r w:rsidRPr="003F68FD">
        <w:rPr>
          <w:bCs/>
        </w:rPr>
        <w:t xml:space="preserve"> </w:t>
      </w:r>
      <w:r>
        <w:rPr>
          <w:bCs/>
        </w:rPr>
        <w:t>October</w:t>
      </w:r>
      <w:r w:rsidRPr="003F68FD">
        <w:rPr>
          <w:bCs/>
        </w:rPr>
        <w:t xml:space="preserve"> 2014</w:t>
      </w:r>
    </w:p>
    <w:p w:rsidR="000043EC" w:rsidRDefault="000043EC" w:rsidP="000043EC">
      <w:pPr>
        <w:pStyle w:val="Header"/>
        <w:tabs>
          <w:tab w:val="clear" w:pos="4536"/>
          <w:tab w:val="left" w:pos="1800"/>
        </w:tabs>
        <w:ind w:left="1800" w:hanging="1800"/>
      </w:pPr>
    </w:p>
    <w:p w:rsidR="000043EC" w:rsidRPr="00E70914" w:rsidRDefault="000043EC" w:rsidP="000043EC">
      <w:pPr>
        <w:pStyle w:val="Header"/>
        <w:tabs>
          <w:tab w:val="clear" w:pos="4536"/>
          <w:tab w:val="left" w:pos="1800"/>
        </w:tabs>
        <w:ind w:left="1800" w:hanging="1800"/>
      </w:pPr>
      <w:r w:rsidRPr="00E70914">
        <w:t>Source:</w:t>
      </w:r>
      <w:r w:rsidRPr="00E70914">
        <w:tab/>
        <w:t>Ericsson</w:t>
      </w:r>
    </w:p>
    <w:p w:rsidR="000043EC" w:rsidRPr="00E70914" w:rsidRDefault="000043EC" w:rsidP="000043EC">
      <w:pPr>
        <w:pStyle w:val="Header"/>
        <w:tabs>
          <w:tab w:val="clear" w:pos="4536"/>
          <w:tab w:val="left" w:pos="1800"/>
        </w:tabs>
      </w:pPr>
      <w:r w:rsidRPr="00E70914">
        <w:t>Title:</w:t>
      </w:r>
      <w:r w:rsidRPr="00E70914">
        <w:tab/>
      </w:r>
      <w:r>
        <w:t xml:space="preserve">Remaining issues on </w:t>
      </w:r>
      <w:r w:rsidRPr="00F64177">
        <w:t>UE capabilit</w:t>
      </w:r>
      <w:r>
        <w:t>y design</w:t>
      </w:r>
    </w:p>
    <w:p w:rsidR="000043EC" w:rsidRPr="00E70914" w:rsidRDefault="000043EC" w:rsidP="000043EC">
      <w:pPr>
        <w:pStyle w:val="Header"/>
        <w:tabs>
          <w:tab w:val="left" w:pos="1800"/>
        </w:tabs>
      </w:pPr>
      <w:r w:rsidRPr="00E70914">
        <w:t>Agenda Item:</w:t>
      </w:r>
      <w:r w:rsidRPr="00E70914">
        <w:tab/>
      </w:r>
      <w:r w:rsidRPr="00AB7A0C">
        <w:t>7.2</w:t>
      </w:r>
    </w:p>
    <w:p w:rsidR="000043EC" w:rsidRPr="00E70914" w:rsidRDefault="000043EC" w:rsidP="000043EC">
      <w:pPr>
        <w:pStyle w:val="Header"/>
        <w:tabs>
          <w:tab w:val="left" w:pos="1800"/>
        </w:tabs>
      </w:pPr>
      <w:r w:rsidRPr="00E70914">
        <w:t>Document for:</w:t>
      </w:r>
      <w:r w:rsidRPr="00E70914">
        <w:tab/>
        <w:t>Discussion and Decision</w:t>
      </w:r>
    </w:p>
    <w:bookmarkEnd w:id="0"/>
    <w:p w:rsidR="000043EC" w:rsidRPr="00E70914" w:rsidRDefault="000043EC" w:rsidP="000043EC">
      <w:pPr>
        <w:pBdr>
          <w:bottom w:val="single" w:sz="4" w:space="1" w:color="auto"/>
        </w:pBdr>
        <w:tabs>
          <w:tab w:val="left" w:pos="2552"/>
        </w:tabs>
      </w:pPr>
    </w:p>
    <w:p w:rsidR="000043EC" w:rsidRPr="002C698F" w:rsidRDefault="000043EC" w:rsidP="000043EC">
      <w:pPr>
        <w:pStyle w:val="Heading1"/>
      </w:pPr>
      <w:bookmarkStart w:id="1" w:name="_Ref301342314"/>
      <w:r w:rsidRPr="00E70914">
        <w:t>Introduction</w:t>
      </w:r>
      <w:bookmarkEnd w:id="1"/>
    </w:p>
    <w:p w:rsidR="000043EC" w:rsidRPr="00E70914" w:rsidRDefault="000043EC" w:rsidP="000043EC">
      <w:pPr>
        <w:pStyle w:val="BodyText"/>
      </w:pPr>
      <w:r>
        <w:t xml:space="preserve">This contribution discusses the remaining issues on UE capabilities. The contribution mainly discusses the NAICS, small cell discovery and </w:t>
      </w:r>
      <w:proofErr w:type="spellStart"/>
      <w:r>
        <w:t>ProSe</w:t>
      </w:r>
      <w:proofErr w:type="spellEnd"/>
      <w:r>
        <w:t xml:space="preserve"> features. In addition, the contribution discusses whether each of the RAN1-led features should be optional or mandatory</w:t>
      </w:r>
      <w:bookmarkStart w:id="2" w:name="_GoBack"/>
      <w:bookmarkEnd w:id="2"/>
      <w:r>
        <w:t xml:space="preserve">. The contribution uses as a starting point the </w:t>
      </w:r>
      <w:proofErr w:type="spellStart"/>
      <w:r>
        <w:t>xls</w:t>
      </w:r>
      <w:proofErr w:type="spellEnd"/>
      <w:r>
        <w:t xml:space="preserve"> file agreed at RAN1 #78 </w:t>
      </w:r>
      <w:r>
        <w:fldChar w:fldCharType="begin"/>
      </w:r>
      <w:r>
        <w:instrText xml:space="preserve"> REF _Ref399347084 \r \h </w:instrText>
      </w:r>
      <w:r>
        <w:fldChar w:fldCharType="separate"/>
      </w:r>
      <w:r>
        <w:t>[1]</w:t>
      </w:r>
      <w:r>
        <w:fldChar w:fldCharType="end"/>
      </w:r>
      <w:r>
        <w:t xml:space="preserve">. </w:t>
      </w:r>
    </w:p>
    <w:p w:rsidR="000043EC" w:rsidRDefault="000043EC" w:rsidP="000043EC">
      <w:pPr>
        <w:pStyle w:val="Heading1"/>
      </w:pPr>
      <w:bookmarkStart w:id="3" w:name="_Ref346118000"/>
      <w:r w:rsidRPr="00E70914">
        <w:t>Discussion</w:t>
      </w:r>
      <w:bookmarkEnd w:id="3"/>
    </w:p>
    <w:p w:rsidR="000043EC" w:rsidRDefault="000043EC" w:rsidP="000043EC">
      <w:pPr>
        <w:pStyle w:val="Heading2"/>
      </w:pPr>
      <w:r>
        <w:t>Small cell on/off and discovery signal/procedure</w:t>
      </w:r>
    </w:p>
    <w:p w:rsidR="000043EC" w:rsidRDefault="000043EC" w:rsidP="000043EC">
      <w:pPr>
        <w:pStyle w:val="BodyText"/>
      </w:pPr>
      <w:r>
        <w:t xml:space="preserve">In the RAN1#78 meeting, UE capabilities for small cell discovery and small cell on/off was discussed. Since there were no conclusions, in the end only the header for the discussion is captured in the final </w:t>
      </w:r>
      <w:proofErr w:type="spellStart"/>
      <w:r>
        <w:t>xls</w:t>
      </w:r>
      <w:proofErr w:type="spellEnd"/>
      <w:r>
        <w:t xml:space="preserve"> file </w:t>
      </w:r>
      <w:r>
        <w:fldChar w:fldCharType="begin"/>
      </w:r>
      <w:r>
        <w:instrText xml:space="preserve"> REF _Ref399347084 \r \h </w:instrText>
      </w:r>
      <w:r>
        <w:fldChar w:fldCharType="separate"/>
      </w:r>
      <w:r>
        <w:t>[1]</w:t>
      </w:r>
      <w:r>
        <w:fldChar w:fldCharType="end"/>
      </w:r>
      <w:r>
        <w:t>:</w:t>
      </w:r>
    </w:p>
    <w:tbl>
      <w:tblPr>
        <w:tblW w:w="9371" w:type="dxa"/>
        <w:tblInd w:w="93" w:type="dxa"/>
        <w:tblLook w:val="04A0" w:firstRow="1" w:lastRow="0" w:firstColumn="1" w:lastColumn="0" w:noHBand="0" w:noVBand="1"/>
      </w:tblPr>
      <w:tblGrid>
        <w:gridCol w:w="1100"/>
        <w:gridCol w:w="680"/>
        <w:gridCol w:w="2140"/>
        <w:gridCol w:w="3466"/>
        <w:gridCol w:w="1985"/>
      </w:tblGrid>
      <w:tr w:rsidR="000043EC" w:rsidRPr="00F64177" w:rsidTr="00E14710">
        <w:trPr>
          <w:trHeight w:val="780"/>
        </w:trPr>
        <w:tc>
          <w:tcPr>
            <w:tcW w:w="1100" w:type="dxa"/>
            <w:tcBorders>
              <w:top w:val="single" w:sz="8" w:space="0" w:color="auto"/>
              <w:left w:val="single" w:sz="8" w:space="0" w:color="auto"/>
              <w:bottom w:val="double" w:sz="6" w:space="0" w:color="auto"/>
              <w:right w:val="single" w:sz="4" w:space="0" w:color="auto"/>
            </w:tcBorders>
            <w:shd w:val="clear" w:color="000000" w:fill="99CCFF"/>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WI</w:t>
            </w:r>
          </w:p>
        </w:tc>
        <w:tc>
          <w:tcPr>
            <w:tcW w:w="680" w:type="dxa"/>
            <w:tcBorders>
              <w:top w:val="single" w:sz="8" w:space="0" w:color="auto"/>
              <w:left w:val="nil"/>
              <w:bottom w:val="double" w:sz="6" w:space="0" w:color="auto"/>
              <w:right w:val="single" w:sz="4" w:space="0" w:color="auto"/>
            </w:tcBorders>
            <w:shd w:val="clear" w:color="000000" w:fill="99CCFF"/>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w:t>
            </w:r>
          </w:p>
        </w:tc>
        <w:tc>
          <w:tcPr>
            <w:tcW w:w="2140" w:type="dxa"/>
            <w:tcBorders>
              <w:top w:val="single" w:sz="8" w:space="0" w:color="auto"/>
              <w:left w:val="nil"/>
              <w:bottom w:val="double" w:sz="6" w:space="0" w:color="auto"/>
              <w:right w:val="single" w:sz="4" w:space="0" w:color="auto"/>
            </w:tcBorders>
            <w:shd w:val="clear" w:color="000000" w:fill="99CCFF"/>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Feature group</w:t>
            </w:r>
          </w:p>
        </w:tc>
        <w:tc>
          <w:tcPr>
            <w:tcW w:w="3466" w:type="dxa"/>
            <w:tcBorders>
              <w:top w:val="single" w:sz="8" w:space="0" w:color="auto"/>
              <w:left w:val="nil"/>
              <w:bottom w:val="double" w:sz="6" w:space="0" w:color="auto"/>
              <w:right w:val="single" w:sz="4" w:space="0" w:color="auto"/>
            </w:tcBorders>
            <w:shd w:val="clear" w:color="000000" w:fill="99CCFF"/>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Components</w:t>
            </w:r>
          </w:p>
        </w:tc>
        <w:tc>
          <w:tcPr>
            <w:tcW w:w="1985" w:type="dxa"/>
            <w:tcBorders>
              <w:top w:val="single" w:sz="8" w:space="0" w:color="auto"/>
              <w:left w:val="nil"/>
              <w:bottom w:val="double" w:sz="6" w:space="0" w:color="auto"/>
              <w:right w:val="single" w:sz="4" w:space="0" w:color="auto"/>
            </w:tcBorders>
            <w:shd w:val="clear" w:color="000000" w:fill="99CCFF"/>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 xml:space="preserve">Prerequisite feature groups </w:t>
            </w:r>
            <w:r w:rsidRPr="00F64177">
              <w:rPr>
                <w:rFonts w:ascii="Arial" w:hAnsi="Arial" w:cs="Arial"/>
                <w:sz w:val="20"/>
                <w:szCs w:val="20"/>
              </w:rPr>
              <w:br/>
              <w:t>(listed in this sheet or Rel-8/9/10/11 features)</w:t>
            </w:r>
          </w:p>
        </w:tc>
      </w:tr>
      <w:tr w:rsidR="000043EC" w:rsidRPr="00F64177" w:rsidTr="00E14710">
        <w:trPr>
          <w:trHeight w:val="1035"/>
        </w:trPr>
        <w:tc>
          <w:tcPr>
            <w:tcW w:w="1100" w:type="dxa"/>
            <w:vMerge w:val="restart"/>
            <w:tcBorders>
              <w:top w:val="double" w:sz="6" w:space="0" w:color="auto"/>
              <w:left w:val="single" w:sz="8" w:space="0" w:color="auto"/>
              <w:bottom w:val="double" w:sz="6" w:space="0" w:color="000000"/>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 SCE Physical Layer</w:t>
            </w:r>
          </w:p>
        </w:tc>
        <w:tc>
          <w:tcPr>
            <w:tcW w:w="68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256QAM</w:t>
            </w:r>
          </w:p>
        </w:tc>
        <w:tc>
          <w:tcPr>
            <w:tcW w:w="3466"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1) 256QAM demodulation</w:t>
            </w:r>
            <w:r w:rsidRPr="00F64177">
              <w:rPr>
                <w:rFonts w:ascii="Arial" w:hAnsi="Arial" w:cs="Arial"/>
                <w:sz w:val="20"/>
                <w:szCs w:val="20"/>
              </w:rPr>
              <w:br/>
              <w:t>2) 256QAM CQI feedback</w:t>
            </w:r>
          </w:p>
        </w:tc>
        <w:tc>
          <w:tcPr>
            <w:tcW w:w="1985"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None</w:t>
            </w:r>
          </w:p>
        </w:tc>
      </w:tr>
      <w:tr w:rsidR="000043EC" w:rsidRPr="00F64177" w:rsidTr="00E14710">
        <w:trPr>
          <w:trHeight w:val="765"/>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3-2</w:t>
            </w:r>
          </w:p>
        </w:tc>
        <w:tc>
          <w:tcPr>
            <w:tcW w:w="214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Small cell on/off and discovery signal/procedure</w:t>
            </w:r>
          </w:p>
        </w:tc>
        <w:tc>
          <w:tcPr>
            <w:tcW w:w="3466"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[FFS]Small cell on/off based on discovery signal-based measurement and report</w:t>
            </w:r>
          </w:p>
        </w:tc>
        <w:tc>
          <w:tcPr>
            <w:tcW w:w="1985"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None</w:t>
            </w:r>
          </w:p>
        </w:tc>
      </w:tr>
      <w:tr w:rsidR="000043EC" w:rsidRPr="00F64177" w:rsidTr="00E14710">
        <w:trPr>
          <w:trHeight w:val="315"/>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3-3</w:t>
            </w:r>
          </w:p>
        </w:tc>
        <w:tc>
          <w:tcPr>
            <w:tcW w:w="214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 </w:t>
            </w:r>
          </w:p>
        </w:tc>
        <w:tc>
          <w:tcPr>
            <w:tcW w:w="3466"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 </w:t>
            </w:r>
          </w:p>
        </w:tc>
        <w:tc>
          <w:tcPr>
            <w:tcW w:w="1985"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 </w:t>
            </w:r>
          </w:p>
        </w:tc>
      </w:tr>
    </w:tbl>
    <w:p w:rsidR="000043EC" w:rsidRDefault="000043EC" w:rsidP="000043EC">
      <w:pPr>
        <w:pStyle w:val="BodyText"/>
      </w:pPr>
    </w:p>
    <w:p w:rsidR="000043EC" w:rsidRDefault="000043EC" w:rsidP="000043EC">
      <w:pPr>
        <w:pStyle w:val="BodyText"/>
      </w:pPr>
      <w:r>
        <w:t>We observe that small cell on/off based on CA activation/deactivation and small cell discovery are two different features, since small cell discovery can be operated without small cell on/off based on CA activation/deactivation.</w:t>
      </w:r>
    </w:p>
    <w:p w:rsidR="000043EC" w:rsidRDefault="000043EC" w:rsidP="000043EC">
      <w:pPr>
        <w:pStyle w:val="BodyText"/>
      </w:pPr>
      <w:r>
        <w:t>We further observe that small cell discovery can be operated in the following operational modes.</w:t>
      </w:r>
    </w:p>
    <w:p w:rsidR="000043EC" w:rsidRDefault="000043EC" w:rsidP="000043EC">
      <w:pPr>
        <w:pStyle w:val="BodyText"/>
        <w:numPr>
          <w:ilvl w:val="0"/>
          <w:numId w:val="3"/>
        </w:numPr>
      </w:pPr>
      <w:r>
        <w:t>Single cell operation in a shared cell to identify applicable TPs</w:t>
      </w:r>
    </w:p>
    <w:p w:rsidR="000043EC" w:rsidRDefault="000043EC" w:rsidP="000043EC">
      <w:pPr>
        <w:pStyle w:val="BodyText"/>
        <w:numPr>
          <w:ilvl w:val="1"/>
          <w:numId w:val="3"/>
        </w:numPr>
      </w:pPr>
      <w:r>
        <w:t>To support the above operation, the UE needs to be able measure RSRP based on both the CRS and CSI-RS. The CRS is needed to select the correct shared cell and the CSI-RS to select the TP within the shared cell</w:t>
      </w:r>
    </w:p>
    <w:p w:rsidR="000043EC" w:rsidRDefault="000043EC" w:rsidP="000043EC">
      <w:pPr>
        <w:pStyle w:val="BodyText"/>
        <w:numPr>
          <w:ilvl w:val="0"/>
          <w:numId w:val="3"/>
        </w:numPr>
      </w:pPr>
      <w:r>
        <w:t>CA operation of shared cell</w:t>
      </w:r>
    </w:p>
    <w:p w:rsidR="000043EC" w:rsidRDefault="000043EC" w:rsidP="000043EC">
      <w:pPr>
        <w:pStyle w:val="BodyText"/>
        <w:numPr>
          <w:ilvl w:val="1"/>
          <w:numId w:val="3"/>
        </w:numPr>
      </w:pPr>
      <w:r>
        <w:lastRenderedPageBreak/>
        <w:t xml:space="preserve">Shared cells can in the future be extended with CA so that </w:t>
      </w:r>
      <w:proofErr w:type="gramStart"/>
      <w:r>
        <w:t>an</w:t>
      </w:r>
      <w:proofErr w:type="gramEnd"/>
      <w:r>
        <w:t xml:space="preserve"> </w:t>
      </w:r>
      <w:proofErr w:type="spellStart"/>
      <w:r>
        <w:t>SCell</w:t>
      </w:r>
      <w:proofErr w:type="spellEnd"/>
      <w:r>
        <w:t xml:space="preserve"> can be operated as a shared cell. In such a case, only the discovery signal may be needed to be transmitted on the </w:t>
      </w:r>
      <w:proofErr w:type="spellStart"/>
      <w:r>
        <w:t>SCell</w:t>
      </w:r>
      <w:proofErr w:type="spellEnd"/>
      <w:r>
        <w:t xml:space="preserve"> when the </w:t>
      </w:r>
      <w:proofErr w:type="spellStart"/>
      <w:r>
        <w:t>SCell</w:t>
      </w:r>
      <w:proofErr w:type="spellEnd"/>
      <w:r>
        <w:t xml:space="preserve"> is deactivated. </w:t>
      </w:r>
    </w:p>
    <w:p w:rsidR="000043EC" w:rsidRDefault="000043EC" w:rsidP="000043EC">
      <w:pPr>
        <w:pStyle w:val="BodyText"/>
        <w:numPr>
          <w:ilvl w:val="0"/>
          <w:numId w:val="3"/>
        </w:numPr>
      </w:pPr>
      <w:r>
        <w:t>Small cell on/off based on CA activation/deactivation</w:t>
      </w:r>
    </w:p>
    <w:p w:rsidR="000043EC" w:rsidRDefault="000043EC" w:rsidP="000043EC">
      <w:pPr>
        <w:pStyle w:val="BodyText"/>
        <w:numPr>
          <w:ilvl w:val="1"/>
          <w:numId w:val="3"/>
        </w:numPr>
      </w:pPr>
      <w:r>
        <w:t xml:space="preserve">Small cell on/off based on CA activation/deactivation is operated purely on </w:t>
      </w:r>
      <w:proofErr w:type="gramStart"/>
      <w:r>
        <w:t>an</w:t>
      </w:r>
      <w:proofErr w:type="gramEnd"/>
      <w:r>
        <w:t xml:space="preserve"> </w:t>
      </w:r>
      <w:proofErr w:type="spellStart"/>
      <w:r>
        <w:t>SCell</w:t>
      </w:r>
      <w:proofErr w:type="spellEnd"/>
      <w:r>
        <w:t>, hence the support of small cell on/off based on CA activation/deactivation assumes that the UE supports CA.</w:t>
      </w:r>
    </w:p>
    <w:p w:rsidR="000043EC" w:rsidRDefault="000043EC" w:rsidP="000043EC">
      <w:pPr>
        <w:pStyle w:val="BodyText"/>
        <w:numPr>
          <w:ilvl w:val="1"/>
          <w:numId w:val="3"/>
        </w:numPr>
      </w:pPr>
      <w:r>
        <w:t xml:space="preserve">Further it is required that the UE supports the discovery signal if cell selection and RRM measurements are to be performed for the </w:t>
      </w:r>
      <w:proofErr w:type="spellStart"/>
      <w:r>
        <w:t>SCell</w:t>
      </w:r>
      <w:proofErr w:type="spellEnd"/>
      <w:r>
        <w:t xml:space="preserve">. The reason is that the UE must assume that only the discovery signal is transmitted on the </w:t>
      </w:r>
      <w:proofErr w:type="spellStart"/>
      <w:r>
        <w:t>SCell</w:t>
      </w:r>
      <w:proofErr w:type="spellEnd"/>
      <w:r>
        <w:t xml:space="preserve"> when it is deactivated. </w:t>
      </w:r>
    </w:p>
    <w:p w:rsidR="000043EC" w:rsidRDefault="000043EC" w:rsidP="000043EC">
      <w:pPr>
        <w:pStyle w:val="BodyText"/>
      </w:pPr>
      <w:r>
        <w:t>Based on the above discussion, we propose to capture small cell on/off and discovery signal/procedure capabilities in the following manner:</w:t>
      </w:r>
    </w:p>
    <w:tbl>
      <w:tblPr>
        <w:tblW w:w="8812" w:type="dxa"/>
        <w:tblInd w:w="93" w:type="dxa"/>
        <w:tblLook w:val="04A0" w:firstRow="1" w:lastRow="0" w:firstColumn="1" w:lastColumn="0" w:noHBand="0" w:noVBand="1"/>
      </w:tblPr>
      <w:tblGrid>
        <w:gridCol w:w="1100"/>
        <w:gridCol w:w="680"/>
        <w:gridCol w:w="2140"/>
        <w:gridCol w:w="3608"/>
        <w:gridCol w:w="1284"/>
      </w:tblGrid>
      <w:tr w:rsidR="000043EC" w:rsidRPr="00F64177" w:rsidTr="00E14710">
        <w:trPr>
          <w:trHeight w:val="780"/>
        </w:trPr>
        <w:tc>
          <w:tcPr>
            <w:tcW w:w="1100" w:type="dxa"/>
            <w:tcBorders>
              <w:top w:val="single" w:sz="8" w:space="0" w:color="auto"/>
              <w:left w:val="single" w:sz="8" w:space="0" w:color="auto"/>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WI</w:t>
            </w:r>
          </w:p>
        </w:tc>
        <w:tc>
          <w:tcPr>
            <w:tcW w:w="680"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w:t>
            </w:r>
          </w:p>
        </w:tc>
        <w:tc>
          <w:tcPr>
            <w:tcW w:w="2140"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Feature group</w:t>
            </w:r>
          </w:p>
        </w:tc>
        <w:tc>
          <w:tcPr>
            <w:tcW w:w="3608"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Components</w:t>
            </w:r>
          </w:p>
        </w:tc>
        <w:tc>
          <w:tcPr>
            <w:tcW w:w="1284"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 xml:space="preserve">Prerequisite feature groups </w:t>
            </w:r>
            <w:r w:rsidRPr="00F64177">
              <w:rPr>
                <w:rFonts w:ascii="Arial" w:hAnsi="Arial" w:cs="Arial"/>
                <w:sz w:val="20"/>
                <w:szCs w:val="20"/>
              </w:rPr>
              <w:br/>
              <w:t>(listed in this sheet or Rel-8/9/10/11 features)</w:t>
            </w:r>
          </w:p>
        </w:tc>
      </w:tr>
      <w:tr w:rsidR="000043EC" w:rsidRPr="00F64177" w:rsidTr="00E14710">
        <w:trPr>
          <w:trHeight w:val="1035"/>
        </w:trPr>
        <w:tc>
          <w:tcPr>
            <w:tcW w:w="1100" w:type="dxa"/>
            <w:vMerge w:val="restart"/>
            <w:tcBorders>
              <w:top w:val="double" w:sz="6" w:space="0" w:color="auto"/>
              <w:left w:val="single" w:sz="8" w:space="0" w:color="auto"/>
              <w:bottom w:val="double" w:sz="6" w:space="0" w:color="000000"/>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 SCE Physical Layer</w:t>
            </w:r>
          </w:p>
        </w:tc>
        <w:tc>
          <w:tcPr>
            <w:tcW w:w="68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256QAM</w:t>
            </w:r>
          </w:p>
        </w:tc>
        <w:tc>
          <w:tcPr>
            <w:tcW w:w="3608"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1) 256QAM demodulation</w:t>
            </w:r>
            <w:r w:rsidRPr="00F64177">
              <w:rPr>
                <w:rFonts w:ascii="Arial" w:hAnsi="Arial" w:cs="Arial"/>
                <w:sz w:val="20"/>
                <w:szCs w:val="20"/>
              </w:rPr>
              <w:br/>
              <w:t>2) 256QAM CQI feedback</w:t>
            </w:r>
          </w:p>
        </w:tc>
        <w:tc>
          <w:tcPr>
            <w:tcW w:w="1284"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None</w:t>
            </w:r>
          </w:p>
        </w:tc>
      </w:tr>
      <w:tr w:rsidR="000043EC" w:rsidRPr="00F64177" w:rsidTr="00E14710">
        <w:trPr>
          <w:trHeight w:val="594"/>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3-2</w:t>
            </w:r>
          </w:p>
        </w:tc>
        <w:tc>
          <w:tcPr>
            <w:tcW w:w="214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Small cell on/off</w:t>
            </w:r>
          </w:p>
        </w:tc>
        <w:tc>
          <w:tcPr>
            <w:tcW w:w="3608"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 xml:space="preserve">Small cell on/off </w:t>
            </w:r>
            <w:r>
              <w:rPr>
                <w:rFonts w:ascii="Arial" w:hAnsi="Arial" w:cs="Arial"/>
                <w:sz w:val="20"/>
                <w:szCs w:val="20"/>
              </w:rPr>
              <w:t>based on CA activation/deactivation</w:t>
            </w:r>
          </w:p>
        </w:tc>
        <w:tc>
          <w:tcPr>
            <w:tcW w:w="1284"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CA, [3-3]</w:t>
            </w:r>
          </w:p>
        </w:tc>
      </w:tr>
      <w:tr w:rsidR="000043EC" w:rsidRPr="00F64177" w:rsidTr="00E14710">
        <w:trPr>
          <w:trHeight w:val="315"/>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3-3</w:t>
            </w:r>
          </w:p>
        </w:tc>
        <w:tc>
          <w:tcPr>
            <w:tcW w:w="214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Discovery signal/procedure</w:t>
            </w:r>
          </w:p>
        </w:tc>
        <w:tc>
          <w:tcPr>
            <w:tcW w:w="3608"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Discovery signal/procedure, including both CRS and CSI-RS RRM measurements support</w:t>
            </w:r>
          </w:p>
        </w:tc>
        <w:tc>
          <w:tcPr>
            <w:tcW w:w="1284"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TM10</w:t>
            </w:r>
          </w:p>
        </w:tc>
      </w:tr>
    </w:tbl>
    <w:p w:rsidR="000043EC" w:rsidRDefault="000043EC" w:rsidP="000043EC">
      <w:pPr>
        <w:pStyle w:val="Heading2"/>
      </w:pPr>
      <w:proofErr w:type="spellStart"/>
      <w:r>
        <w:t>ProSe</w:t>
      </w:r>
      <w:proofErr w:type="spellEnd"/>
    </w:p>
    <w:p w:rsidR="000043EC" w:rsidRDefault="000043EC" w:rsidP="000043EC">
      <w:pPr>
        <w:pStyle w:val="BodyText"/>
      </w:pPr>
      <w:r>
        <w:t xml:space="preserve">The </w:t>
      </w:r>
      <w:proofErr w:type="spellStart"/>
      <w:r>
        <w:t>ProSe</w:t>
      </w:r>
      <w:proofErr w:type="spellEnd"/>
      <w:r>
        <w:t xml:space="preserve"> capabilities have not yet been discusses as the feature is currently being designed. A general framework has been captured in </w:t>
      </w:r>
      <w:r>
        <w:fldChar w:fldCharType="begin"/>
      </w:r>
      <w:r>
        <w:instrText xml:space="preserve"> REF _Ref399347084 \r \h </w:instrText>
      </w:r>
      <w:r>
        <w:fldChar w:fldCharType="separate"/>
      </w:r>
      <w:r>
        <w:t>[1]</w:t>
      </w:r>
      <w:r>
        <w:fldChar w:fldCharType="end"/>
      </w:r>
      <w:r>
        <w:t xml:space="preserve">  for the UE capabilities. In this section we discuss the capabilities based on this framework.</w:t>
      </w:r>
    </w:p>
    <w:tbl>
      <w:tblPr>
        <w:tblW w:w="8946" w:type="dxa"/>
        <w:tblInd w:w="93" w:type="dxa"/>
        <w:tblLook w:val="04A0" w:firstRow="1" w:lastRow="0" w:firstColumn="1" w:lastColumn="0" w:noHBand="0" w:noVBand="1"/>
      </w:tblPr>
      <w:tblGrid>
        <w:gridCol w:w="1100"/>
        <w:gridCol w:w="680"/>
        <w:gridCol w:w="2140"/>
        <w:gridCol w:w="3183"/>
        <w:gridCol w:w="1843"/>
      </w:tblGrid>
      <w:tr w:rsidR="000043EC" w:rsidRPr="0016041A" w:rsidTr="00E14710">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0043EC" w:rsidRPr="0016041A" w:rsidTr="00E14710">
        <w:trPr>
          <w:trHeight w:val="1035"/>
        </w:trPr>
        <w:tc>
          <w:tcPr>
            <w:tcW w:w="1100" w:type="dxa"/>
            <w:vMerge w:val="restart"/>
            <w:tcBorders>
              <w:top w:val="double" w:sz="6" w:space="0" w:color="auto"/>
              <w:left w:val="single" w:sz="8" w:space="0" w:color="auto"/>
              <w:bottom w:val="double" w:sz="6" w:space="0" w:color="000000"/>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 D2D</w:t>
            </w:r>
          </w:p>
        </w:tc>
        <w:tc>
          <w:tcPr>
            <w:tcW w:w="68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[FFS] D2D Broadcast communication</w:t>
            </w:r>
          </w:p>
        </w:tc>
        <w:tc>
          <w:tcPr>
            <w:tcW w:w="3183"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[FFS] 1) Mode 1 resource allocation</w:t>
            </w:r>
            <w:r w:rsidRPr="0016041A">
              <w:rPr>
                <w:rFonts w:ascii="Arial" w:hAnsi="Arial" w:cs="Arial"/>
                <w:sz w:val="20"/>
                <w:szCs w:val="20"/>
              </w:rPr>
              <w:br/>
              <w:t>[FFS] 2) Mode 2 resource allocation</w:t>
            </w:r>
            <w:r w:rsidRPr="0016041A">
              <w:rPr>
                <w:rFonts w:ascii="Arial" w:hAnsi="Arial" w:cs="Arial"/>
                <w:sz w:val="20"/>
                <w:szCs w:val="20"/>
              </w:rPr>
              <w:br/>
              <w:t>[FFS] 3) D2D synchronization procedure</w:t>
            </w:r>
            <w:r w:rsidRPr="0016041A">
              <w:rPr>
                <w:rFonts w:ascii="Arial" w:hAnsi="Arial" w:cs="Arial"/>
                <w:sz w:val="20"/>
                <w:szCs w:val="20"/>
              </w:rPr>
              <w:br/>
              <w:t xml:space="preserve">[FFS] 4) D2D communication signal transmission and </w:t>
            </w:r>
            <w:r w:rsidRPr="0016041A">
              <w:rPr>
                <w:rFonts w:ascii="Arial" w:hAnsi="Arial" w:cs="Arial"/>
                <w:sz w:val="20"/>
                <w:szCs w:val="20"/>
              </w:rPr>
              <w:lastRenderedPageBreak/>
              <w:t>reception</w:t>
            </w:r>
          </w:p>
        </w:tc>
        <w:tc>
          <w:tcPr>
            <w:tcW w:w="1843"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lastRenderedPageBreak/>
              <w:t>None</w:t>
            </w:r>
          </w:p>
        </w:tc>
      </w:tr>
      <w:tr w:rsidR="000043EC" w:rsidRPr="0016041A" w:rsidTr="00E14710">
        <w:trPr>
          <w:trHeight w:val="1020"/>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16041A" w:rsidRDefault="000043EC" w:rsidP="00E14710">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4-2</w:t>
            </w:r>
          </w:p>
        </w:tc>
        <w:tc>
          <w:tcPr>
            <w:tcW w:w="2140"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[FFS] D2D discovery</w:t>
            </w:r>
          </w:p>
        </w:tc>
        <w:tc>
          <w:tcPr>
            <w:tcW w:w="3183"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[FFS] 1) Type 1 resource allocation</w:t>
            </w:r>
            <w:r w:rsidRPr="0016041A">
              <w:rPr>
                <w:rFonts w:ascii="Arial" w:hAnsi="Arial" w:cs="Arial"/>
                <w:sz w:val="20"/>
                <w:szCs w:val="20"/>
              </w:rPr>
              <w:br/>
              <w:t>[FFS] 2) Type 2 resource allocation</w:t>
            </w:r>
            <w:r w:rsidRPr="0016041A">
              <w:rPr>
                <w:rFonts w:ascii="Arial" w:hAnsi="Arial" w:cs="Arial"/>
                <w:sz w:val="20"/>
                <w:szCs w:val="20"/>
              </w:rPr>
              <w:br/>
              <w:t>[FFS] 3) D2D synchronization procedure</w:t>
            </w:r>
            <w:r w:rsidRPr="0016041A">
              <w:rPr>
                <w:rFonts w:ascii="Arial" w:hAnsi="Arial" w:cs="Arial"/>
                <w:sz w:val="20"/>
                <w:szCs w:val="20"/>
              </w:rPr>
              <w:br/>
              <w:t>[FFS] 4) D2D discovery signal transmission and reception</w:t>
            </w:r>
          </w:p>
        </w:tc>
        <w:tc>
          <w:tcPr>
            <w:tcW w:w="1843"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None</w:t>
            </w:r>
          </w:p>
        </w:tc>
      </w:tr>
      <w:tr w:rsidR="000043EC" w:rsidRPr="0016041A" w:rsidTr="00E14710">
        <w:trPr>
          <w:trHeight w:val="315"/>
        </w:trPr>
        <w:tc>
          <w:tcPr>
            <w:tcW w:w="1100" w:type="dxa"/>
            <w:vMerge/>
            <w:tcBorders>
              <w:top w:val="double" w:sz="6" w:space="0" w:color="auto"/>
              <w:left w:val="single" w:sz="8" w:space="0" w:color="auto"/>
              <w:bottom w:val="double" w:sz="6" w:space="0" w:color="000000"/>
              <w:right w:val="single" w:sz="4" w:space="0" w:color="auto"/>
            </w:tcBorders>
            <w:vAlign w:val="center"/>
            <w:hideMark/>
          </w:tcPr>
          <w:p w:rsidR="000043EC" w:rsidRPr="0016041A" w:rsidRDefault="000043EC" w:rsidP="00E14710">
            <w:pPr>
              <w:rPr>
                <w:rFonts w:ascii="Arial" w:hAnsi="Arial" w:cs="Arial"/>
                <w:sz w:val="20"/>
                <w:szCs w:val="20"/>
              </w:rPr>
            </w:pPr>
          </w:p>
        </w:tc>
        <w:tc>
          <w:tcPr>
            <w:tcW w:w="680" w:type="dxa"/>
            <w:tcBorders>
              <w:top w:val="nil"/>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4-3</w:t>
            </w:r>
          </w:p>
        </w:tc>
        <w:tc>
          <w:tcPr>
            <w:tcW w:w="2140" w:type="dxa"/>
            <w:tcBorders>
              <w:top w:val="nil"/>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 </w:t>
            </w:r>
          </w:p>
        </w:tc>
        <w:tc>
          <w:tcPr>
            <w:tcW w:w="3183" w:type="dxa"/>
            <w:tcBorders>
              <w:top w:val="nil"/>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 </w:t>
            </w:r>
          </w:p>
        </w:tc>
        <w:tc>
          <w:tcPr>
            <w:tcW w:w="1843" w:type="dxa"/>
            <w:tcBorders>
              <w:top w:val="nil"/>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 </w:t>
            </w:r>
          </w:p>
        </w:tc>
      </w:tr>
    </w:tbl>
    <w:p w:rsidR="000043EC" w:rsidRDefault="000043EC" w:rsidP="000043EC">
      <w:pPr>
        <w:pStyle w:val="BodyText"/>
      </w:pPr>
    </w:p>
    <w:p w:rsidR="000043EC" w:rsidRDefault="000043EC" w:rsidP="000043EC">
      <w:pPr>
        <w:pStyle w:val="BodyText"/>
      </w:pPr>
      <w:r>
        <w:t xml:space="preserve">The </w:t>
      </w:r>
      <w:proofErr w:type="spellStart"/>
      <w:r>
        <w:t>ProSe</w:t>
      </w:r>
      <w:proofErr w:type="spellEnd"/>
      <w:r>
        <w:t xml:space="preserve"> feature is based on the basic features broadcast communication and discovery. When the UE is operating either of the two features there is a need for the UE to support multiple different operational scenarios at once as the UE can either be in-, partial- or </w:t>
      </w:r>
      <w:proofErr w:type="spellStart"/>
      <w:r>
        <w:t>out.coverage</w:t>
      </w:r>
      <w:proofErr w:type="spellEnd"/>
      <w:r>
        <w:t>. For broadcast communication there is need for the UE to supported resource allocation mode 1 and 2 to be able to operate in both, in, partial and out of coverage scenario. Further it follows naturally that for broadcast communication and the UE needs to support the associated synchronization procedure together with the actual communication and reception of signals.</w:t>
      </w:r>
    </w:p>
    <w:p w:rsidR="000043EC" w:rsidRDefault="000043EC" w:rsidP="000043EC">
      <w:pPr>
        <w:pStyle w:val="BodyText"/>
      </w:pPr>
      <w:r>
        <w:t xml:space="preserve">For the discovery design, we see that the UE needs to support both the </w:t>
      </w:r>
      <w:proofErr w:type="spellStart"/>
      <w:r>
        <w:t>eNB</w:t>
      </w:r>
      <w:proofErr w:type="spellEnd"/>
      <w:r>
        <w:t xml:space="preserve"> controlled or/and </w:t>
      </w:r>
      <w:proofErr w:type="gramStart"/>
      <w:r>
        <w:t>the none</w:t>
      </w:r>
      <w:proofErr w:type="gramEnd"/>
      <w:r>
        <w:t xml:space="preserve"> </w:t>
      </w:r>
      <w:proofErr w:type="spellStart"/>
      <w:r>
        <w:t>eNB</w:t>
      </w:r>
      <w:proofErr w:type="spellEnd"/>
      <w:r>
        <w:t xml:space="preserve"> controlled resource allocation following same reasoning as for broadcast communication.</w:t>
      </w:r>
      <w:r w:rsidDel="00F45320">
        <w:t xml:space="preserve"> </w:t>
      </w:r>
    </w:p>
    <w:p w:rsidR="000043EC" w:rsidRDefault="000043EC" w:rsidP="000043EC">
      <w:pPr>
        <w:pStyle w:val="BodyText"/>
      </w:pPr>
      <w:r>
        <w:t xml:space="preserve">Based on the above discussion we propose the following capability design for </w:t>
      </w:r>
      <w:proofErr w:type="spellStart"/>
      <w:r>
        <w:t>ProSe</w:t>
      </w:r>
      <w:proofErr w:type="spellEnd"/>
      <w:r>
        <w:t>:</w:t>
      </w:r>
    </w:p>
    <w:tbl>
      <w:tblPr>
        <w:tblW w:w="8946" w:type="dxa"/>
        <w:tblInd w:w="93" w:type="dxa"/>
        <w:tblLook w:val="04A0" w:firstRow="1" w:lastRow="0" w:firstColumn="1" w:lastColumn="0" w:noHBand="0" w:noVBand="1"/>
      </w:tblPr>
      <w:tblGrid>
        <w:gridCol w:w="1100"/>
        <w:gridCol w:w="680"/>
        <w:gridCol w:w="2140"/>
        <w:gridCol w:w="3183"/>
        <w:gridCol w:w="1843"/>
      </w:tblGrid>
      <w:tr w:rsidR="000043EC" w:rsidTr="00E14710">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0043EC" w:rsidRPr="0016041A" w:rsidTr="00E14710">
        <w:trPr>
          <w:trHeight w:val="1035"/>
        </w:trPr>
        <w:tc>
          <w:tcPr>
            <w:tcW w:w="1100" w:type="dxa"/>
            <w:vMerge w:val="restart"/>
            <w:tcBorders>
              <w:top w:val="double" w:sz="6" w:space="0" w:color="auto"/>
              <w:left w:val="single" w:sz="8"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 xml:space="preserve">4. </w:t>
            </w:r>
            <w:proofErr w:type="spellStart"/>
            <w:r>
              <w:rPr>
                <w:rFonts w:ascii="Arial" w:hAnsi="Arial" w:cs="Arial"/>
                <w:sz w:val="20"/>
                <w:szCs w:val="20"/>
              </w:rPr>
              <w:t>ProSe</w:t>
            </w:r>
            <w:proofErr w:type="spellEnd"/>
          </w:p>
        </w:tc>
        <w:tc>
          <w:tcPr>
            <w:tcW w:w="68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proofErr w:type="spellStart"/>
            <w:r>
              <w:rPr>
                <w:rFonts w:ascii="Arial" w:hAnsi="Arial" w:cs="Arial"/>
                <w:sz w:val="20"/>
                <w:szCs w:val="20"/>
              </w:rPr>
              <w:t>ProSe</w:t>
            </w:r>
            <w:proofErr w:type="spellEnd"/>
            <w:r w:rsidRPr="0016041A">
              <w:rPr>
                <w:rFonts w:ascii="Arial" w:hAnsi="Arial" w:cs="Arial"/>
                <w:sz w:val="20"/>
                <w:szCs w:val="20"/>
              </w:rPr>
              <w:t xml:space="preserve"> Broadcast communication</w:t>
            </w:r>
          </w:p>
        </w:tc>
        <w:tc>
          <w:tcPr>
            <w:tcW w:w="3183"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1) Mode 1 resource allocation</w:t>
            </w:r>
            <w:r w:rsidRPr="0016041A">
              <w:rPr>
                <w:rFonts w:ascii="Arial" w:hAnsi="Arial" w:cs="Arial"/>
                <w:sz w:val="20"/>
                <w:szCs w:val="20"/>
              </w:rPr>
              <w:br/>
              <w:t>2) Mode 2 resource allocation</w:t>
            </w:r>
            <w:r w:rsidRPr="0016041A">
              <w:rPr>
                <w:rFonts w:ascii="Arial" w:hAnsi="Arial" w:cs="Arial"/>
                <w:sz w:val="20"/>
                <w:szCs w:val="20"/>
              </w:rPr>
              <w:br/>
              <w:t xml:space="preserve">3) </w:t>
            </w:r>
            <w:proofErr w:type="spellStart"/>
            <w:r>
              <w:rPr>
                <w:rFonts w:ascii="Arial" w:hAnsi="Arial" w:cs="Arial"/>
                <w:sz w:val="20"/>
                <w:szCs w:val="20"/>
              </w:rPr>
              <w:t>ProSe</w:t>
            </w:r>
            <w:proofErr w:type="spellEnd"/>
            <w:r w:rsidRPr="0016041A">
              <w:rPr>
                <w:rFonts w:ascii="Arial" w:hAnsi="Arial" w:cs="Arial"/>
                <w:sz w:val="20"/>
                <w:szCs w:val="20"/>
              </w:rPr>
              <w:t xml:space="preserve"> synchronization procedure</w:t>
            </w:r>
            <w:r w:rsidRPr="0016041A">
              <w:rPr>
                <w:rFonts w:ascii="Arial" w:hAnsi="Arial" w:cs="Arial"/>
                <w:sz w:val="20"/>
                <w:szCs w:val="20"/>
              </w:rPr>
              <w:br/>
            </w:r>
            <w:r>
              <w:rPr>
                <w:rFonts w:ascii="Arial" w:hAnsi="Arial" w:cs="Arial"/>
                <w:sz w:val="20"/>
                <w:szCs w:val="20"/>
              </w:rPr>
              <w:t xml:space="preserve">4) </w:t>
            </w:r>
            <w:proofErr w:type="spellStart"/>
            <w:r>
              <w:rPr>
                <w:rFonts w:ascii="Arial" w:hAnsi="Arial" w:cs="Arial"/>
                <w:sz w:val="20"/>
                <w:szCs w:val="20"/>
              </w:rPr>
              <w:t>ProSe</w:t>
            </w:r>
            <w:proofErr w:type="spellEnd"/>
            <w:r w:rsidRPr="0016041A">
              <w:rPr>
                <w:rFonts w:ascii="Arial" w:hAnsi="Arial" w:cs="Arial"/>
                <w:sz w:val="20"/>
                <w:szCs w:val="20"/>
              </w:rPr>
              <w:t xml:space="preserve"> communication signal transmission and reception</w:t>
            </w:r>
          </w:p>
        </w:tc>
        <w:tc>
          <w:tcPr>
            <w:tcW w:w="1843"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None</w:t>
            </w:r>
          </w:p>
        </w:tc>
      </w:tr>
      <w:tr w:rsidR="000043EC" w:rsidRPr="0016041A" w:rsidTr="00E14710">
        <w:trPr>
          <w:trHeight w:val="1020"/>
        </w:trPr>
        <w:tc>
          <w:tcPr>
            <w:tcW w:w="1100" w:type="dxa"/>
            <w:vMerge/>
            <w:tcBorders>
              <w:left w:val="single" w:sz="8" w:space="0" w:color="auto"/>
              <w:bottom w:val="single" w:sz="4" w:space="0" w:color="auto"/>
              <w:right w:val="single" w:sz="4" w:space="0" w:color="auto"/>
            </w:tcBorders>
            <w:vAlign w:val="center"/>
            <w:hideMark/>
          </w:tcPr>
          <w:p w:rsidR="000043EC" w:rsidRPr="0016041A" w:rsidRDefault="000043EC" w:rsidP="00E14710">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4-2</w:t>
            </w:r>
          </w:p>
        </w:tc>
        <w:tc>
          <w:tcPr>
            <w:tcW w:w="2140"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proofErr w:type="spellStart"/>
            <w:r>
              <w:rPr>
                <w:rFonts w:ascii="Arial" w:hAnsi="Arial" w:cs="Arial"/>
                <w:sz w:val="20"/>
                <w:szCs w:val="20"/>
              </w:rPr>
              <w:t>ProSe</w:t>
            </w:r>
            <w:proofErr w:type="spellEnd"/>
            <w:r w:rsidRPr="0016041A">
              <w:rPr>
                <w:rFonts w:ascii="Arial" w:hAnsi="Arial" w:cs="Arial"/>
                <w:sz w:val="20"/>
                <w:szCs w:val="20"/>
              </w:rPr>
              <w:t xml:space="preserve"> discovery</w:t>
            </w:r>
          </w:p>
        </w:tc>
        <w:tc>
          <w:tcPr>
            <w:tcW w:w="3183" w:type="dxa"/>
            <w:tcBorders>
              <w:top w:val="nil"/>
              <w:left w:val="nil"/>
              <w:bottom w:val="single" w:sz="4" w:space="0" w:color="auto"/>
              <w:right w:val="single" w:sz="4" w:space="0" w:color="auto"/>
            </w:tcBorders>
            <w:shd w:val="clear" w:color="auto" w:fill="auto"/>
            <w:hideMark/>
          </w:tcPr>
          <w:p w:rsidR="000043EC" w:rsidRPr="00AB7A0C" w:rsidRDefault="000043EC" w:rsidP="00E14710">
            <w:pPr>
              <w:rPr>
                <w:rFonts w:ascii="Arial" w:hAnsi="Arial" w:cs="Arial"/>
                <w:sz w:val="20"/>
                <w:szCs w:val="20"/>
              </w:rPr>
            </w:pPr>
            <w:r>
              <w:rPr>
                <w:rFonts w:ascii="Arial" w:hAnsi="Arial" w:cs="Arial"/>
                <w:sz w:val="20"/>
                <w:szCs w:val="20"/>
              </w:rPr>
              <w:t xml:space="preserve">1) </w:t>
            </w:r>
            <w:proofErr w:type="spellStart"/>
            <w:r w:rsidRPr="00AB7A0C">
              <w:rPr>
                <w:rFonts w:ascii="Arial" w:hAnsi="Arial" w:cs="Arial"/>
                <w:sz w:val="20"/>
                <w:szCs w:val="20"/>
              </w:rPr>
              <w:t>ProSe</w:t>
            </w:r>
            <w:proofErr w:type="spellEnd"/>
            <w:r w:rsidRPr="00AB7A0C">
              <w:rPr>
                <w:rFonts w:ascii="Arial" w:hAnsi="Arial" w:cs="Arial"/>
                <w:sz w:val="20"/>
                <w:szCs w:val="20"/>
              </w:rPr>
              <w:t xml:space="preserve"> </w:t>
            </w:r>
            <w:proofErr w:type="spellStart"/>
            <w:r w:rsidRPr="00AB7A0C">
              <w:rPr>
                <w:rFonts w:ascii="Arial" w:hAnsi="Arial" w:cs="Arial"/>
                <w:sz w:val="20"/>
                <w:szCs w:val="20"/>
              </w:rPr>
              <w:t>discovey</w:t>
            </w:r>
            <w:proofErr w:type="spellEnd"/>
            <w:r w:rsidRPr="00AB7A0C">
              <w:rPr>
                <w:rFonts w:ascii="Arial" w:hAnsi="Arial" w:cs="Arial"/>
                <w:sz w:val="20"/>
                <w:szCs w:val="20"/>
              </w:rPr>
              <w:t xml:space="preserve"> type 2 resource allocation</w:t>
            </w:r>
          </w:p>
          <w:p w:rsidR="000043EC" w:rsidRDefault="000043EC" w:rsidP="00E14710">
            <w:pPr>
              <w:rPr>
                <w:rFonts w:ascii="Arial" w:hAnsi="Arial" w:cs="Arial"/>
                <w:sz w:val="20"/>
                <w:szCs w:val="20"/>
              </w:rPr>
            </w:pPr>
            <w:r>
              <w:rPr>
                <w:rFonts w:ascii="Arial" w:hAnsi="Arial" w:cs="Arial"/>
                <w:sz w:val="20"/>
                <w:szCs w:val="20"/>
              </w:rPr>
              <w:t xml:space="preserve">2) </w:t>
            </w:r>
            <w:proofErr w:type="spellStart"/>
            <w:r>
              <w:rPr>
                <w:rFonts w:ascii="Arial" w:hAnsi="Arial" w:cs="Arial"/>
                <w:sz w:val="20"/>
                <w:szCs w:val="20"/>
              </w:rPr>
              <w:t>ProSe</w:t>
            </w:r>
            <w:proofErr w:type="spellEnd"/>
            <w:r>
              <w:rPr>
                <w:rFonts w:ascii="Arial" w:hAnsi="Arial" w:cs="Arial"/>
                <w:sz w:val="20"/>
                <w:szCs w:val="20"/>
              </w:rPr>
              <w:t xml:space="preserve"> </w:t>
            </w:r>
            <w:proofErr w:type="spellStart"/>
            <w:r>
              <w:rPr>
                <w:rFonts w:ascii="Arial" w:hAnsi="Arial" w:cs="Arial"/>
                <w:sz w:val="20"/>
                <w:szCs w:val="20"/>
              </w:rPr>
              <w:t>discovey</w:t>
            </w:r>
            <w:proofErr w:type="spellEnd"/>
            <w:r>
              <w:rPr>
                <w:rFonts w:ascii="Arial" w:hAnsi="Arial" w:cs="Arial"/>
                <w:sz w:val="20"/>
                <w:szCs w:val="20"/>
              </w:rPr>
              <w:t xml:space="preserve"> type 1 resource allocation</w:t>
            </w:r>
          </w:p>
          <w:p w:rsidR="000043EC" w:rsidRPr="0016041A" w:rsidRDefault="000043EC" w:rsidP="00E14710">
            <w:pPr>
              <w:rPr>
                <w:rFonts w:ascii="Arial" w:hAnsi="Arial" w:cs="Arial"/>
                <w:sz w:val="20"/>
                <w:szCs w:val="20"/>
              </w:rPr>
            </w:pPr>
            <w:r>
              <w:rPr>
                <w:rFonts w:ascii="Arial" w:hAnsi="Arial" w:cs="Arial"/>
                <w:sz w:val="20"/>
                <w:szCs w:val="20"/>
              </w:rPr>
              <w:t>3</w:t>
            </w:r>
            <w:r w:rsidRPr="0016041A">
              <w:rPr>
                <w:rFonts w:ascii="Arial" w:hAnsi="Arial" w:cs="Arial"/>
                <w:sz w:val="20"/>
                <w:szCs w:val="20"/>
              </w:rPr>
              <w:t>) D2D synchronization procedure</w:t>
            </w:r>
            <w:r w:rsidRPr="0016041A">
              <w:rPr>
                <w:rFonts w:ascii="Arial" w:hAnsi="Arial" w:cs="Arial"/>
                <w:sz w:val="20"/>
                <w:szCs w:val="20"/>
              </w:rPr>
              <w:br/>
            </w:r>
            <w:r>
              <w:rPr>
                <w:rFonts w:ascii="Arial" w:hAnsi="Arial" w:cs="Arial"/>
                <w:sz w:val="20"/>
                <w:szCs w:val="20"/>
              </w:rPr>
              <w:t>4</w:t>
            </w:r>
            <w:r w:rsidRPr="0016041A">
              <w:rPr>
                <w:rFonts w:ascii="Arial" w:hAnsi="Arial" w:cs="Arial"/>
                <w:sz w:val="20"/>
                <w:szCs w:val="20"/>
              </w:rPr>
              <w:t>) D2D discovery signal transmission and reception</w:t>
            </w:r>
          </w:p>
        </w:tc>
        <w:tc>
          <w:tcPr>
            <w:tcW w:w="1843" w:type="dxa"/>
            <w:tcBorders>
              <w:top w:val="nil"/>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None</w:t>
            </w:r>
          </w:p>
        </w:tc>
      </w:tr>
    </w:tbl>
    <w:p w:rsidR="000043EC" w:rsidRDefault="000043EC" w:rsidP="000043EC">
      <w:pPr>
        <w:pStyle w:val="BodyText"/>
      </w:pPr>
    </w:p>
    <w:p w:rsidR="000043EC" w:rsidRDefault="000043EC" w:rsidP="000043EC">
      <w:pPr>
        <w:pStyle w:val="Heading2"/>
      </w:pPr>
      <w:r>
        <w:t>NAICS</w:t>
      </w:r>
    </w:p>
    <w:p w:rsidR="000043EC" w:rsidRPr="00F87CF8" w:rsidRDefault="000043EC" w:rsidP="000043EC">
      <w:pPr>
        <w:pStyle w:val="BodyText"/>
      </w:pPr>
      <w:r>
        <w:t>Core specification portion of the NAICS work item will be essentially complete as of RAN1#78bis, and so features to be included in NAICS UE capability are relatively clear. The agreement after RAN1#78 on NAICS capability is captured below</w:t>
      </w:r>
      <w:r w:rsidRPr="00F87CF8">
        <w:t xml:space="preserve"> </w:t>
      </w:r>
      <w:r>
        <w:fldChar w:fldCharType="begin"/>
      </w:r>
      <w:r>
        <w:instrText xml:space="preserve"> REF _Ref399347084 \r \h </w:instrText>
      </w:r>
      <w:r>
        <w:fldChar w:fldCharType="separate"/>
      </w:r>
      <w:r>
        <w:t>[1]</w:t>
      </w:r>
      <w:r>
        <w:fldChar w:fldCharType="end"/>
      </w:r>
      <w:r w:rsidRPr="00F87CF8">
        <w:t>:</w:t>
      </w:r>
    </w:p>
    <w:tbl>
      <w:tblPr>
        <w:tblW w:w="8946" w:type="dxa"/>
        <w:tblInd w:w="93" w:type="dxa"/>
        <w:tblLook w:val="04A0" w:firstRow="1" w:lastRow="0" w:firstColumn="1" w:lastColumn="0" w:noHBand="0" w:noVBand="1"/>
      </w:tblPr>
      <w:tblGrid>
        <w:gridCol w:w="1100"/>
        <w:gridCol w:w="680"/>
        <w:gridCol w:w="2140"/>
        <w:gridCol w:w="3183"/>
        <w:gridCol w:w="1843"/>
      </w:tblGrid>
      <w:tr w:rsidR="000043EC" w:rsidTr="00E14710">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lastRenderedPageBreak/>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0043EC" w:rsidRPr="0016041A" w:rsidTr="00E14710">
        <w:trPr>
          <w:trHeight w:val="1035"/>
        </w:trPr>
        <w:tc>
          <w:tcPr>
            <w:tcW w:w="1100" w:type="dxa"/>
            <w:tcBorders>
              <w:top w:val="double" w:sz="6" w:space="0" w:color="auto"/>
              <w:left w:val="single" w:sz="8" w:space="0" w:color="auto"/>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5. NW assisted IC for LTE</w:t>
            </w:r>
          </w:p>
          <w:p w:rsidR="000043EC" w:rsidRPr="0016041A" w:rsidRDefault="000043EC" w:rsidP="00E14710">
            <w:pPr>
              <w:rPr>
                <w:rFonts w:ascii="Arial" w:hAnsi="Arial" w:cs="Arial"/>
                <w:sz w:val="20"/>
                <w:szCs w:val="20"/>
              </w:rPr>
            </w:pPr>
            <w:r>
              <w:rPr>
                <w:rFonts w:ascii="Arial" w:hAnsi="Arial" w:cs="Arial"/>
                <w:sz w:val="20"/>
                <w:szCs w:val="20"/>
              </w:rPr>
              <w:t>5. NW assisted IC for LTE</w:t>
            </w:r>
          </w:p>
        </w:tc>
        <w:tc>
          <w:tcPr>
            <w:tcW w:w="680"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5-1</w:t>
            </w:r>
          </w:p>
        </w:tc>
        <w:tc>
          <w:tcPr>
            <w:tcW w:w="2140"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[FFS] PDSCH interference handling</w:t>
            </w:r>
          </w:p>
        </w:tc>
        <w:tc>
          <w:tcPr>
            <w:tcW w:w="3183"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1) PDSCH interference cancellation/suppression ([FFS: 4 CRS APs for CRS-based TMs])</w:t>
            </w:r>
            <w:r>
              <w:rPr>
                <w:rFonts w:ascii="Arial" w:hAnsi="Arial" w:cs="Arial"/>
                <w:sz w:val="20"/>
                <w:szCs w:val="20"/>
              </w:rPr>
              <w:br/>
              <w:t>2) CRS-IC</w:t>
            </w:r>
          </w:p>
        </w:tc>
        <w:tc>
          <w:tcPr>
            <w:tcW w:w="1843"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None</w:t>
            </w:r>
          </w:p>
        </w:tc>
      </w:tr>
    </w:tbl>
    <w:p w:rsidR="000043EC" w:rsidRDefault="000043EC" w:rsidP="000043EC">
      <w:pPr>
        <w:pStyle w:val="BodyText"/>
      </w:pPr>
    </w:p>
    <w:p w:rsidR="000043EC" w:rsidRDefault="000043EC" w:rsidP="000043EC">
      <w:pPr>
        <w:pStyle w:val="BodyText"/>
      </w:pPr>
      <w:r>
        <w:t>Whether NAICS capable UEs that also support carrier aggregation simultaneously support NAICS on all carriers or on a subset of carriers that the UE supports was discussed in RAN1#78.  Given the relatively high complexity of the NAICS feature, it seems reasonable to define a capability supporting NAICS on a subset of the UE’s configured carriers.  A simple capability indicating the number of carriers supported by NAICS should allow the network to flexibly configure the UE as well as allow UE implementations to have a reasonable progression of complexity.  Therefore, we propose that NAICS UE capability indicate the number of carriers on which the UE can operate NAICS simultaneously.</w:t>
      </w:r>
    </w:p>
    <w:p w:rsidR="000043EC" w:rsidRDefault="000043EC" w:rsidP="000043EC">
      <w:pPr>
        <w:pStyle w:val="BodyText"/>
      </w:pPr>
      <w:r>
        <w:t>Regarding the FFS in the table:</w:t>
      </w:r>
    </w:p>
    <w:p w:rsidR="000043EC" w:rsidRDefault="000043EC" w:rsidP="000043EC">
      <w:pPr>
        <w:pStyle w:val="BodyText"/>
        <w:numPr>
          <w:ilvl w:val="0"/>
          <w:numId w:val="5"/>
        </w:numPr>
      </w:pPr>
      <w:r>
        <w:t>According to RAN4’s LS to RAN1 from RAN1#78, RAN4 may continue the study of 4 CRS APs for CRS-based TMs during its work on NAICS performance specifications.  Since UE capability is to be concluded in RAN1#78bis, and noting that all signaling necessary for 4 CRS port NAICS functionality is already specified, a UE capability for 4 CRS ports is the safest approach to avoid pre-empting RAN4’s decisions on the feasibility of NAICS for 4 CRS ports in Rel-12.  In this way, if RAN4 concludes that 4 CRS are feasible in Rel-12 UEs and develops the performance requirements, any UE will be able to indicate the capability, whereas if 4 CRS are found infeasible, no Rel-12 UE will required to indicate 4 CRS port NAICS capability.  Since some companies identified complexity as a concern for Rel-12 UEs (but not necessarily later release UEs) to implement 4 CRS port NAICS, a second benefit of the capability would be to implement 4 CRS ports according to when the UE’s processing evolves to permit 4 CRS operation. With the above understanding it would then be feasible also to remove the FFS point.</w:t>
      </w:r>
    </w:p>
    <w:p w:rsidR="000043EC" w:rsidRDefault="000043EC" w:rsidP="000043EC">
      <w:pPr>
        <w:pStyle w:val="BodyText"/>
      </w:pPr>
      <w:r>
        <w:t xml:space="preserve">Regarding the prerequisite feature groups, NAICS has been designed as a stand-alone feature.  While it is similar to features such as Rel-11 PBCH/SSS/PSS cancellation and Rel-11 CRS-IC, NAICS was designed without making assumptions specific to these features.  No assumptions were made that downlink control channels were cancelled, and the NAICS core specifications discussions did not address operation with multiple CSI subframe sets configured (in contrast to Rel-11 CRS-IC).  Therefore, while UEs could be likely to support Rel-11 PBCH/SSS/PSS interference cancellation and Rel-11 CRS-IC, NAICS </w:t>
      </w:r>
      <w:proofErr w:type="gramStart"/>
      <w:r>
        <w:t>functionality</w:t>
      </w:r>
      <w:proofErr w:type="gramEnd"/>
      <w:r>
        <w:t xml:space="preserve"> does not automatically imply this.</w:t>
      </w:r>
    </w:p>
    <w:p w:rsidR="000043EC" w:rsidRDefault="000043EC" w:rsidP="000043EC">
      <w:pPr>
        <w:pStyle w:val="BodyText"/>
      </w:pPr>
      <w:r>
        <w:t xml:space="preserve">While NAICS did not address operation with multiple CSI subframe sets, it does assume that CRS-IC is used in every scheduled subframe (as indicated by RAN4 in its LS to RAN1 </w:t>
      </w:r>
      <w:r>
        <w:fldChar w:fldCharType="begin"/>
      </w:r>
      <w:r>
        <w:instrText xml:space="preserve"> REF _Ref399356155 \r \h </w:instrText>
      </w:r>
      <w:r>
        <w:fldChar w:fldCharType="separate"/>
      </w:r>
      <w:r>
        <w:t>[2]</w:t>
      </w:r>
      <w:r>
        <w:fldChar w:fldCharType="end"/>
      </w:r>
      <w:r>
        <w:t xml:space="preserve"> and captured in the components part of the current agreement above).  Consequently, this use of the term ‘CRS-IC’ may be somewhat ambiguous with respect to Rel-11 CRS-IC capability.  Therefore, we propose that component 2 of NAICS UE capability be “CRS-IC in every scheduled subframe”.</w:t>
      </w:r>
    </w:p>
    <w:p w:rsidR="000043EC" w:rsidRDefault="000043EC" w:rsidP="000043EC">
      <w:pPr>
        <w:pStyle w:val="BodyText"/>
        <w:spacing w:after="0"/>
      </w:pPr>
      <w:r>
        <w:t>To summarize, our proposals for NAICS are as follows and captured in the table below:</w:t>
      </w:r>
    </w:p>
    <w:p w:rsidR="000043EC" w:rsidRDefault="000043EC" w:rsidP="000043EC">
      <w:pPr>
        <w:pStyle w:val="BodyText"/>
        <w:numPr>
          <w:ilvl w:val="0"/>
          <w:numId w:val="6"/>
        </w:numPr>
        <w:spacing w:after="0"/>
      </w:pPr>
      <w:r>
        <w:lastRenderedPageBreak/>
        <w:t>UE capability indicates the number of carriers on which the UE can operate NAICS simultaneously.</w:t>
      </w:r>
    </w:p>
    <w:p w:rsidR="000043EC" w:rsidRDefault="000043EC" w:rsidP="000043EC">
      <w:pPr>
        <w:pStyle w:val="BodyText"/>
        <w:numPr>
          <w:ilvl w:val="0"/>
          <w:numId w:val="6"/>
        </w:numPr>
        <w:spacing w:after="0"/>
      </w:pPr>
      <w:r>
        <w:t>The feature group label for NAICS is “PDSCH interference handling”</w:t>
      </w:r>
    </w:p>
    <w:p w:rsidR="000043EC" w:rsidRDefault="000043EC" w:rsidP="000043EC">
      <w:pPr>
        <w:pStyle w:val="BodyText"/>
        <w:numPr>
          <w:ilvl w:val="0"/>
          <w:numId w:val="6"/>
        </w:numPr>
        <w:spacing w:after="0"/>
      </w:pPr>
      <w:r>
        <w:t>A UE capability is defined within NAICS for 4 CRS antenna ports for CRS based TMs</w:t>
      </w:r>
    </w:p>
    <w:p w:rsidR="000043EC" w:rsidRDefault="000043EC" w:rsidP="000043EC">
      <w:pPr>
        <w:pStyle w:val="BodyText"/>
        <w:numPr>
          <w:ilvl w:val="1"/>
          <w:numId w:val="6"/>
        </w:numPr>
        <w:spacing w:after="0"/>
      </w:pPr>
      <w:r>
        <w:t xml:space="preserve">This avoids pre-empting RAN4’s decisions on the feasibility of 4 CRS ports, as well as allows UEs to support NAICS as their processing capability evolves. </w:t>
      </w:r>
    </w:p>
    <w:p w:rsidR="000043EC" w:rsidRDefault="000043EC" w:rsidP="000043EC">
      <w:pPr>
        <w:pStyle w:val="BodyText"/>
        <w:numPr>
          <w:ilvl w:val="0"/>
          <w:numId w:val="6"/>
        </w:numPr>
        <w:spacing w:after="0"/>
      </w:pPr>
      <w:r>
        <w:t>Basic NAICS capability is defined without prerequisite feature groups.</w:t>
      </w:r>
    </w:p>
    <w:p w:rsidR="000043EC" w:rsidRDefault="000043EC" w:rsidP="000043EC">
      <w:pPr>
        <w:pStyle w:val="BodyText"/>
        <w:numPr>
          <w:ilvl w:val="0"/>
          <w:numId w:val="6"/>
        </w:numPr>
      </w:pPr>
      <w:r>
        <w:t>Component 2) of NAICS capability is clarified as “CRS-IC in every scheduled subframe”.</w:t>
      </w:r>
    </w:p>
    <w:p w:rsidR="000043EC" w:rsidRDefault="000043EC" w:rsidP="000043EC">
      <w:pPr>
        <w:pStyle w:val="BodyText"/>
      </w:pPr>
    </w:p>
    <w:tbl>
      <w:tblPr>
        <w:tblW w:w="8946" w:type="dxa"/>
        <w:tblInd w:w="93" w:type="dxa"/>
        <w:tblLook w:val="04A0" w:firstRow="1" w:lastRow="0" w:firstColumn="1" w:lastColumn="0" w:noHBand="0" w:noVBand="1"/>
      </w:tblPr>
      <w:tblGrid>
        <w:gridCol w:w="1100"/>
        <w:gridCol w:w="680"/>
        <w:gridCol w:w="2140"/>
        <w:gridCol w:w="3183"/>
        <w:gridCol w:w="1843"/>
      </w:tblGrid>
      <w:tr w:rsidR="000043EC" w:rsidTr="00E14710">
        <w:trPr>
          <w:trHeight w:val="1035"/>
        </w:trPr>
        <w:tc>
          <w:tcPr>
            <w:tcW w:w="1100" w:type="dxa"/>
            <w:tcBorders>
              <w:top w:val="double" w:sz="6" w:space="0" w:color="auto"/>
              <w:left w:val="single" w:sz="8" w:space="0" w:color="auto"/>
              <w:bottom w:val="double" w:sz="6" w:space="0" w:color="000000"/>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WI</w:t>
            </w:r>
          </w:p>
        </w:tc>
        <w:tc>
          <w:tcPr>
            <w:tcW w:w="68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w:t>
            </w:r>
          </w:p>
        </w:tc>
        <w:tc>
          <w:tcPr>
            <w:tcW w:w="2140"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Feature group</w:t>
            </w:r>
          </w:p>
        </w:tc>
        <w:tc>
          <w:tcPr>
            <w:tcW w:w="318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Components</w:t>
            </w:r>
          </w:p>
        </w:tc>
        <w:tc>
          <w:tcPr>
            <w:tcW w:w="1843" w:type="dxa"/>
            <w:tcBorders>
              <w:top w:val="double" w:sz="6" w:space="0" w:color="auto"/>
              <w:left w:val="nil"/>
              <w:bottom w:val="single" w:sz="4" w:space="0" w:color="auto"/>
              <w:right w:val="single" w:sz="4" w:space="0" w:color="auto"/>
            </w:tcBorders>
            <w:shd w:val="clear" w:color="auto" w:fill="8DB3E2" w:themeFill="text2" w:themeFillTint="66"/>
            <w:vAlign w:val="center"/>
          </w:tcPr>
          <w:p w:rsidR="000043EC" w:rsidRDefault="000043EC" w:rsidP="00E14710">
            <w:pPr>
              <w:jc w:val="center"/>
              <w:rPr>
                <w:rFonts w:ascii="Arial" w:hAnsi="Arial" w:cs="Arial"/>
                <w:sz w:val="20"/>
                <w:szCs w:val="20"/>
              </w:rPr>
            </w:pPr>
            <w:r>
              <w:rPr>
                <w:rFonts w:ascii="Arial" w:hAnsi="Arial" w:cs="Arial"/>
                <w:sz w:val="20"/>
                <w:szCs w:val="20"/>
              </w:rPr>
              <w:t xml:space="preserve">Prerequisite feature groups </w:t>
            </w:r>
            <w:r>
              <w:rPr>
                <w:rFonts w:ascii="Arial" w:hAnsi="Arial" w:cs="Arial"/>
                <w:sz w:val="20"/>
                <w:szCs w:val="20"/>
              </w:rPr>
              <w:br/>
              <w:t>(listed in this sheet or Rel-8/9/10/11 features)</w:t>
            </w:r>
          </w:p>
        </w:tc>
      </w:tr>
      <w:tr w:rsidR="000043EC" w:rsidRPr="0016041A" w:rsidTr="00E14710">
        <w:trPr>
          <w:trHeight w:val="1035"/>
        </w:trPr>
        <w:tc>
          <w:tcPr>
            <w:tcW w:w="1100" w:type="dxa"/>
            <w:vMerge w:val="restart"/>
            <w:tcBorders>
              <w:top w:val="double" w:sz="6" w:space="0" w:color="auto"/>
              <w:left w:val="single" w:sz="8"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5. NW assisted IC for LTE</w:t>
            </w:r>
          </w:p>
          <w:p w:rsidR="000043EC" w:rsidRPr="0016041A" w:rsidRDefault="000043EC" w:rsidP="00E14710">
            <w:pPr>
              <w:rPr>
                <w:rFonts w:ascii="Arial" w:hAnsi="Arial" w:cs="Arial"/>
                <w:sz w:val="20"/>
                <w:szCs w:val="20"/>
              </w:rPr>
            </w:pPr>
          </w:p>
        </w:tc>
        <w:tc>
          <w:tcPr>
            <w:tcW w:w="680"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5-1</w:t>
            </w:r>
          </w:p>
        </w:tc>
        <w:tc>
          <w:tcPr>
            <w:tcW w:w="2140"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PDSCH interference handling</w:t>
            </w:r>
          </w:p>
        </w:tc>
        <w:tc>
          <w:tcPr>
            <w:tcW w:w="3183"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1) PDSCH interference cancellation/suppression</w:t>
            </w:r>
            <w:r>
              <w:rPr>
                <w:rFonts w:ascii="Arial" w:hAnsi="Arial" w:cs="Arial"/>
                <w:sz w:val="20"/>
                <w:szCs w:val="20"/>
              </w:rPr>
              <w:br/>
              <w:t>2) CRS-IC</w:t>
            </w:r>
            <w:r>
              <w:t xml:space="preserve"> </w:t>
            </w:r>
            <w:r w:rsidRPr="00080AE1">
              <w:rPr>
                <w:rFonts w:ascii="Arial" w:hAnsi="Arial" w:cs="Arial"/>
                <w:sz w:val="20"/>
                <w:szCs w:val="20"/>
              </w:rPr>
              <w:t>in every scheduled subframe</w:t>
            </w:r>
          </w:p>
        </w:tc>
        <w:tc>
          <w:tcPr>
            <w:tcW w:w="1843" w:type="dxa"/>
            <w:tcBorders>
              <w:top w:val="double" w:sz="6"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None</w:t>
            </w:r>
          </w:p>
        </w:tc>
      </w:tr>
      <w:tr w:rsidR="000043EC" w:rsidRPr="0016041A" w:rsidTr="00E14710">
        <w:trPr>
          <w:trHeight w:val="1035"/>
        </w:trPr>
        <w:tc>
          <w:tcPr>
            <w:tcW w:w="1100" w:type="dxa"/>
            <w:vMerge/>
            <w:tcBorders>
              <w:left w:val="single" w:sz="8" w:space="0" w:color="auto"/>
              <w:right w:val="single" w:sz="4" w:space="0" w:color="auto"/>
            </w:tcBorders>
            <w:shd w:val="clear" w:color="auto" w:fill="auto"/>
          </w:tcPr>
          <w:p w:rsidR="000043EC" w:rsidRDefault="000043EC" w:rsidP="00E14710">
            <w:pPr>
              <w:rPr>
                <w:rFonts w:ascii="Arial" w:hAnsi="Arial" w:cs="Arial"/>
                <w:sz w:val="20"/>
                <w:szCs w:val="20"/>
              </w:rPr>
            </w:pPr>
          </w:p>
        </w:tc>
        <w:tc>
          <w:tcPr>
            <w:tcW w:w="680"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5-2</w:t>
            </w:r>
          </w:p>
        </w:tc>
        <w:tc>
          <w:tcPr>
            <w:tcW w:w="2140"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4 CRS antenna ports for CRS-based TMs</w:t>
            </w:r>
          </w:p>
        </w:tc>
        <w:tc>
          <w:tcPr>
            <w:tcW w:w="3183"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4 CRS antenna ports for CRS-based TMs</w:t>
            </w:r>
          </w:p>
        </w:tc>
        <w:tc>
          <w:tcPr>
            <w:tcW w:w="1843"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5-1</w:t>
            </w:r>
          </w:p>
        </w:tc>
      </w:tr>
      <w:tr w:rsidR="000043EC" w:rsidRPr="0016041A" w:rsidTr="00E14710">
        <w:trPr>
          <w:trHeight w:val="1035"/>
        </w:trPr>
        <w:tc>
          <w:tcPr>
            <w:tcW w:w="1100" w:type="dxa"/>
            <w:vMerge/>
            <w:tcBorders>
              <w:left w:val="single" w:sz="8" w:space="0" w:color="auto"/>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p>
        </w:tc>
        <w:tc>
          <w:tcPr>
            <w:tcW w:w="680"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5-3</w:t>
            </w:r>
          </w:p>
        </w:tc>
        <w:tc>
          <w:tcPr>
            <w:tcW w:w="2140"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Number of carriers simultaneously supported by NAICS</w:t>
            </w:r>
          </w:p>
        </w:tc>
        <w:tc>
          <w:tcPr>
            <w:tcW w:w="3183"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Number of carriers simultaneously supported by NAICS</w:t>
            </w:r>
          </w:p>
        </w:tc>
        <w:tc>
          <w:tcPr>
            <w:tcW w:w="1843" w:type="dxa"/>
            <w:tcBorders>
              <w:top w:val="double" w:sz="6" w:space="0" w:color="auto"/>
              <w:left w:val="nil"/>
              <w:bottom w:val="double" w:sz="6" w:space="0" w:color="auto"/>
              <w:right w:val="single" w:sz="4" w:space="0" w:color="auto"/>
            </w:tcBorders>
            <w:shd w:val="clear" w:color="auto" w:fill="auto"/>
          </w:tcPr>
          <w:p w:rsidR="000043EC" w:rsidRDefault="000043EC" w:rsidP="00E14710">
            <w:pPr>
              <w:rPr>
                <w:rFonts w:ascii="Arial" w:hAnsi="Arial" w:cs="Arial"/>
                <w:sz w:val="20"/>
                <w:szCs w:val="20"/>
              </w:rPr>
            </w:pPr>
            <w:r>
              <w:rPr>
                <w:rFonts w:ascii="Arial" w:hAnsi="Arial" w:cs="Arial"/>
                <w:sz w:val="20"/>
                <w:szCs w:val="20"/>
              </w:rPr>
              <w:t>5-1, CA (if indication is &gt; 1)</w:t>
            </w:r>
          </w:p>
        </w:tc>
      </w:tr>
    </w:tbl>
    <w:p w:rsidR="000043EC" w:rsidRDefault="000043EC" w:rsidP="000043EC">
      <w:pPr>
        <w:pStyle w:val="BodyText"/>
      </w:pPr>
    </w:p>
    <w:p w:rsidR="000043EC" w:rsidRDefault="000043EC" w:rsidP="000043EC">
      <w:pPr>
        <w:pStyle w:val="Heading2"/>
      </w:pPr>
      <w:r>
        <w:t>Support of features in Rel-12</w:t>
      </w:r>
    </w:p>
    <w:p w:rsidR="000043EC" w:rsidRDefault="000043EC" w:rsidP="000043EC">
      <w:pPr>
        <w:pStyle w:val="BodyText"/>
      </w:pPr>
      <w:r>
        <w:t xml:space="preserve">Ultimately, the best determining factor in deciding if a feature is beneficial is the market. If the feature is beneficial it will be deployed independent of being a mandatory or an optional feature. If the feature is not largely beneficial it will not be utilized in reality independent of the feature being optional or mandatory. Furthermore, if the numbers of mandatory features are kept to a minimum or zero it will speed up the time to market which is beneficial overall for Rel-12. </w:t>
      </w:r>
    </w:p>
    <w:p w:rsidR="000043EC" w:rsidRPr="00C95E79" w:rsidRDefault="000043EC" w:rsidP="000043EC">
      <w:pPr>
        <w:pStyle w:val="BodyText"/>
        <w:rPr>
          <w:b/>
        </w:rPr>
      </w:pPr>
      <w:r w:rsidRPr="00C95E79">
        <w:rPr>
          <w:b/>
        </w:rPr>
        <w:t>Proposal</w:t>
      </w:r>
    </w:p>
    <w:p w:rsidR="000043EC" w:rsidRPr="00C95E79" w:rsidRDefault="000043EC" w:rsidP="000043EC">
      <w:pPr>
        <w:pStyle w:val="BodyText"/>
        <w:numPr>
          <w:ilvl w:val="0"/>
          <w:numId w:val="4"/>
        </w:numPr>
      </w:pPr>
      <w:r>
        <w:t xml:space="preserve">RAN1 recommends that all features for which RAN1 has not yet made a for recommendation is recommended to be optionally supported in Rel-12 </w:t>
      </w:r>
    </w:p>
    <w:p w:rsidR="000043EC" w:rsidRDefault="000043EC" w:rsidP="000043EC">
      <w:pPr>
        <w:pStyle w:val="Heading1"/>
      </w:pPr>
      <w:r w:rsidRPr="00E70914">
        <w:t>Conclusions</w:t>
      </w:r>
    </w:p>
    <w:p w:rsidR="000043EC" w:rsidRDefault="000043EC" w:rsidP="000043EC">
      <w:pPr>
        <w:pStyle w:val="BodyText"/>
      </w:pPr>
      <w:r>
        <w:t>In this contribution</w:t>
      </w:r>
      <w:r w:rsidRPr="00E70914">
        <w:t xml:space="preserve"> we </w:t>
      </w:r>
      <w:r>
        <w:t xml:space="preserve">discussed the remaining UE capabilities issues and based on the discussion in the contribution, we propose the following: </w:t>
      </w:r>
    </w:p>
    <w:p w:rsidR="000043EC" w:rsidRDefault="000043EC" w:rsidP="000043EC">
      <w:pPr>
        <w:pStyle w:val="BodyText"/>
        <w:numPr>
          <w:ilvl w:val="0"/>
          <w:numId w:val="4"/>
        </w:numPr>
      </w:pPr>
      <w:r>
        <w:t xml:space="preserve">RAN1 recommends that all features for which RAN1 has not yet made a recommendation should be optionally supported in Rel-12 </w:t>
      </w:r>
    </w:p>
    <w:p w:rsidR="000043EC" w:rsidRPr="00C95E79" w:rsidRDefault="000043EC" w:rsidP="000043EC">
      <w:pPr>
        <w:pStyle w:val="BodyText"/>
        <w:numPr>
          <w:ilvl w:val="0"/>
          <w:numId w:val="4"/>
        </w:numPr>
      </w:pPr>
      <w:r>
        <w:t>The remaining UE capabilities are captured as following:</w:t>
      </w:r>
    </w:p>
    <w:p w:rsidR="000043EC" w:rsidRDefault="000043EC" w:rsidP="000043EC">
      <w:pPr>
        <w:pStyle w:val="BodyText"/>
        <w:rPr>
          <w:i/>
        </w:rPr>
      </w:pPr>
    </w:p>
    <w:tbl>
      <w:tblPr>
        <w:tblW w:w="8812" w:type="dxa"/>
        <w:tblInd w:w="93" w:type="dxa"/>
        <w:tblLook w:val="04A0" w:firstRow="1" w:lastRow="0" w:firstColumn="1" w:lastColumn="0" w:noHBand="0" w:noVBand="1"/>
      </w:tblPr>
      <w:tblGrid>
        <w:gridCol w:w="1100"/>
        <w:gridCol w:w="680"/>
        <w:gridCol w:w="2140"/>
        <w:gridCol w:w="3608"/>
        <w:gridCol w:w="1284"/>
      </w:tblGrid>
      <w:tr w:rsidR="000043EC" w:rsidRPr="00F64177" w:rsidTr="00E14710">
        <w:trPr>
          <w:trHeight w:val="780"/>
        </w:trPr>
        <w:tc>
          <w:tcPr>
            <w:tcW w:w="1100" w:type="dxa"/>
            <w:tcBorders>
              <w:top w:val="single" w:sz="8" w:space="0" w:color="auto"/>
              <w:left w:val="single" w:sz="8" w:space="0" w:color="auto"/>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lastRenderedPageBreak/>
              <w:t>WI</w:t>
            </w:r>
          </w:p>
        </w:tc>
        <w:tc>
          <w:tcPr>
            <w:tcW w:w="680"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w:t>
            </w:r>
          </w:p>
        </w:tc>
        <w:tc>
          <w:tcPr>
            <w:tcW w:w="2140"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Feature group</w:t>
            </w:r>
          </w:p>
        </w:tc>
        <w:tc>
          <w:tcPr>
            <w:tcW w:w="3608"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Components</w:t>
            </w:r>
          </w:p>
        </w:tc>
        <w:tc>
          <w:tcPr>
            <w:tcW w:w="1284" w:type="dxa"/>
            <w:tcBorders>
              <w:top w:val="single" w:sz="8" w:space="0" w:color="auto"/>
              <w:left w:val="nil"/>
              <w:bottom w:val="double" w:sz="6" w:space="0" w:color="auto"/>
              <w:right w:val="single" w:sz="4" w:space="0" w:color="auto"/>
            </w:tcBorders>
            <w:shd w:val="clear" w:color="000000" w:fill="8DB3E2" w:themeFill="text2" w:themeFillTint="66"/>
            <w:vAlign w:val="center"/>
            <w:hideMark/>
          </w:tcPr>
          <w:p w:rsidR="000043EC" w:rsidRPr="00F64177" w:rsidRDefault="000043EC" w:rsidP="00E14710">
            <w:pPr>
              <w:jc w:val="center"/>
              <w:rPr>
                <w:rFonts w:ascii="Arial" w:hAnsi="Arial" w:cs="Arial"/>
                <w:sz w:val="20"/>
                <w:szCs w:val="20"/>
              </w:rPr>
            </w:pPr>
            <w:r w:rsidRPr="00F64177">
              <w:rPr>
                <w:rFonts w:ascii="Arial" w:hAnsi="Arial" w:cs="Arial"/>
                <w:sz w:val="20"/>
                <w:szCs w:val="20"/>
              </w:rPr>
              <w:t xml:space="preserve">Prerequisite feature groups </w:t>
            </w:r>
            <w:r w:rsidRPr="00F64177">
              <w:rPr>
                <w:rFonts w:ascii="Arial" w:hAnsi="Arial" w:cs="Arial"/>
                <w:sz w:val="20"/>
                <w:szCs w:val="20"/>
              </w:rPr>
              <w:br/>
              <w:t>(listed in this sheet or Rel-8/9/10/11 features)</w:t>
            </w:r>
          </w:p>
        </w:tc>
      </w:tr>
      <w:tr w:rsidR="000043EC" w:rsidRPr="00F64177" w:rsidTr="00E14710">
        <w:trPr>
          <w:trHeight w:val="1035"/>
        </w:trPr>
        <w:tc>
          <w:tcPr>
            <w:tcW w:w="1100" w:type="dxa"/>
            <w:vMerge w:val="restart"/>
            <w:tcBorders>
              <w:top w:val="double" w:sz="6" w:space="0" w:color="auto"/>
              <w:left w:val="single" w:sz="8"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 SCE Physical Layer</w:t>
            </w:r>
          </w:p>
        </w:tc>
        <w:tc>
          <w:tcPr>
            <w:tcW w:w="68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256QAM</w:t>
            </w:r>
          </w:p>
        </w:tc>
        <w:tc>
          <w:tcPr>
            <w:tcW w:w="3608"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1) 256QAM demodulation</w:t>
            </w:r>
            <w:r w:rsidRPr="00F64177">
              <w:rPr>
                <w:rFonts w:ascii="Arial" w:hAnsi="Arial" w:cs="Arial"/>
                <w:sz w:val="20"/>
                <w:szCs w:val="20"/>
              </w:rPr>
              <w:br/>
              <w:t>2) 256QAM CQI feedback</w:t>
            </w:r>
          </w:p>
        </w:tc>
        <w:tc>
          <w:tcPr>
            <w:tcW w:w="1284" w:type="dxa"/>
            <w:tcBorders>
              <w:top w:val="double" w:sz="6" w:space="0" w:color="auto"/>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None</w:t>
            </w:r>
          </w:p>
        </w:tc>
      </w:tr>
      <w:tr w:rsidR="000043EC" w:rsidRPr="00F64177" w:rsidTr="00E14710">
        <w:trPr>
          <w:trHeight w:val="594"/>
        </w:trPr>
        <w:tc>
          <w:tcPr>
            <w:tcW w:w="1100" w:type="dxa"/>
            <w:vMerge/>
            <w:tcBorders>
              <w:left w:val="single" w:sz="8" w:space="0" w:color="auto"/>
              <w:right w:val="single" w:sz="4" w:space="0" w:color="auto"/>
            </w:tcBorders>
            <w:shd w:val="clear" w:color="auto" w:fill="auto"/>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3-2</w:t>
            </w:r>
          </w:p>
        </w:tc>
        <w:tc>
          <w:tcPr>
            <w:tcW w:w="2140"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Small cell on/off</w:t>
            </w:r>
          </w:p>
        </w:tc>
        <w:tc>
          <w:tcPr>
            <w:tcW w:w="3608"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 xml:space="preserve">Small cell on/off </w:t>
            </w:r>
            <w:r>
              <w:rPr>
                <w:rFonts w:ascii="Arial" w:hAnsi="Arial" w:cs="Arial"/>
                <w:sz w:val="20"/>
                <w:szCs w:val="20"/>
              </w:rPr>
              <w:t>based on CA activation/deactivation</w:t>
            </w:r>
          </w:p>
        </w:tc>
        <w:tc>
          <w:tcPr>
            <w:tcW w:w="1284" w:type="dxa"/>
            <w:tcBorders>
              <w:top w:val="nil"/>
              <w:left w:val="nil"/>
              <w:bottom w:val="single" w:sz="4"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CA, [3-3]</w:t>
            </w:r>
          </w:p>
        </w:tc>
      </w:tr>
      <w:tr w:rsidR="000043EC" w:rsidRPr="00F64177" w:rsidTr="00E14710">
        <w:trPr>
          <w:trHeight w:val="315"/>
        </w:trPr>
        <w:tc>
          <w:tcPr>
            <w:tcW w:w="1100" w:type="dxa"/>
            <w:vMerge/>
            <w:tcBorders>
              <w:left w:val="single" w:sz="8" w:space="0" w:color="auto"/>
              <w:bottom w:val="double" w:sz="6" w:space="0" w:color="000000"/>
              <w:right w:val="single" w:sz="4" w:space="0" w:color="auto"/>
            </w:tcBorders>
            <w:shd w:val="clear" w:color="auto" w:fill="auto"/>
            <w:vAlign w:val="center"/>
            <w:hideMark/>
          </w:tcPr>
          <w:p w:rsidR="000043EC" w:rsidRPr="00F64177" w:rsidRDefault="000043EC" w:rsidP="00E14710">
            <w:pPr>
              <w:rPr>
                <w:rFonts w:ascii="Arial" w:hAnsi="Arial" w:cs="Arial"/>
                <w:sz w:val="20"/>
                <w:szCs w:val="20"/>
              </w:rPr>
            </w:pPr>
          </w:p>
        </w:tc>
        <w:tc>
          <w:tcPr>
            <w:tcW w:w="68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sidRPr="00F64177">
              <w:rPr>
                <w:rFonts w:ascii="Arial" w:hAnsi="Arial" w:cs="Arial"/>
                <w:sz w:val="20"/>
                <w:szCs w:val="20"/>
              </w:rPr>
              <w:t>3-3</w:t>
            </w:r>
          </w:p>
        </w:tc>
        <w:tc>
          <w:tcPr>
            <w:tcW w:w="2140"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Discovery signal/procedure</w:t>
            </w:r>
          </w:p>
        </w:tc>
        <w:tc>
          <w:tcPr>
            <w:tcW w:w="3608"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Discovery signal/procedure, including both CRS and CSI-RS RRM measurements support</w:t>
            </w:r>
          </w:p>
        </w:tc>
        <w:tc>
          <w:tcPr>
            <w:tcW w:w="1284" w:type="dxa"/>
            <w:tcBorders>
              <w:top w:val="nil"/>
              <w:left w:val="nil"/>
              <w:bottom w:val="double" w:sz="6" w:space="0" w:color="auto"/>
              <w:right w:val="single" w:sz="4" w:space="0" w:color="auto"/>
            </w:tcBorders>
            <w:shd w:val="clear" w:color="auto" w:fill="auto"/>
            <w:hideMark/>
          </w:tcPr>
          <w:p w:rsidR="000043EC" w:rsidRPr="00F64177" w:rsidRDefault="000043EC" w:rsidP="00E14710">
            <w:pPr>
              <w:rPr>
                <w:rFonts w:ascii="Arial" w:hAnsi="Arial" w:cs="Arial"/>
                <w:sz w:val="20"/>
                <w:szCs w:val="20"/>
              </w:rPr>
            </w:pPr>
            <w:r>
              <w:rPr>
                <w:rFonts w:ascii="Arial" w:hAnsi="Arial" w:cs="Arial"/>
                <w:sz w:val="20"/>
                <w:szCs w:val="20"/>
              </w:rPr>
              <w:t>TM10</w:t>
            </w:r>
          </w:p>
        </w:tc>
      </w:tr>
      <w:tr w:rsidR="000043EC" w:rsidRPr="0016041A" w:rsidTr="00E14710">
        <w:trPr>
          <w:trHeight w:val="315"/>
        </w:trPr>
        <w:tc>
          <w:tcPr>
            <w:tcW w:w="1100" w:type="dxa"/>
            <w:vMerge w:val="restart"/>
            <w:tcBorders>
              <w:top w:val="double" w:sz="6" w:space="0" w:color="auto"/>
              <w:left w:val="single" w:sz="8" w:space="0" w:color="auto"/>
              <w:right w:val="single" w:sz="4" w:space="0" w:color="auto"/>
            </w:tcBorders>
            <w:shd w:val="clear" w:color="auto" w:fill="auto"/>
            <w:vAlign w:val="center"/>
            <w:hideMark/>
          </w:tcPr>
          <w:p w:rsidR="000043EC" w:rsidRPr="0016041A" w:rsidRDefault="000043EC" w:rsidP="00E14710">
            <w:pPr>
              <w:rPr>
                <w:rFonts w:ascii="Arial" w:hAnsi="Arial" w:cs="Arial"/>
                <w:sz w:val="20"/>
                <w:szCs w:val="20"/>
              </w:rPr>
            </w:pPr>
            <w:r w:rsidRPr="0016041A">
              <w:rPr>
                <w:rFonts w:ascii="Arial" w:hAnsi="Arial" w:cs="Arial"/>
                <w:sz w:val="20"/>
                <w:szCs w:val="20"/>
              </w:rPr>
              <w:t xml:space="preserve">4. </w:t>
            </w:r>
            <w:proofErr w:type="spellStart"/>
            <w:r>
              <w:rPr>
                <w:rFonts w:ascii="Arial" w:hAnsi="Arial" w:cs="Arial"/>
                <w:sz w:val="20"/>
                <w:szCs w:val="20"/>
              </w:rPr>
              <w:t>ProSe</w:t>
            </w:r>
            <w:proofErr w:type="spellEnd"/>
          </w:p>
        </w:tc>
        <w:tc>
          <w:tcPr>
            <w:tcW w:w="68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proofErr w:type="spellStart"/>
            <w:r>
              <w:rPr>
                <w:rFonts w:ascii="Arial" w:hAnsi="Arial" w:cs="Arial"/>
                <w:sz w:val="20"/>
                <w:szCs w:val="20"/>
              </w:rPr>
              <w:t>ProSe</w:t>
            </w:r>
            <w:proofErr w:type="spellEnd"/>
            <w:r w:rsidRPr="0016041A">
              <w:rPr>
                <w:rFonts w:ascii="Arial" w:hAnsi="Arial" w:cs="Arial"/>
                <w:sz w:val="20"/>
                <w:szCs w:val="20"/>
              </w:rPr>
              <w:t xml:space="preserve"> Broadcast communication</w:t>
            </w:r>
          </w:p>
        </w:tc>
        <w:tc>
          <w:tcPr>
            <w:tcW w:w="3608"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1) Mode 1 resource allocation</w:t>
            </w:r>
            <w:r w:rsidRPr="0016041A">
              <w:rPr>
                <w:rFonts w:ascii="Arial" w:hAnsi="Arial" w:cs="Arial"/>
                <w:sz w:val="20"/>
                <w:szCs w:val="20"/>
              </w:rPr>
              <w:br/>
              <w:t>2) Mode 2 resource allocation</w:t>
            </w:r>
            <w:r w:rsidRPr="0016041A">
              <w:rPr>
                <w:rFonts w:ascii="Arial" w:hAnsi="Arial" w:cs="Arial"/>
                <w:sz w:val="20"/>
                <w:szCs w:val="20"/>
              </w:rPr>
              <w:br/>
              <w:t xml:space="preserve">3) </w:t>
            </w:r>
            <w:proofErr w:type="spellStart"/>
            <w:r>
              <w:rPr>
                <w:rFonts w:ascii="Arial" w:hAnsi="Arial" w:cs="Arial"/>
                <w:sz w:val="20"/>
                <w:szCs w:val="20"/>
              </w:rPr>
              <w:t>ProSe</w:t>
            </w:r>
            <w:proofErr w:type="spellEnd"/>
            <w:r w:rsidRPr="0016041A">
              <w:rPr>
                <w:rFonts w:ascii="Arial" w:hAnsi="Arial" w:cs="Arial"/>
                <w:sz w:val="20"/>
                <w:szCs w:val="20"/>
              </w:rPr>
              <w:t xml:space="preserve"> synchronization procedure</w:t>
            </w:r>
            <w:r w:rsidRPr="0016041A">
              <w:rPr>
                <w:rFonts w:ascii="Arial" w:hAnsi="Arial" w:cs="Arial"/>
                <w:sz w:val="20"/>
                <w:szCs w:val="20"/>
              </w:rPr>
              <w:br/>
            </w:r>
            <w:r>
              <w:rPr>
                <w:rFonts w:ascii="Arial" w:hAnsi="Arial" w:cs="Arial"/>
                <w:sz w:val="20"/>
                <w:szCs w:val="20"/>
              </w:rPr>
              <w:t xml:space="preserve">4) </w:t>
            </w:r>
            <w:proofErr w:type="spellStart"/>
            <w:r>
              <w:rPr>
                <w:rFonts w:ascii="Arial" w:hAnsi="Arial" w:cs="Arial"/>
                <w:sz w:val="20"/>
                <w:szCs w:val="20"/>
              </w:rPr>
              <w:t>ProSe</w:t>
            </w:r>
            <w:proofErr w:type="spellEnd"/>
            <w:r w:rsidRPr="0016041A">
              <w:rPr>
                <w:rFonts w:ascii="Arial" w:hAnsi="Arial" w:cs="Arial"/>
                <w:sz w:val="20"/>
                <w:szCs w:val="20"/>
              </w:rPr>
              <w:t xml:space="preserve"> communication signal transmission and reception</w:t>
            </w:r>
          </w:p>
        </w:tc>
        <w:tc>
          <w:tcPr>
            <w:tcW w:w="1284"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None</w:t>
            </w:r>
          </w:p>
        </w:tc>
      </w:tr>
      <w:tr w:rsidR="000043EC" w:rsidRPr="0016041A" w:rsidTr="00E14710">
        <w:trPr>
          <w:trHeight w:val="315"/>
        </w:trPr>
        <w:tc>
          <w:tcPr>
            <w:tcW w:w="1100" w:type="dxa"/>
            <w:vMerge/>
            <w:tcBorders>
              <w:left w:val="single" w:sz="8" w:space="0" w:color="auto"/>
              <w:bottom w:val="double" w:sz="6" w:space="0" w:color="000000"/>
              <w:right w:val="single" w:sz="4" w:space="0" w:color="auto"/>
            </w:tcBorders>
            <w:shd w:val="clear" w:color="auto" w:fill="auto"/>
            <w:vAlign w:val="center"/>
            <w:hideMark/>
          </w:tcPr>
          <w:p w:rsidR="000043EC" w:rsidRPr="0016041A" w:rsidRDefault="000043EC" w:rsidP="00E14710">
            <w:pPr>
              <w:rPr>
                <w:rFonts w:ascii="Arial" w:hAnsi="Arial" w:cs="Arial"/>
                <w:sz w:val="20"/>
                <w:szCs w:val="20"/>
              </w:rPr>
            </w:pPr>
          </w:p>
        </w:tc>
        <w:tc>
          <w:tcPr>
            <w:tcW w:w="680" w:type="dxa"/>
            <w:tcBorders>
              <w:top w:val="single" w:sz="4"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sidRPr="0016041A">
              <w:rPr>
                <w:rFonts w:ascii="Arial" w:hAnsi="Arial" w:cs="Arial"/>
                <w:sz w:val="20"/>
                <w:szCs w:val="20"/>
              </w:rPr>
              <w:t>4-2</w:t>
            </w:r>
          </w:p>
        </w:tc>
        <w:tc>
          <w:tcPr>
            <w:tcW w:w="2140" w:type="dxa"/>
            <w:tcBorders>
              <w:top w:val="single" w:sz="4"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proofErr w:type="spellStart"/>
            <w:r>
              <w:rPr>
                <w:rFonts w:ascii="Arial" w:hAnsi="Arial" w:cs="Arial"/>
                <w:sz w:val="20"/>
                <w:szCs w:val="20"/>
              </w:rPr>
              <w:t>ProSe</w:t>
            </w:r>
            <w:proofErr w:type="spellEnd"/>
            <w:r w:rsidRPr="0016041A">
              <w:rPr>
                <w:rFonts w:ascii="Arial" w:hAnsi="Arial" w:cs="Arial"/>
                <w:sz w:val="20"/>
                <w:szCs w:val="20"/>
              </w:rPr>
              <w:t xml:space="preserve"> discovery</w:t>
            </w:r>
          </w:p>
        </w:tc>
        <w:tc>
          <w:tcPr>
            <w:tcW w:w="3608" w:type="dxa"/>
            <w:tcBorders>
              <w:top w:val="single" w:sz="4" w:space="0" w:color="auto"/>
              <w:left w:val="nil"/>
              <w:bottom w:val="double" w:sz="6" w:space="0" w:color="auto"/>
              <w:right w:val="single" w:sz="4" w:space="0" w:color="auto"/>
            </w:tcBorders>
            <w:shd w:val="clear" w:color="auto" w:fill="auto"/>
            <w:hideMark/>
          </w:tcPr>
          <w:p w:rsidR="000043EC" w:rsidRPr="009760C8" w:rsidRDefault="000043EC" w:rsidP="00E14710">
            <w:pPr>
              <w:rPr>
                <w:rFonts w:ascii="Arial" w:hAnsi="Arial" w:cs="Arial"/>
                <w:sz w:val="20"/>
                <w:szCs w:val="20"/>
              </w:rPr>
            </w:pPr>
            <w:r>
              <w:rPr>
                <w:rFonts w:ascii="Arial" w:hAnsi="Arial" w:cs="Arial"/>
                <w:sz w:val="20"/>
                <w:szCs w:val="20"/>
              </w:rPr>
              <w:t xml:space="preserve">1) </w:t>
            </w:r>
            <w:proofErr w:type="spellStart"/>
            <w:r w:rsidRPr="009760C8">
              <w:rPr>
                <w:rFonts w:ascii="Arial" w:hAnsi="Arial" w:cs="Arial"/>
                <w:sz w:val="20"/>
                <w:szCs w:val="20"/>
              </w:rPr>
              <w:t>ProSe</w:t>
            </w:r>
            <w:proofErr w:type="spellEnd"/>
            <w:r w:rsidRPr="009760C8">
              <w:rPr>
                <w:rFonts w:ascii="Arial" w:hAnsi="Arial" w:cs="Arial"/>
                <w:sz w:val="20"/>
                <w:szCs w:val="20"/>
              </w:rPr>
              <w:t xml:space="preserve"> </w:t>
            </w:r>
            <w:proofErr w:type="spellStart"/>
            <w:r w:rsidRPr="009760C8">
              <w:rPr>
                <w:rFonts w:ascii="Arial" w:hAnsi="Arial" w:cs="Arial"/>
                <w:sz w:val="20"/>
                <w:szCs w:val="20"/>
              </w:rPr>
              <w:t>discovey</w:t>
            </w:r>
            <w:proofErr w:type="spellEnd"/>
            <w:r w:rsidRPr="009760C8">
              <w:rPr>
                <w:rFonts w:ascii="Arial" w:hAnsi="Arial" w:cs="Arial"/>
                <w:sz w:val="20"/>
                <w:szCs w:val="20"/>
              </w:rPr>
              <w:t xml:space="preserve"> type 2 resource allocation</w:t>
            </w:r>
          </w:p>
          <w:p w:rsidR="000043EC" w:rsidRDefault="000043EC" w:rsidP="00E14710">
            <w:pPr>
              <w:rPr>
                <w:rFonts w:ascii="Arial" w:hAnsi="Arial" w:cs="Arial"/>
                <w:sz w:val="20"/>
                <w:szCs w:val="20"/>
              </w:rPr>
            </w:pPr>
            <w:r>
              <w:rPr>
                <w:rFonts w:ascii="Arial" w:hAnsi="Arial" w:cs="Arial"/>
                <w:sz w:val="20"/>
                <w:szCs w:val="20"/>
              </w:rPr>
              <w:t xml:space="preserve">2) </w:t>
            </w:r>
            <w:proofErr w:type="spellStart"/>
            <w:r>
              <w:rPr>
                <w:rFonts w:ascii="Arial" w:hAnsi="Arial" w:cs="Arial"/>
                <w:sz w:val="20"/>
                <w:szCs w:val="20"/>
              </w:rPr>
              <w:t>ProSe</w:t>
            </w:r>
            <w:proofErr w:type="spellEnd"/>
            <w:r>
              <w:rPr>
                <w:rFonts w:ascii="Arial" w:hAnsi="Arial" w:cs="Arial"/>
                <w:sz w:val="20"/>
                <w:szCs w:val="20"/>
              </w:rPr>
              <w:t xml:space="preserve"> </w:t>
            </w:r>
            <w:proofErr w:type="spellStart"/>
            <w:r>
              <w:rPr>
                <w:rFonts w:ascii="Arial" w:hAnsi="Arial" w:cs="Arial"/>
                <w:sz w:val="20"/>
                <w:szCs w:val="20"/>
              </w:rPr>
              <w:t>discovey</w:t>
            </w:r>
            <w:proofErr w:type="spellEnd"/>
            <w:r>
              <w:rPr>
                <w:rFonts w:ascii="Arial" w:hAnsi="Arial" w:cs="Arial"/>
                <w:sz w:val="20"/>
                <w:szCs w:val="20"/>
              </w:rPr>
              <w:t xml:space="preserve"> type 1 resource allocation</w:t>
            </w:r>
          </w:p>
          <w:p w:rsidR="000043EC" w:rsidRPr="0016041A" w:rsidRDefault="000043EC" w:rsidP="00E14710">
            <w:pPr>
              <w:rPr>
                <w:rFonts w:ascii="Arial" w:hAnsi="Arial" w:cs="Arial"/>
                <w:sz w:val="20"/>
                <w:szCs w:val="20"/>
              </w:rPr>
            </w:pPr>
            <w:r>
              <w:rPr>
                <w:rFonts w:ascii="Arial" w:hAnsi="Arial" w:cs="Arial"/>
                <w:sz w:val="20"/>
                <w:szCs w:val="20"/>
              </w:rPr>
              <w:t>3</w:t>
            </w:r>
            <w:r w:rsidRPr="0016041A">
              <w:rPr>
                <w:rFonts w:ascii="Arial" w:hAnsi="Arial" w:cs="Arial"/>
                <w:sz w:val="20"/>
                <w:szCs w:val="20"/>
              </w:rPr>
              <w:t>) D2D synchronization procedure</w:t>
            </w:r>
            <w:r w:rsidRPr="0016041A">
              <w:rPr>
                <w:rFonts w:ascii="Arial" w:hAnsi="Arial" w:cs="Arial"/>
                <w:sz w:val="20"/>
                <w:szCs w:val="20"/>
              </w:rPr>
              <w:br/>
            </w:r>
            <w:r>
              <w:rPr>
                <w:rFonts w:ascii="Arial" w:hAnsi="Arial" w:cs="Arial"/>
                <w:sz w:val="20"/>
                <w:szCs w:val="20"/>
              </w:rPr>
              <w:t>4</w:t>
            </w:r>
            <w:r w:rsidRPr="0016041A">
              <w:rPr>
                <w:rFonts w:ascii="Arial" w:hAnsi="Arial" w:cs="Arial"/>
                <w:sz w:val="20"/>
                <w:szCs w:val="20"/>
              </w:rPr>
              <w:t>) D2D discovery signal transmission and reception</w:t>
            </w:r>
          </w:p>
        </w:tc>
        <w:tc>
          <w:tcPr>
            <w:tcW w:w="1284" w:type="dxa"/>
            <w:tcBorders>
              <w:top w:val="single" w:sz="4" w:space="0" w:color="auto"/>
              <w:left w:val="nil"/>
              <w:bottom w:val="double" w:sz="6"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None</w:t>
            </w:r>
          </w:p>
        </w:tc>
      </w:tr>
      <w:tr w:rsidR="000043EC" w:rsidRPr="0016041A" w:rsidTr="00E14710">
        <w:trPr>
          <w:trHeight w:val="315"/>
        </w:trPr>
        <w:tc>
          <w:tcPr>
            <w:tcW w:w="1100" w:type="dxa"/>
            <w:vMerge w:val="restart"/>
            <w:tcBorders>
              <w:top w:val="double" w:sz="6" w:space="0" w:color="auto"/>
              <w:left w:val="single" w:sz="8" w:space="0" w:color="auto"/>
              <w:right w:val="single" w:sz="4" w:space="0" w:color="auto"/>
            </w:tcBorders>
            <w:shd w:val="clear" w:color="auto" w:fill="auto"/>
            <w:vAlign w:val="center"/>
            <w:hideMark/>
          </w:tcPr>
          <w:p w:rsidR="000043EC" w:rsidRPr="0016041A" w:rsidRDefault="000043EC" w:rsidP="00E14710">
            <w:pPr>
              <w:rPr>
                <w:rFonts w:ascii="Arial" w:hAnsi="Arial" w:cs="Arial"/>
                <w:sz w:val="20"/>
                <w:szCs w:val="20"/>
              </w:rPr>
            </w:pPr>
            <w:r>
              <w:rPr>
                <w:rFonts w:ascii="Arial" w:hAnsi="Arial" w:cs="Arial"/>
                <w:sz w:val="20"/>
                <w:szCs w:val="20"/>
              </w:rPr>
              <w:t>5. NW assisted IC for LTE</w:t>
            </w:r>
          </w:p>
        </w:tc>
        <w:tc>
          <w:tcPr>
            <w:tcW w:w="68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5-1</w:t>
            </w:r>
          </w:p>
        </w:tc>
        <w:tc>
          <w:tcPr>
            <w:tcW w:w="2140"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PDSCH interference handling</w:t>
            </w:r>
          </w:p>
        </w:tc>
        <w:tc>
          <w:tcPr>
            <w:tcW w:w="3608"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1) PDSCH interference cancellation/suppression</w:t>
            </w:r>
            <w:r>
              <w:rPr>
                <w:rFonts w:ascii="Arial" w:hAnsi="Arial" w:cs="Arial"/>
                <w:sz w:val="20"/>
                <w:szCs w:val="20"/>
              </w:rPr>
              <w:br/>
              <w:t>2) CRS-IC</w:t>
            </w:r>
            <w:r w:rsidRPr="002335B8">
              <w:rPr>
                <w:rFonts w:ascii="Arial" w:hAnsi="Arial" w:cs="Arial"/>
                <w:sz w:val="20"/>
                <w:szCs w:val="20"/>
              </w:rPr>
              <w:t xml:space="preserve"> </w:t>
            </w:r>
            <w:r w:rsidRPr="00080AE1">
              <w:rPr>
                <w:rFonts w:ascii="Arial" w:hAnsi="Arial" w:cs="Arial"/>
                <w:sz w:val="20"/>
                <w:szCs w:val="20"/>
              </w:rPr>
              <w:t>in every scheduled subframe</w:t>
            </w:r>
          </w:p>
        </w:tc>
        <w:tc>
          <w:tcPr>
            <w:tcW w:w="1284" w:type="dxa"/>
            <w:tcBorders>
              <w:top w:val="double" w:sz="6" w:space="0" w:color="auto"/>
              <w:left w:val="nil"/>
              <w:bottom w:val="single" w:sz="4" w:space="0" w:color="auto"/>
              <w:right w:val="single" w:sz="4" w:space="0" w:color="auto"/>
            </w:tcBorders>
            <w:shd w:val="clear" w:color="auto" w:fill="auto"/>
            <w:hideMark/>
          </w:tcPr>
          <w:p w:rsidR="000043EC" w:rsidRPr="0016041A" w:rsidRDefault="000043EC" w:rsidP="00E14710">
            <w:pPr>
              <w:rPr>
                <w:rFonts w:ascii="Arial" w:hAnsi="Arial" w:cs="Arial"/>
                <w:sz w:val="20"/>
                <w:szCs w:val="20"/>
              </w:rPr>
            </w:pPr>
            <w:r>
              <w:rPr>
                <w:rFonts w:ascii="Arial" w:hAnsi="Arial" w:cs="Arial"/>
                <w:sz w:val="20"/>
                <w:szCs w:val="20"/>
              </w:rPr>
              <w:t>None</w:t>
            </w:r>
          </w:p>
        </w:tc>
      </w:tr>
      <w:tr w:rsidR="000043EC" w:rsidTr="00E14710">
        <w:trPr>
          <w:trHeight w:val="315"/>
        </w:trPr>
        <w:tc>
          <w:tcPr>
            <w:tcW w:w="1100" w:type="dxa"/>
            <w:vMerge/>
            <w:tcBorders>
              <w:left w:val="single" w:sz="8" w:space="0" w:color="auto"/>
              <w:right w:val="single" w:sz="4" w:space="0" w:color="auto"/>
            </w:tcBorders>
            <w:shd w:val="clear" w:color="auto" w:fill="auto"/>
            <w:vAlign w:val="center"/>
            <w:hideMark/>
          </w:tcPr>
          <w:p w:rsidR="000043EC" w:rsidRDefault="000043EC" w:rsidP="00E14710">
            <w:pPr>
              <w:rPr>
                <w:rFonts w:ascii="Arial" w:hAnsi="Arial" w:cs="Arial"/>
                <w:sz w:val="20"/>
                <w:szCs w:val="20"/>
              </w:rPr>
            </w:pPr>
          </w:p>
        </w:tc>
        <w:tc>
          <w:tcPr>
            <w:tcW w:w="680" w:type="dxa"/>
            <w:tcBorders>
              <w:top w:val="single" w:sz="4" w:space="0" w:color="auto"/>
              <w:left w:val="nil"/>
              <w:bottom w:val="single" w:sz="4"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5-2</w:t>
            </w:r>
          </w:p>
        </w:tc>
        <w:tc>
          <w:tcPr>
            <w:tcW w:w="2140" w:type="dxa"/>
            <w:tcBorders>
              <w:top w:val="single" w:sz="4" w:space="0" w:color="auto"/>
              <w:left w:val="nil"/>
              <w:bottom w:val="single" w:sz="4"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4 CRS antenna ports for CRS-based TMs</w:t>
            </w:r>
          </w:p>
        </w:tc>
        <w:tc>
          <w:tcPr>
            <w:tcW w:w="3608" w:type="dxa"/>
            <w:tcBorders>
              <w:top w:val="single" w:sz="4" w:space="0" w:color="auto"/>
              <w:left w:val="nil"/>
              <w:bottom w:val="single" w:sz="4"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4 CRS antenna ports for CRS-based TMs</w:t>
            </w:r>
          </w:p>
        </w:tc>
        <w:tc>
          <w:tcPr>
            <w:tcW w:w="1284" w:type="dxa"/>
            <w:tcBorders>
              <w:top w:val="single" w:sz="4" w:space="0" w:color="auto"/>
              <w:left w:val="nil"/>
              <w:bottom w:val="single" w:sz="4"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5-1</w:t>
            </w:r>
          </w:p>
        </w:tc>
      </w:tr>
      <w:tr w:rsidR="000043EC" w:rsidTr="00E14710">
        <w:trPr>
          <w:trHeight w:val="315"/>
        </w:trPr>
        <w:tc>
          <w:tcPr>
            <w:tcW w:w="1100" w:type="dxa"/>
            <w:vMerge/>
            <w:tcBorders>
              <w:left w:val="single" w:sz="8" w:space="0" w:color="auto"/>
              <w:bottom w:val="double" w:sz="6" w:space="0" w:color="000000"/>
              <w:right w:val="single" w:sz="4" w:space="0" w:color="auto"/>
            </w:tcBorders>
            <w:shd w:val="clear" w:color="auto" w:fill="auto"/>
            <w:vAlign w:val="center"/>
            <w:hideMark/>
          </w:tcPr>
          <w:p w:rsidR="000043EC" w:rsidRDefault="000043EC" w:rsidP="00E14710">
            <w:pPr>
              <w:rPr>
                <w:rFonts w:ascii="Arial" w:hAnsi="Arial" w:cs="Arial"/>
                <w:sz w:val="20"/>
                <w:szCs w:val="20"/>
              </w:rPr>
            </w:pPr>
          </w:p>
        </w:tc>
        <w:tc>
          <w:tcPr>
            <w:tcW w:w="680" w:type="dxa"/>
            <w:tcBorders>
              <w:top w:val="single" w:sz="4" w:space="0" w:color="auto"/>
              <w:left w:val="nil"/>
              <w:bottom w:val="double" w:sz="6"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5-3</w:t>
            </w:r>
          </w:p>
        </w:tc>
        <w:tc>
          <w:tcPr>
            <w:tcW w:w="2140" w:type="dxa"/>
            <w:tcBorders>
              <w:top w:val="single" w:sz="4" w:space="0" w:color="auto"/>
              <w:left w:val="nil"/>
              <w:bottom w:val="double" w:sz="6"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Number of carriers simultaneously supported by NAICS</w:t>
            </w:r>
          </w:p>
        </w:tc>
        <w:tc>
          <w:tcPr>
            <w:tcW w:w="3608" w:type="dxa"/>
            <w:tcBorders>
              <w:top w:val="single" w:sz="4" w:space="0" w:color="auto"/>
              <w:left w:val="nil"/>
              <w:bottom w:val="double" w:sz="6"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Number of carriers simultaneously supported by NAICS</w:t>
            </w:r>
          </w:p>
        </w:tc>
        <w:tc>
          <w:tcPr>
            <w:tcW w:w="1284" w:type="dxa"/>
            <w:tcBorders>
              <w:top w:val="single" w:sz="4" w:space="0" w:color="auto"/>
              <w:left w:val="nil"/>
              <w:bottom w:val="double" w:sz="6" w:space="0" w:color="auto"/>
              <w:right w:val="single" w:sz="4" w:space="0" w:color="auto"/>
            </w:tcBorders>
            <w:shd w:val="clear" w:color="auto" w:fill="auto"/>
            <w:hideMark/>
          </w:tcPr>
          <w:p w:rsidR="000043EC" w:rsidRDefault="000043EC" w:rsidP="00E14710">
            <w:pPr>
              <w:rPr>
                <w:rFonts w:ascii="Arial" w:hAnsi="Arial" w:cs="Arial"/>
                <w:sz w:val="20"/>
                <w:szCs w:val="20"/>
              </w:rPr>
            </w:pPr>
            <w:r>
              <w:rPr>
                <w:rFonts w:ascii="Arial" w:hAnsi="Arial" w:cs="Arial"/>
                <w:sz w:val="20"/>
                <w:szCs w:val="20"/>
              </w:rPr>
              <w:t>5-1, CA (if indication is &gt; 1)</w:t>
            </w:r>
          </w:p>
        </w:tc>
      </w:tr>
    </w:tbl>
    <w:p w:rsidR="000043EC" w:rsidRPr="00475509" w:rsidRDefault="000043EC" w:rsidP="000043EC">
      <w:pPr>
        <w:pStyle w:val="BodyText"/>
        <w:rPr>
          <w:i/>
        </w:rPr>
      </w:pPr>
    </w:p>
    <w:p w:rsidR="000043EC" w:rsidRPr="00E70914" w:rsidRDefault="000043EC" w:rsidP="000043EC">
      <w:pPr>
        <w:pStyle w:val="Heading1"/>
      </w:pPr>
      <w:r w:rsidRPr="00E70914">
        <w:t>References</w:t>
      </w:r>
    </w:p>
    <w:p w:rsidR="000043EC" w:rsidRDefault="000043EC" w:rsidP="000043EC">
      <w:pPr>
        <w:pStyle w:val="Reference"/>
        <w:jc w:val="left"/>
      </w:pPr>
      <w:bookmarkStart w:id="4" w:name="_Ref394506093"/>
      <w:bookmarkStart w:id="5" w:name="_Ref377392850"/>
      <w:bookmarkStart w:id="6" w:name="_Ref381794187"/>
      <w:bookmarkStart w:id="7" w:name="_Ref382574181"/>
      <w:bookmarkStart w:id="8" w:name="_Ref399347084"/>
      <w:r>
        <w:t>R1-</w:t>
      </w:r>
      <w:bookmarkEnd w:id="4"/>
      <w:bookmarkEnd w:id="5"/>
      <w:bookmarkEnd w:id="6"/>
      <w:bookmarkEnd w:id="7"/>
      <w:r>
        <w:t>143509, “</w:t>
      </w:r>
      <w:r w:rsidRPr="00267F51">
        <w:rPr>
          <w:lang w:eastAsia="ja-JP"/>
        </w:rPr>
        <w:t>LS on updated LTE Rel-12 UE feature list</w:t>
      </w:r>
      <w:r>
        <w:rPr>
          <w:lang w:eastAsia="ja-JP"/>
        </w:rPr>
        <w:t>”</w:t>
      </w:r>
      <w:bookmarkEnd w:id="8"/>
    </w:p>
    <w:p w:rsidR="000043EC" w:rsidRDefault="000043EC" w:rsidP="000043EC">
      <w:pPr>
        <w:pStyle w:val="Reference"/>
      </w:pPr>
      <w:bookmarkStart w:id="9" w:name="_Ref399356155"/>
      <w:r w:rsidRPr="00AF47A5">
        <w:t>R1-142684</w:t>
      </w:r>
      <w:r>
        <w:t>, “</w:t>
      </w:r>
      <w:r w:rsidRPr="00AF47A5">
        <w:t>LS on NAICS Parameters</w:t>
      </w:r>
      <w:r>
        <w:t>”</w:t>
      </w:r>
      <w:bookmarkEnd w:id="9"/>
    </w:p>
    <w:p w:rsidR="000043EC" w:rsidRDefault="000043EC" w:rsidP="000043EC">
      <w:pPr>
        <w:pStyle w:val="Reference"/>
      </w:pPr>
    </w:p>
    <w:p w:rsidR="0004502C" w:rsidRDefault="0004502C"/>
    <w:sectPr w:rsidR="000450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EC"/>
    <w:rsid w:val="000043EC"/>
    <w:rsid w:val="0004502C"/>
    <w:rsid w:val="009B5ADE"/>
    <w:rsid w:val="009D0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EC"/>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0043EC"/>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043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043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043E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043E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043EC"/>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0043EC"/>
    <w:rPr>
      <w:rFonts w:ascii="Helvetica" w:eastAsia="MS Mincho" w:hAnsi="Helvetica" w:cs="Arial"/>
      <w:b/>
      <w:bCs/>
      <w:iCs/>
      <w:sz w:val="24"/>
      <w:szCs w:val="24"/>
    </w:rPr>
  </w:style>
  <w:style w:type="character" w:customStyle="1" w:styleId="Heading3Char">
    <w:name w:val="Heading 3 Char"/>
    <w:basedOn w:val="DefaultParagraphFont"/>
    <w:link w:val="Heading3"/>
    <w:rsid w:val="000043EC"/>
    <w:rPr>
      <w:rFonts w:ascii="Helvetica" w:eastAsia="MS Mincho" w:hAnsi="Helvetica" w:cs="Helvetica"/>
      <w:b/>
      <w:bCs/>
      <w:szCs w:val="20"/>
    </w:rPr>
  </w:style>
  <w:style w:type="character" w:customStyle="1" w:styleId="Heading4Char">
    <w:name w:val="Heading 4 Char"/>
    <w:basedOn w:val="DefaultParagraphFont"/>
    <w:link w:val="Heading4"/>
    <w:rsid w:val="000043EC"/>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043E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43EC"/>
    <w:rPr>
      <w:rFonts w:ascii="Arial" w:eastAsia="MS Mincho" w:hAnsi="Arial" w:cs="Times New Roman"/>
      <w:b/>
      <w:szCs w:val="24"/>
    </w:rPr>
  </w:style>
  <w:style w:type="paragraph" w:customStyle="1" w:styleId="H6">
    <w:name w:val="H6"/>
    <w:basedOn w:val="Heading5"/>
    <w:next w:val="Normal"/>
    <w:rsid w:val="000043EC"/>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043E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43EC"/>
    <w:rPr>
      <w:rFonts w:ascii="Times New Roman" w:eastAsia="Times New Roman" w:hAnsi="Times New Roman" w:cs="Times New Roman"/>
      <w:szCs w:val="24"/>
    </w:rPr>
  </w:style>
  <w:style w:type="paragraph" w:customStyle="1" w:styleId="Reference">
    <w:name w:val="Reference"/>
    <w:basedOn w:val="BodyText"/>
    <w:link w:val="ReferenceChar"/>
    <w:qFormat/>
    <w:rsid w:val="000043EC"/>
    <w:pPr>
      <w:numPr>
        <w:numId w:val="2"/>
      </w:numPr>
      <w:ind w:left="567" w:hanging="567"/>
      <w:jc w:val="both"/>
    </w:pPr>
    <w:rPr>
      <w:rFonts w:eastAsia="MS Mincho"/>
    </w:rPr>
  </w:style>
  <w:style w:type="character" w:customStyle="1" w:styleId="ReferenceChar">
    <w:name w:val="Reference Char"/>
    <w:link w:val="Reference"/>
    <w:rsid w:val="000043EC"/>
    <w:rPr>
      <w:rFonts w:ascii="Times New Roman" w:eastAsia="MS Mincho" w:hAnsi="Times New Roman" w:cs="Times New Roman"/>
      <w:szCs w:val="24"/>
    </w:rPr>
  </w:style>
  <w:style w:type="character" w:customStyle="1" w:styleId="Heading5Char">
    <w:name w:val="Heading 5 Char"/>
    <w:basedOn w:val="DefaultParagraphFont"/>
    <w:link w:val="Heading5"/>
    <w:uiPriority w:val="9"/>
    <w:semiHidden/>
    <w:rsid w:val="000043EC"/>
    <w:rPr>
      <w:rFonts w:asciiTheme="majorHAnsi" w:eastAsiaTheme="majorEastAsia" w:hAnsiTheme="majorHAnsi" w:cstheme="majorBidi"/>
      <w:color w:val="243F60" w:themeColor="accent1" w:themeShade="7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EC"/>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0043EC"/>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043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043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043E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043E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043EC"/>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0043EC"/>
    <w:rPr>
      <w:rFonts w:ascii="Helvetica" w:eastAsia="MS Mincho" w:hAnsi="Helvetica" w:cs="Arial"/>
      <w:b/>
      <w:bCs/>
      <w:iCs/>
      <w:sz w:val="24"/>
      <w:szCs w:val="24"/>
    </w:rPr>
  </w:style>
  <w:style w:type="character" w:customStyle="1" w:styleId="Heading3Char">
    <w:name w:val="Heading 3 Char"/>
    <w:basedOn w:val="DefaultParagraphFont"/>
    <w:link w:val="Heading3"/>
    <w:rsid w:val="000043EC"/>
    <w:rPr>
      <w:rFonts w:ascii="Helvetica" w:eastAsia="MS Mincho" w:hAnsi="Helvetica" w:cs="Helvetica"/>
      <w:b/>
      <w:bCs/>
      <w:szCs w:val="20"/>
    </w:rPr>
  </w:style>
  <w:style w:type="character" w:customStyle="1" w:styleId="Heading4Char">
    <w:name w:val="Heading 4 Char"/>
    <w:basedOn w:val="DefaultParagraphFont"/>
    <w:link w:val="Heading4"/>
    <w:rsid w:val="000043EC"/>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043E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43EC"/>
    <w:rPr>
      <w:rFonts w:ascii="Arial" w:eastAsia="MS Mincho" w:hAnsi="Arial" w:cs="Times New Roman"/>
      <w:b/>
      <w:szCs w:val="24"/>
    </w:rPr>
  </w:style>
  <w:style w:type="paragraph" w:customStyle="1" w:styleId="H6">
    <w:name w:val="H6"/>
    <w:basedOn w:val="Heading5"/>
    <w:next w:val="Normal"/>
    <w:rsid w:val="000043EC"/>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043E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43EC"/>
    <w:rPr>
      <w:rFonts w:ascii="Times New Roman" w:eastAsia="Times New Roman" w:hAnsi="Times New Roman" w:cs="Times New Roman"/>
      <w:szCs w:val="24"/>
    </w:rPr>
  </w:style>
  <w:style w:type="paragraph" w:customStyle="1" w:styleId="Reference">
    <w:name w:val="Reference"/>
    <w:basedOn w:val="BodyText"/>
    <w:link w:val="ReferenceChar"/>
    <w:qFormat/>
    <w:rsid w:val="000043EC"/>
    <w:pPr>
      <w:numPr>
        <w:numId w:val="2"/>
      </w:numPr>
      <w:ind w:left="567" w:hanging="567"/>
      <w:jc w:val="both"/>
    </w:pPr>
    <w:rPr>
      <w:rFonts w:eastAsia="MS Mincho"/>
    </w:rPr>
  </w:style>
  <w:style w:type="character" w:customStyle="1" w:styleId="ReferenceChar">
    <w:name w:val="Reference Char"/>
    <w:link w:val="Reference"/>
    <w:rsid w:val="000043EC"/>
    <w:rPr>
      <w:rFonts w:ascii="Times New Roman" w:eastAsia="MS Mincho" w:hAnsi="Times New Roman" w:cs="Times New Roman"/>
      <w:szCs w:val="24"/>
    </w:rPr>
  </w:style>
  <w:style w:type="character" w:customStyle="1" w:styleId="Heading5Char">
    <w:name w:val="Heading 5 Char"/>
    <w:basedOn w:val="DefaultParagraphFont"/>
    <w:link w:val="Heading5"/>
    <w:uiPriority w:val="9"/>
    <w:semiHidden/>
    <w:rsid w:val="000043EC"/>
    <w:rPr>
      <w:rFonts w:asciiTheme="majorHAnsi" w:eastAsiaTheme="majorEastAsia" w:hAnsiTheme="majorHAnsi" w:cstheme="majorBidi"/>
      <w:color w:val="243F60"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2014-09-26T18:09:00Z</dcterms:created>
  <dcterms:modified xsi:type="dcterms:W3CDTF">2014-09-26T18:15:00Z</dcterms:modified>
</cp:coreProperties>
</file>