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016953">
      <w:pPr>
        <w:tabs>
          <w:tab w:val="right" w:pos="9072"/>
        </w:tabs>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w:t>
      </w:r>
      <w:r w:rsidR="003704BD">
        <w:rPr>
          <w:rFonts w:ascii="Arial" w:eastAsia="MS Mincho" w:hAnsi="Arial"/>
          <w:b/>
          <w:bCs/>
        </w:rPr>
        <w:t>7</w:t>
      </w:r>
      <w:r w:rsidR="006E3BD6">
        <w:rPr>
          <w:rFonts w:ascii="Arial" w:eastAsia="MS Mincho" w:hAnsi="Arial"/>
          <w:b/>
          <w:bCs/>
        </w:rPr>
        <w:t>8</w:t>
      </w:r>
      <w:r w:rsidR="0090367C">
        <w:rPr>
          <w:rFonts w:ascii="Arial" w:eastAsia="MS Mincho" w:hAnsi="Arial"/>
          <w:b/>
          <w:bCs/>
        </w:rPr>
        <w:t>,</w:t>
      </w:r>
      <w:r w:rsidR="0090367C">
        <w:rPr>
          <w:rFonts w:ascii="Arial" w:eastAsia="MS Mincho" w:hAnsi="Arial"/>
          <w:b/>
          <w:bCs/>
        </w:rPr>
        <w:tab/>
        <w:t>R1-</w:t>
      </w:r>
      <w:r w:rsidR="00D86DAE">
        <w:rPr>
          <w:rFonts w:ascii="Arial" w:eastAsia="MS Mincho" w:hAnsi="Arial"/>
          <w:b/>
          <w:bCs/>
        </w:rPr>
        <w:t>14</w:t>
      </w:r>
      <w:r w:rsidR="00CD70D9">
        <w:rPr>
          <w:rFonts w:ascii="Arial" w:eastAsia="MS Mincho" w:hAnsi="Arial"/>
          <w:b/>
          <w:bCs/>
        </w:rPr>
        <w:t>3313</w:t>
      </w:r>
    </w:p>
    <w:p w:rsidR="003F68FD" w:rsidRPr="003F68FD" w:rsidRDefault="003F68FD" w:rsidP="00016953">
      <w:pPr>
        <w:pStyle w:val="Header"/>
        <w:tabs>
          <w:tab w:val="clear" w:pos="4536"/>
          <w:tab w:val="left" w:pos="1800"/>
        </w:tabs>
        <w:ind w:left="1800" w:hanging="1800"/>
        <w:rPr>
          <w:bCs/>
        </w:rPr>
      </w:pPr>
      <w:r w:rsidRPr="003F68FD">
        <w:rPr>
          <w:rFonts w:hint="eastAsia"/>
          <w:bCs/>
        </w:rPr>
        <w:t>Dresden</w:t>
      </w:r>
      <w:r w:rsidRPr="003F68FD">
        <w:rPr>
          <w:bCs/>
        </w:rPr>
        <w:t xml:space="preserve">, </w:t>
      </w:r>
      <w:r w:rsidRPr="003F68FD">
        <w:rPr>
          <w:rFonts w:hint="eastAsia"/>
          <w:bCs/>
        </w:rPr>
        <w:t>Germany</w:t>
      </w:r>
      <w:r w:rsidRPr="003F68FD">
        <w:rPr>
          <w:bCs/>
        </w:rPr>
        <w:t xml:space="preserve">, </w:t>
      </w:r>
      <w:r w:rsidRPr="003F68FD">
        <w:rPr>
          <w:rFonts w:hint="eastAsia"/>
          <w:bCs/>
        </w:rPr>
        <w:t>18</w:t>
      </w:r>
      <w:r w:rsidRPr="003F68FD">
        <w:rPr>
          <w:rFonts w:hint="eastAsia"/>
          <w:bCs/>
          <w:vertAlign w:val="superscript"/>
        </w:rPr>
        <w:t>th</w:t>
      </w:r>
      <w:r w:rsidRPr="003F68FD">
        <w:rPr>
          <w:bCs/>
        </w:rPr>
        <w:t xml:space="preserve"> – </w:t>
      </w:r>
      <w:r w:rsidRPr="003F68FD">
        <w:rPr>
          <w:rFonts w:hint="eastAsia"/>
          <w:bCs/>
        </w:rPr>
        <w:t>22</w:t>
      </w:r>
      <w:r w:rsidRPr="003F68FD">
        <w:rPr>
          <w:rFonts w:hint="eastAsia"/>
          <w:bCs/>
          <w:vertAlign w:val="superscript"/>
        </w:rPr>
        <w:t>th</w:t>
      </w:r>
      <w:r w:rsidRPr="003F68FD">
        <w:rPr>
          <w:bCs/>
        </w:rPr>
        <w:t xml:space="preserve"> </w:t>
      </w:r>
      <w:r w:rsidRPr="003F68FD">
        <w:rPr>
          <w:rFonts w:hint="eastAsia"/>
          <w:bCs/>
        </w:rPr>
        <w:t>August</w:t>
      </w:r>
      <w:r w:rsidRPr="003F68FD">
        <w:rPr>
          <w:bCs/>
        </w:rPr>
        <w:t xml:space="preserve"> 2014</w:t>
      </w:r>
    </w:p>
    <w:p w:rsidR="00891F6D" w:rsidRDefault="00891F6D" w:rsidP="00016953">
      <w:pPr>
        <w:pStyle w:val="Header"/>
        <w:tabs>
          <w:tab w:val="clear" w:pos="4536"/>
          <w:tab w:val="left" w:pos="1800"/>
        </w:tabs>
        <w:ind w:left="1800" w:hanging="1800"/>
      </w:pPr>
    </w:p>
    <w:p w:rsidR="002A56A0" w:rsidRPr="00E70914" w:rsidRDefault="002A56A0" w:rsidP="00016953">
      <w:pPr>
        <w:pStyle w:val="Header"/>
        <w:tabs>
          <w:tab w:val="clear" w:pos="4536"/>
          <w:tab w:val="left" w:pos="1800"/>
        </w:tabs>
        <w:ind w:left="1800" w:hanging="1800"/>
      </w:pPr>
      <w:r w:rsidRPr="00E70914">
        <w:t>Source:</w:t>
      </w:r>
      <w:r w:rsidRPr="00E70914">
        <w:tab/>
        <w:t>Ericsson</w:t>
      </w:r>
    </w:p>
    <w:p w:rsidR="002A56A0" w:rsidRPr="00E70914" w:rsidRDefault="002A56A0" w:rsidP="00016953">
      <w:pPr>
        <w:pStyle w:val="Header"/>
        <w:tabs>
          <w:tab w:val="clear" w:pos="4536"/>
          <w:tab w:val="left" w:pos="1800"/>
        </w:tabs>
      </w:pPr>
      <w:r w:rsidRPr="00E70914">
        <w:t>Title:</w:t>
      </w:r>
      <w:r w:rsidRPr="00E70914">
        <w:tab/>
      </w:r>
      <w:r w:rsidR="00327F01">
        <w:t>256QAM</w:t>
      </w:r>
      <w:r w:rsidR="00500656">
        <w:t xml:space="preserve"> configuration and </w:t>
      </w:r>
      <w:r w:rsidR="008E6B5E">
        <w:t xml:space="preserve">RRC </w:t>
      </w:r>
      <w:r w:rsidR="00500656">
        <w:t>signaling</w:t>
      </w:r>
    </w:p>
    <w:p w:rsidR="002A56A0" w:rsidRPr="00E70914" w:rsidRDefault="002A56A0" w:rsidP="00016953">
      <w:pPr>
        <w:pStyle w:val="Header"/>
        <w:tabs>
          <w:tab w:val="left" w:pos="1800"/>
        </w:tabs>
      </w:pPr>
      <w:r w:rsidRPr="00E70914">
        <w:t>Agenda Item:</w:t>
      </w:r>
      <w:r w:rsidRPr="00E70914">
        <w:tab/>
      </w:r>
      <w:r w:rsidR="006E3BD6">
        <w:t>7.2.1.1</w:t>
      </w:r>
    </w:p>
    <w:p w:rsidR="002A56A0" w:rsidRPr="00E70914" w:rsidRDefault="002A56A0" w:rsidP="00016953">
      <w:pPr>
        <w:pStyle w:val="Header"/>
        <w:tabs>
          <w:tab w:val="left" w:pos="1800"/>
        </w:tabs>
      </w:pPr>
      <w:r w:rsidRPr="00E70914">
        <w:t>Document for:</w:t>
      </w:r>
      <w:r w:rsidRPr="00E70914">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2A56A0" w:rsidP="00016953">
      <w:pPr>
        <w:pStyle w:val="Heading1"/>
      </w:pPr>
      <w:bookmarkStart w:id="1" w:name="_Ref301342314"/>
      <w:r w:rsidRPr="00E70914">
        <w:t>Introduction</w:t>
      </w:r>
      <w:bookmarkEnd w:id="1"/>
    </w:p>
    <w:p w:rsidR="00991760" w:rsidRDefault="00871A9A" w:rsidP="00016953">
      <w:pPr>
        <w:pStyle w:val="BodyText"/>
      </w:pPr>
      <w:r>
        <w:t>In RAN1#77 meeting, 256QAM configuration was discussed and</w:t>
      </w:r>
      <w:r w:rsidR="00991760">
        <w:t xml:space="preserve"> a working assumption is made:</w:t>
      </w:r>
    </w:p>
    <w:p w:rsidR="00991760" w:rsidRPr="00991760" w:rsidRDefault="00991760" w:rsidP="00016953">
      <w:pPr>
        <w:pStyle w:val="BodyText"/>
        <w:numPr>
          <w:ilvl w:val="0"/>
          <w:numId w:val="30"/>
        </w:numPr>
        <w:rPr>
          <w:i/>
        </w:rPr>
      </w:pPr>
      <w:r w:rsidRPr="00991760">
        <w:rPr>
          <w:i/>
        </w:rPr>
        <w:t xml:space="preserve">For TM10, CQI table </w:t>
      </w:r>
      <w:r w:rsidRPr="00991760">
        <w:rPr>
          <w:rFonts w:hint="eastAsia"/>
          <w:i/>
        </w:rPr>
        <w:t>are</w:t>
      </w:r>
      <w:r w:rsidRPr="00991760">
        <w:rPr>
          <w:i/>
        </w:rPr>
        <w:t xml:space="preserve"> common for all CSI processes</w:t>
      </w:r>
      <w:r w:rsidRPr="00991760">
        <w:rPr>
          <w:rFonts w:hint="eastAsia"/>
          <w:i/>
        </w:rPr>
        <w:t xml:space="preserve"> and/or Rel-11 </w:t>
      </w:r>
      <w:r w:rsidRPr="00991760">
        <w:rPr>
          <w:i/>
        </w:rPr>
        <w:t>subframe measurement set</w:t>
      </w:r>
      <w:r w:rsidRPr="00991760">
        <w:rPr>
          <w:rFonts w:hint="eastAsia"/>
          <w:i/>
        </w:rPr>
        <w:t>s</w:t>
      </w:r>
      <w:r w:rsidRPr="00991760">
        <w:rPr>
          <w:i/>
        </w:rPr>
        <w:t xml:space="preserve"> and MCS table is common for all PQI sets</w:t>
      </w:r>
    </w:p>
    <w:p w:rsidR="00991760" w:rsidRPr="00991760" w:rsidRDefault="00991760" w:rsidP="00016953">
      <w:pPr>
        <w:pStyle w:val="BodyText"/>
        <w:numPr>
          <w:ilvl w:val="0"/>
          <w:numId w:val="30"/>
        </w:numPr>
        <w:rPr>
          <w:i/>
        </w:rPr>
      </w:pPr>
      <w:r w:rsidRPr="00991760">
        <w:rPr>
          <w:rFonts w:hint="eastAsia"/>
          <w:i/>
        </w:rPr>
        <w:t xml:space="preserve">For TM1-9, </w:t>
      </w:r>
      <w:r w:rsidRPr="00991760">
        <w:rPr>
          <w:i/>
        </w:rPr>
        <w:t xml:space="preserve">256QAM CQI table can be configured per each </w:t>
      </w:r>
      <w:r w:rsidRPr="00991760">
        <w:rPr>
          <w:rFonts w:hint="eastAsia"/>
          <w:i/>
        </w:rPr>
        <w:t xml:space="preserve">Rel-11 </w:t>
      </w:r>
      <w:r w:rsidRPr="00991760">
        <w:rPr>
          <w:i/>
        </w:rPr>
        <w:t>subframe measurement set</w:t>
      </w:r>
    </w:p>
    <w:p w:rsidR="002A56A0" w:rsidRPr="00E70914" w:rsidRDefault="008E6B5E" w:rsidP="00016953">
      <w:pPr>
        <w:pStyle w:val="BodyText"/>
      </w:pPr>
      <w:r>
        <w:t>There are</w:t>
      </w:r>
      <w:r w:rsidR="00E62924">
        <w:t xml:space="preserve"> ongoing email discussion</w:t>
      </w:r>
      <w:r>
        <w:t>s</w:t>
      </w:r>
      <w:r w:rsidR="00E62924">
        <w:t xml:space="preserve"> on confirming th</w:t>
      </w:r>
      <w:r>
        <w:t>e above assumptions and concluding</w:t>
      </w:r>
      <w:r w:rsidR="00E62924">
        <w:t xml:space="preserve"> the MCS table configuration for the case</w:t>
      </w:r>
      <w:r>
        <w:t xml:space="preserve"> described</w:t>
      </w:r>
      <w:r w:rsidR="00E62924">
        <w:t xml:space="preserve"> in second bullet, i.e., TM1-9 with Rel-11 subframe set </w:t>
      </w:r>
      <w:r>
        <w:t xml:space="preserve">configured. </w:t>
      </w:r>
      <w:r w:rsidR="002A56A0" w:rsidRPr="00E70914">
        <w:t>In this contribution, we</w:t>
      </w:r>
      <w:r w:rsidR="002C698F">
        <w:t xml:space="preserve"> </w:t>
      </w:r>
      <w:r w:rsidR="00DE037F">
        <w:t xml:space="preserve">discuss the remaining issues and </w:t>
      </w:r>
      <w:r>
        <w:t>provide our views on</w:t>
      </w:r>
      <w:r w:rsidR="002C698F">
        <w:t xml:space="preserve"> </w:t>
      </w:r>
      <w:r w:rsidR="00BD6497">
        <w:t xml:space="preserve">256QAM configuration and </w:t>
      </w:r>
      <w:r>
        <w:t xml:space="preserve">RRC </w:t>
      </w:r>
      <w:r w:rsidR="00BD6497">
        <w:t>signaling design</w:t>
      </w:r>
      <w:r w:rsidR="00C445AA">
        <w:t>.</w:t>
      </w:r>
    </w:p>
    <w:p w:rsidR="002A56A0" w:rsidRDefault="002A56A0" w:rsidP="00016953">
      <w:pPr>
        <w:pStyle w:val="Heading1"/>
      </w:pPr>
      <w:bookmarkStart w:id="2" w:name="_Ref346118000"/>
      <w:r w:rsidRPr="00E70914">
        <w:t>Discussion</w:t>
      </w:r>
      <w:bookmarkEnd w:id="2"/>
    </w:p>
    <w:p w:rsidR="00CB7E92" w:rsidRDefault="008E6B5E" w:rsidP="00905EAF">
      <w:pPr>
        <w:pStyle w:val="BodyText"/>
        <w:jc w:val="both"/>
      </w:pPr>
      <w:r>
        <w:t xml:space="preserve">It has been discussed in </w:t>
      </w:r>
      <w:r>
        <w:fldChar w:fldCharType="begin"/>
      </w:r>
      <w:r>
        <w:instrText xml:space="preserve"> REF _Ref377392850 \r \h </w:instrText>
      </w:r>
      <w:r w:rsidR="00905EAF">
        <w:instrText xml:space="preserve"> \* MERGEFORMAT </w:instrText>
      </w:r>
      <w:r>
        <w:fldChar w:fldCharType="separate"/>
      </w:r>
      <w:r>
        <w:t>[1]</w:t>
      </w:r>
      <w:r>
        <w:fldChar w:fldCharType="end"/>
      </w:r>
      <w:r>
        <w:t xml:space="preserve"> that there is no benefit to </w:t>
      </w:r>
      <w:r w:rsidR="00D47968">
        <w:t>apply</w:t>
      </w:r>
      <w:r>
        <w:t xml:space="preserve"> CQI/MCS table based on channel condition</w:t>
      </w:r>
      <w:r w:rsidR="00706709">
        <w:t>,</w:t>
      </w:r>
      <w:r>
        <w:t xml:space="preserve"> since the new CQI/MCS table </w:t>
      </w:r>
      <w:r w:rsidR="00706709">
        <w:t xml:space="preserve">shares the majority entries as legacy table and </w:t>
      </w:r>
      <w:r>
        <w:t>provides enough robustness</w:t>
      </w:r>
      <w:r w:rsidR="00706709">
        <w:t xml:space="preserve"> for low SINR region</w:t>
      </w:r>
      <w:r w:rsidR="00DD4528">
        <w:t xml:space="preserve"> according to </w:t>
      </w:r>
      <w:r w:rsidR="00DE037F">
        <w:t>our</w:t>
      </w:r>
      <w:r w:rsidR="00DD4528">
        <w:t xml:space="preserve"> simulations</w:t>
      </w:r>
      <w:r w:rsidR="00706709">
        <w:t>. In RAN1#77 meeting, a compromised working assumption was made</w:t>
      </w:r>
      <w:r w:rsidR="00DD4528">
        <w:t xml:space="preserve"> that CQI table can be configured per Rel-11 measurement subframe set.</w:t>
      </w:r>
      <w:r w:rsidR="00706709">
        <w:t xml:space="preserve"> </w:t>
      </w:r>
      <w:r w:rsidR="005D3BB7">
        <w:t>Regarding the MCS table for TM1-9 with Rel-11 measurement</w:t>
      </w:r>
      <w:r w:rsidR="00DD4528">
        <w:t xml:space="preserve"> subframe</w:t>
      </w:r>
      <w:r w:rsidR="005D3BB7">
        <w:t xml:space="preserve"> set configured, there are 3 options </w:t>
      </w:r>
      <w:r w:rsidR="00DD4528">
        <w:t>under discussion</w:t>
      </w:r>
      <w:r w:rsidR="005D3BB7">
        <w:t>:</w:t>
      </w:r>
    </w:p>
    <w:p w:rsidR="00016953" w:rsidRDefault="005D3BB7" w:rsidP="00905EAF">
      <w:pPr>
        <w:pStyle w:val="BodyText"/>
        <w:numPr>
          <w:ilvl w:val="0"/>
          <w:numId w:val="30"/>
        </w:numPr>
        <w:jc w:val="both"/>
        <w:rPr>
          <w:i/>
        </w:rPr>
      </w:pPr>
      <w:r w:rsidRPr="00016953">
        <w:rPr>
          <w:i/>
        </w:rPr>
        <w:t>Option1: For</w:t>
      </w:r>
      <w:r w:rsidR="00016953" w:rsidRPr="00016953">
        <w:rPr>
          <w:i/>
        </w:rPr>
        <w:t xml:space="preserve"> </w:t>
      </w:r>
      <w:r w:rsidRPr="00016953">
        <w:rPr>
          <w:i/>
        </w:rPr>
        <w:t>TM1~9, a single MCS table is applied for all the subframes. If at least one of the measurements subframe set is configured with the 256QAM CQI table</w:t>
      </w:r>
      <w:r w:rsidR="00016953" w:rsidRPr="00016953">
        <w:rPr>
          <w:i/>
        </w:rPr>
        <w:t xml:space="preserve">, the UE assumes the 256QAM MCS </w:t>
      </w:r>
      <w:r w:rsidRPr="00016953">
        <w:rPr>
          <w:i/>
        </w:rPr>
        <w:t>table</w:t>
      </w:r>
      <w:r w:rsidR="00016953" w:rsidRPr="00016953">
        <w:rPr>
          <w:i/>
        </w:rPr>
        <w:t>.</w:t>
      </w:r>
    </w:p>
    <w:p w:rsidR="00016953" w:rsidRDefault="005D3BB7" w:rsidP="00905EAF">
      <w:pPr>
        <w:pStyle w:val="BodyText"/>
        <w:numPr>
          <w:ilvl w:val="0"/>
          <w:numId w:val="30"/>
        </w:numPr>
        <w:jc w:val="both"/>
        <w:rPr>
          <w:i/>
        </w:rPr>
      </w:pPr>
      <w:r w:rsidRPr="00016953">
        <w:rPr>
          <w:i/>
        </w:rPr>
        <w:t xml:space="preserve">Option2: For TM1~9, one MCS table can be configured for each Rel-11 subframe measurement set, which corresponds to the CQI table in the same subframe set. Legacy MCS table is assumed at the UE for subframes that do not belong to either subframe set. </w:t>
      </w:r>
    </w:p>
    <w:p w:rsidR="005D3BB7" w:rsidRPr="00016953" w:rsidRDefault="005D3BB7" w:rsidP="00905EAF">
      <w:pPr>
        <w:pStyle w:val="BodyText"/>
        <w:numPr>
          <w:ilvl w:val="0"/>
          <w:numId w:val="30"/>
        </w:numPr>
        <w:jc w:val="both"/>
        <w:rPr>
          <w:i/>
        </w:rPr>
      </w:pPr>
      <w:r w:rsidRPr="00016953">
        <w:rPr>
          <w:i/>
        </w:rPr>
        <w:t xml:space="preserve">Option3: For TM1~9, a single MCS table is applied for all the subframes, which is independent of the measurement subframe set specific CQI configuration (i.e. a single MCS table is </w:t>
      </w:r>
      <w:bookmarkStart w:id="3" w:name="_GoBack"/>
      <w:bookmarkEnd w:id="3"/>
      <w:r w:rsidRPr="00016953">
        <w:rPr>
          <w:i/>
        </w:rPr>
        <w:t>configured for TM1~10).</w:t>
      </w:r>
    </w:p>
    <w:p w:rsidR="00DD4528" w:rsidRDefault="00DE037F" w:rsidP="00905EAF">
      <w:pPr>
        <w:pStyle w:val="BodyText"/>
        <w:jc w:val="both"/>
      </w:pPr>
      <w:r>
        <w:t xml:space="preserve">Rel-11 measurement subframe set is defined only in terms of CQI reporting. The </w:t>
      </w:r>
      <w:r w:rsidR="00FF3431">
        <w:t xml:space="preserve">measurement subframe </w:t>
      </w:r>
      <w:r>
        <w:t>set</w:t>
      </w:r>
      <w:r w:rsidR="00FF3431">
        <w:t xml:space="preserve"> can be configured as ABS or non-ABS subframes and the pattern </w:t>
      </w:r>
      <w:proofErr w:type="gramStart"/>
      <w:r w:rsidR="00FF3431">
        <w:t>is</w:t>
      </w:r>
      <w:proofErr w:type="gramEnd"/>
      <w:r w:rsidR="00FF3431">
        <w:t xml:space="preserve"> indicated to UE via RRC signaling. The remaining subframes can be either ABS or non-ABS subframe and there is no indication to UE. </w:t>
      </w:r>
      <w:r w:rsidR="00DD4528">
        <w:t xml:space="preserve">Since there is no promising gain of using MCS table </w:t>
      </w:r>
      <w:r w:rsidR="00FF3431">
        <w:t>based on channel condition</w:t>
      </w:r>
      <w:r w:rsidR="00DD4528">
        <w:t xml:space="preserve">, a single MCS table </w:t>
      </w:r>
      <w:r w:rsidR="00FF3431">
        <w:t>can</w:t>
      </w:r>
      <w:r w:rsidR="00DD4528">
        <w:t xml:space="preserve"> be applied for all subframes for </w:t>
      </w:r>
      <w:r>
        <w:t xml:space="preserve">a </w:t>
      </w:r>
      <w:r w:rsidR="00DD4528">
        <w:t xml:space="preserve">simple design. </w:t>
      </w:r>
      <w:r w:rsidR="00D47968">
        <w:t xml:space="preserve">There is no obvious benefit of option 2 to configure MCS table per subframe set. Moreover, option 2 assumes a legacy MCS table for subframes that do not belong to either subframe set, which will prohibit the use of 256QAM for these subframes and hence may degrade the performance. For option 3, </w:t>
      </w:r>
      <w:r w:rsidR="00FF3431">
        <w:t xml:space="preserve">although some flexibility could be achieved, an </w:t>
      </w:r>
      <w:r w:rsidR="00D47968">
        <w:t xml:space="preserve">additional RRC signaling is </w:t>
      </w:r>
      <w:r w:rsidR="00FF3431">
        <w:t>required</w:t>
      </w:r>
      <w:r w:rsidR="00D47968">
        <w:t xml:space="preserve"> for configuring MCS table which may not be desirable. Therefore, option 1 should be adopted.</w:t>
      </w:r>
    </w:p>
    <w:p w:rsidR="00D47968" w:rsidRPr="00492133" w:rsidRDefault="00D47968" w:rsidP="00D47968">
      <w:pPr>
        <w:pStyle w:val="StatementHeading"/>
        <w:spacing w:before="0" w:beforeAutospacing="0" w:after="120"/>
      </w:pPr>
      <w:r>
        <w:lastRenderedPageBreak/>
        <w:t>Proposal</w:t>
      </w:r>
      <w:r w:rsidRPr="00492133">
        <w:t>:</w:t>
      </w:r>
    </w:p>
    <w:p w:rsidR="00D47968" w:rsidRDefault="00D47968" w:rsidP="00905EAF">
      <w:pPr>
        <w:pStyle w:val="BodyText"/>
        <w:numPr>
          <w:ilvl w:val="0"/>
          <w:numId w:val="4"/>
        </w:numPr>
      </w:pPr>
      <w:r>
        <w:rPr>
          <w:i/>
        </w:rPr>
        <w:t>Adopt option 1 for MCS table configuration for TM1-9 with Rel-11 measurement subframe set configured.</w:t>
      </w:r>
    </w:p>
    <w:p w:rsidR="005D3BB7" w:rsidRPr="005D3BB7" w:rsidRDefault="00FF3431" w:rsidP="00905EAF">
      <w:pPr>
        <w:pStyle w:val="BodyText"/>
        <w:jc w:val="both"/>
      </w:pPr>
      <w:r>
        <w:t xml:space="preserve">Herein, we design the </w:t>
      </w:r>
      <w:r w:rsidR="00D47968">
        <w:t xml:space="preserve">RRC signaling of 256QAM table configuration based on above proposal. </w:t>
      </w:r>
      <w:r>
        <w:t>R</w:t>
      </w:r>
      <w:r w:rsidR="005D3BB7" w:rsidRPr="005D3BB7">
        <w:t xml:space="preserve">egarding the RRC parameter design, it is not desirable to have many RRC parameters and much configurability options from both standardization and UE perspective unless it is deemed necessary. Therefore, we propose to have two RRC parameters as listed in below table. </w:t>
      </w:r>
    </w:p>
    <w:p w:rsidR="005D3BB7" w:rsidRPr="005D3BB7" w:rsidRDefault="005D3BB7" w:rsidP="00905EAF">
      <w:pPr>
        <w:pStyle w:val="BodyText"/>
        <w:numPr>
          <w:ilvl w:val="0"/>
          <w:numId w:val="33"/>
        </w:numPr>
        <w:jc w:val="both"/>
      </w:pPr>
      <w:r w:rsidRPr="005D3BB7">
        <w:t xml:space="preserve">The first parameter is used for CQI/MCS table configuration for serving cell </w:t>
      </w:r>
      <w:r w:rsidRPr="00D47968">
        <w:rPr>
          <w:i/>
        </w:rPr>
        <w:t xml:space="preserve">c </w:t>
      </w:r>
      <w:r w:rsidRPr="005D3BB7">
        <w:t xml:space="preserve">if measurement subframe sets are not configured. </w:t>
      </w:r>
    </w:p>
    <w:p w:rsidR="005D3BB7" w:rsidRPr="005D3BB7" w:rsidRDefault="005D3BB7" w:rsidP="00905EAF">
      <w:pPr>
        <w:pStyle w:val="BodyText"/>
        <w:numPr>
          <w:ilvl w:val="0"/>
          <w:numId w:val="33"/>
        </w:numPr>
        <w:jc w:val="both"/>
      </w:pPr>
      <w:r w:rsidRPr="005D3BB7">
        <w:t>If measurement subframe sets are configured</w:t>
      </w:r>
      <w:r w:rsidR="00D47968">
        <w:t>,</w:t>
      </w:r>
      <w:r w:rsidRPr="005D3BB7">
        <w:t xml:space="preserve"> the first parameter is used to configure the CQI table used for the first measurement subframe set of serving cell </w:t>
      </w:r>
      <w:r w:rsidRPr="005D3BB7">
        <w:rPr>
          <w:i/>
          <w:iCs/>
        </w:rPr>
        <w:t>c</w:t>
      </w:r>
      <w:r w:rsidRPr="005D3BB7">
        <w:t xml:space="preserve">. The second parameter is used for CQI table configuration for the second measurement subframe set. If either of the two parameters </w:t>
      </w:r>
      <w:r w:rsidR="00D47968">
        <w:t>is</w:t>
      </w:r>
      <w:r w:rsidRPr="005D3BB7">
        <w:t xml:space="preserve"> configured with 256QAM CQI table, the UE </w:t>
      </w:r>
      <w:r w:rsidR="00D47968">
        <w:t>shall</w:t>
      </w:r>
      <w:r w:rsidRPr="005D3BB7">
        <w:t xml:space="preserve"> use the 256QAM MCS table for all subframes.</w:t>
      </w:r>
    </w:p>
    <w:p w:rsidR="005D3BB7" w:rsidRDefault="00D47968" w:rsidP="00016953">
      <w:pPr>
        <w:pStyle w:val="BodyText"/>
      </w:pPr>
      <w:r>
        <w:t xml:space="preserve">The proposal is illustrated in </w:t>
      </w:r>
      <w:r w:rsidR="005E055B">
        <w:fldChar w:fldCharType="begin"/>
      </w:r>
      <w:r w:rsidR="005E055B">
        <w:instrText xml:space="preserve"> REF _Ref395256096 \h </w:instrText>
      </w:r>
      <w:r w:rsidR="005E055B">
        <w:fldChar w:fldCharType="separate"/>
      </w:r>
      <w:r w:rsidR="005E055B">
        <w:t xml:space="preserve">Table </w:t>
      </w:r>
      <w:r w:rsidR="005E055B">
        <w:rPr>
          <w:noProof/>
        </w:rPr>
        <w:t>1</w:t>
      </w:r>
      <w:r w:rsidR="005E055B">
        <w:fldChar w:fldCharType="end"/>
      </w:r>
      <w:r w:rsidR="005E055B">
        <w:t>.</w:t>
      </w:r>
    </w:p>
    <w:p w:rsidR="00D47968" w:rsidRPr="005D3BB7" w:rsidRDefault="00D47968" w:rsidP="005E055B">
      <w:pPr>
        <w:pStyle w:val="Caption"/>
        <w:jc w:val="center"/>
      </w:pPr>
      <w:bookmarkStart w:id="4" w:name="_Ref395256096"/>
      <w:r>
        <w:t xml:space="preserve">Table </w:t>
      </w:r>
      <w:fldSimple w:instr=" SEQ Table \* ARABIC ">
        <w:r>
          <w:rPr>
            <w:noProof/>
          </w:rPr>
          <w:t>1</w:t>
        </w:r>
      </w:fldSimple>
      <w:bookmarkEnd w:id="4"/>
      <w:r>
        <w:t>: RRC parameters of 256QAM configuration</w:t>
      </w:r>
    </w:p>
    <w:tbl>
      <w:tblPr>
        <w:tblW w:w="0" w:type="auto"/>
        <w:tblCellMar>
          <w:left w:w="0" w:type="dxa"/>
          <w:right w:w="0" w:type="dxa"/>
        </w:tblCellMar>
        <w:tblLook w:val="04A0" w:firstRow="1" w:lastRow="0" w:firstColumn="1" w:lastColumn="0" w:noHBand="0" w:noVBand="1"/>
      </w:tblPr>
      <w:tblGrid>
        <w:gridCol w:w="1908"/>
        <w:gridCol w:w="4590"/>
        <w:gridCol w:w="1530"/>
        <w:gridCol w:w="1450"/>
      </w:tblGrid>
      <w:tr w:rsidR="00D47968" w:rsidRPr="005D3BB7" w:rsidTr="005E055B">
        <w:trPr>
          <w:trHeight w:val="340"/>
        </w:trPr>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47968" w:rsidRPr="005E055B" w:rsidRDefault="00D47968" w:rsidP="00016953">
            <w:pPr>
              <w:pStyle w:val="BodyText"/>
              <w:rPr>
                <w:b/>
              </w:rPr>
            </w:pPr>
            <w:r w:rsidRPr="005E055B">
              <w:rPr>
                <w:b/>
              </w:rPr>
              <w:t>Parameter name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7968" w:rsidRPr="005E055B" w:rsidRDefault="00D47968" w:rsidP="00016953">
            <w:pPr>
              <w:pStyle w:val="BodyText"/>
              <w:rPr>
                <w:b/>
              </w:rPr>
            </w:pPr>
            <w:r w:rsidRPr="005E055B">
              <w:rPr>
                <w:b/>
              </w:rPr>
              <w:t>Description</w:t>
            </w:r>
          </w:p>
        </w:tc>
        <w:tc>
          <w:tcPr>
            <w:tcW w:w="1530" w:type="dxa"/>
            <w:tcBorders>
              <w:top w:val="single" w:sz="8" w:space="0" w:color="auto"/>
              <w:left w:val="nil"/>
              <w:bottom w:val="single" w:sz="8" w:space="0" w:color="auto"/>
              <w:right w:val="single" w:sz="8" w:space="0" w:color="auto"/>
            </w:tcBorders>
          </w:tcPr>
          <w:p w:rsidR="00D47968" w:rsidRPr="005E055B" w:rsidRDefault="00D47968" w:rsidP="00016953">
            <w:pPr>
              <w:pStyle w:val="BodyText"/>
              <w:rPr>
                <w:b/>
              </w:rPr>
            </w:pPr>
            <w:r w:rsidRPr="005E055B">
              <w:rPr>
                <w:b/>
              </w:rPr>
              <w:t>Value range</w:t>
            </w:r>
          </w:p>
        </w:tc>
        <w:tc>
          <w:tcPr>
            <w:tcW w:w="1450" w:type="dxa"/>
            <w:tcBorders>
              <w:top w:val="single" w:sz="8" w:space="0" w:color="auto"/>
              <w:left w:val="nil"/>
              <w:bottom w:val="single" w:sz="8" w:space="0" w:color="auto"/>
              <w:right w:val="single" w:sz="8" w:space="0" w:color="auto"/>
            </w:tcBorders>
          </w:tcPr>
          <w:p w:rsidR="00D47968" w:rsidRPr="005E055B" w:rsidRDefault="00D47968" w:rsidP="00016953">
            <w:pPr>
              <w:pStyle w:val="BodyText"/>
              <w:rPr>
                <w:b/>
              </w:rPr>
            </w:pPr>
            <w:r w:rsidRPr="005E055B">
              <w:rPr>
                <w:b/>
              </w:rPr>
              <w:t>Default value</w:t>
            </w:r>
          </w:p>
        </w:tc>
      </w:tr>
      <w:tr w:rsidR="00D47968" w:rsidRPr="005D3BB7" w:rsidTr="005E055B">
        <w:trPr>
          <w:trHeight w:val="1911"/>
        </w:trPr>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7968" w:rsidRPr="005D3BB7" w:rsidRDefault="00D47968" w:rsidP="001F4381">
            <w:pPr>
              <w:pStyle w:val="BodyText"/>
            </w:pPr>
            <w:r w:rsidRPr="005D3BB7">
              <w:t>256QAM-configuration</w:t>
            </w:r>
            <w:r w:rsidRPr="005D3BB7">
              <w:rPr>
                <w:i/>
                <w:iCs/>
              </w:rPr>
              <w:t xml:space="preserve"> </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7968" w:rsidRPr="005D3BB7" w:rsidRDefault="00D47968" w:rsidP="001F4381">
            <w:pPr>
              <w:pStyle w:val="BodyText"/>
            </w:pPr>
            <w:r w:rsidRPr="005D3BB7">
              <w:t>For TM10 and TM1-9 when Rel-11 measurement subframe sets are not configured, the parameter configures which CQI/MCS table is used.</w:t>
            </w:r>
          </w:p>
          <w:p w:rsidR="00D47968" w:rsidRPr="005D3BB7" w:rsidRDefault="00D47968" w:rsidP="001F4381">
            <w:pPr>
              <w:pStyle w:val="BodyText"/>
            </w:pPr>
            <w:r w:rsidRPr="005D3BB7">
              <w:t xml:space="preserve">For TM1-9 when Rel-11 measurement subframe sets are configured, the parameter configures which CQI table to use for csi-MeasSubframeSet1-r10 of serving cell </w:t>
            </w:r>
            <w:r w:rsidRPr="005D3BB7">
              <w:rPr>
                <w:i/>
                <w:iCs/>
              </w:rPr>
              <w:t>c</w:t>
            </w:r>
            <w:r w:rsidRPr="005D3BB7">
              <w:t>. If either 256QAM-configuration or CQI-table-configuration_set2 is configured with the 256QAM CQI table, the UE assumes the 256QAM MCS table for all subframes with the applicable DCI formats and RNTIs.</w:t>
            </w:r>
          </w:p>
        </w:tc>
        <w:tc>
          <w:tcPr>
            <w:tcW w:w="1530" w:type="dxa"/>
            <w:tcBorders>
              <w:top w:val="single" w:sz="8" w:space="0" w:color="auto"/>
              <w:left w:val="nil"/>
              <w:bottom w:val="single" w:sz="8" w:space="0" w:color="auto"/>
              <w:right w:val="single" w:sz="8" w:space="0" w:color="auto"/>
            </w:tcBorders>
          </w:tcPr>
          <w:p w:rsidR="005E055B" w:rsidRDefault="00D47968" w:rsidP="001F4381">
            <w:pPr>
              <w:pStyle w:val="BodyText"/>
            </w:pPr>
            <w:r w:rsidRPr="00D47968">
              <w:t xml:space="preserve">Legacy CQI/MCS table, </w:t>
            </w:r>
          </w:p>
          <w:p w:rsidR="00D47968" w:rsidRDefault="00D47968" w:rsidP="001F4381">
            <w:pPr>
              <w:pStyle w:val="BodyText"/>
            </w:pPr>
            <w:r w:rsidRPr="00D47968">
              <w:t>256QAM CQI/MCS table</w:t>
            </w:r>
          </w:p>
          <w:p w:rsidR="00D47968" w:rsidRPr="00D47968" w:rsidRDefault="00D47968" w:rsidP="00D47968"/>
          <w:p w:rsidR="00D47968" w:rsidRDefault="00D47968" w:rsidP="00D47968"/>
          <w:p w:rsidR="00D47968" w:rsidRPr="00D47968" w:rsidRDefault="00D47968" w:rsidP="00D47968">
            <w:pPr>
              <w:jc w:val="center"/>
            </w:pPr>
          </w:p>
        </w:tc>
        <w:tc>
          <w:tcPr>
            <w:tcW w:w="1450" w:type="dxa"/>
            <w:tcBorders>
              <w:top w:val="single" w:sz="8" w:space="0" w:color="auto"/>
              <w:left w:val="nil"/>
              <w:bottom w:val="single" w:sz="8" w:space="0" w:color="auto"/>
              <w:right w:val="single" w:sz="8" w:space="0" w:color="auto"/>
            </w:tcBorders>
          </w:tcPr>
          <w:p w:rsidR="00D47968" w:rsidRPr="00D47968" w:rsidRDefault="00D47968" w:rsidP="001F4381">
            <w:pPr>
              <w:pStyle w:val="BodyText"/>
            </w:pPr>
            <w:r w:rsidRPr="00D47968">
              <w:t>Legacy CQI/MCS table is configured</w:t>
            </w:r>
          </w:p>
        </w:tc>
      </w:tr>
      <w:tr w:rsidR="00D47968" w:rsidRPr="005D3BB7" w:rsidTr="005E055B">
        <w:trPr>
          <w:trHeight w:val="988"/>
        </w:trPr>
        <w:tc>
          <w:tcPr>
            <w:tcW w:w="19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968" w:rsidRPr="005D3BB7" w:rsidRDefault="00D47968" w:rsidP="00016953">
            <w:pPr>
              <w:pStyle w:val="BodyText"/>
            </w:pPr>
            <w:r w:rsidRPr="005D3BB7">
              <w:t>CQI-table-configuration-set2</w:t>
            </w:r>
          </w:p>
        </w:tc>
        <w:tc>
          <w:tcPr>
            <w:tcW w:w="4590" w:type="dxa"/>
            <w:tcBorders>
              <w:top w:val="nil"/>
              <w:left w:val="nil"/>
              <w:bottom w:val="single" w:sz="8" w:space="0" w:color="auto"/>
              <w:right w:val="single" w:sz="8" w:space="0" w:color="auto"/>
            </w:tcBorders>
            <w:tcMar>
              <w:top w:w="0" w:type="dxa"/>
              <w:left w:w="108" w:type="dxa"/>
              <w:bottom w:w="0" w:type="dxa"/>
              <w:right w:w="108" w:type="dxa"/>
            </w:tcMar>
            <w:hideMark/>
          </w:tcPr>
          <w:p w:rsidR="00D47968" w:rsidRPr="005D3BB7" w:rsidRDefault="00D47968" w:rsidP="00016953">
            <w:pPr>
              <w:pStyle w:val="BodyText"/>
            </w:pPr>
            <w:r w:rsidRPr="005D3BB7">
              <w:t xml:space="preserve">For TM1-9 when Rel-11 measurement subframe sets are configured, the parameter configures which CQI table to use for csi-MeasSubframeSet2-r10 of serving cell </w:t>
            </w:r>
            <w:r w:rsidRPr="005D3BB7">
              <w:rPr>
                <w:i/>
                <w:iCs/>
              </w:rPr>
              <w:t>c</w:t>
            </w:r>
            <w:r w:rsidRPr="005D3BB7">
              <w:t>. If either 256QAM-configuration or CQI-table-configuration_set2 is configured with the 256QAM CQI table, the UE assumes the 256QAM MCS table for all subframes with the applicable DCI formats and RNTIs.</w:t>
            </w:r>
          </w:p>
        </w:tc>
        <w:tc>
          <w:tcPr>
            <w:tcW w:w="1530" w:type="dxa"/>
            <w:tcBorders>
              <w:top w:val="nil"/>
              <w:left w:val="nil"/>
              <w:bottom w:val="single" w:sz="8" w:space="0" w:color="auto"/>
              <w:right w:val="single" w:sz="8" w:space="0" w:color="auto"/>
            </w:tcBorders>
          </w:tcPr>
          <w:p w:rsidR="005E055B" w:rsidRDefault="00D47968" w:rsidP="00016953">
            <w:pPr>
              <w:pStyle w:val="BodyText"/>
            </w:pPr>
            <w:r w:rsidRPr="00D47968">
              <w:t>Legacy CQI table,</w:t>
            </w:r>
          </w:p>
          <w:p w:rsidR="00D47968" w:rsidRPr="005D3BB7" w:rsidRDefault="00D47968" w:rsidP="00016953">
            <w:pPr>
              <w:pStyle w:val="BodyText"/>
            </w:pPr>
            <w:r w:rsidRPr="00D47968">
              <w:t>256QAM CQI table</w:t>
            </w:r>
          </w:p>
        </w:tc>
        <w:tc>
          <w:tcPr>
            <w:tcW w:w="1450" w:type="dxa"/>
            <w:tcBorders>
              <w:top w:val="nil"/>
              <w:left w:val="nil"/>
              <w:bottom w:val="single" w:sz="8" w:space="0" w:color="auto"/>
              <w:right w:val="single" w:sz="8" w:space="0" w:color="auto"/>
            </w:tcBorders>
          </w:tcPr>
          <w:p w:rsidR="00D47968" w:rsidRDefault="00D47968" w:rsidP="00016953">
            <w:pPr>
              <w:pStyle w:val="BodyText"/>
            </w:pPr>
            <w:r w:rsidRPr="00D47968">
              <w:t>Legacy CQI table is configured</w:t>
            </w:r>
          </w:p>
          <w:p w:rsidR="00D47968" w:rsidRDefault="00D47968" w:rsidP="00D47968"/>
          <w:p w:rsidR="00D47968" w:rsidRPr="00D47968" w:rsidRDefault="00D47968" w:rsidP="00D47968">
            <w:pPr>
              <w:ind w:firstLine="720"/>
            </w:pPr>
          </w:p>
        </w:tc>
      </w:tr>
    </w:tbl>
    <w:p w:rsidR="005D3BB7" w:rsidRDefault="005D3BB7" w:rsidP="00016953">
      <w:pPr>
        <w:pStyle w:val="BodyText"/>
      </w:pPr>
    </w:p>
    <w:p w:rsidR="002F00C3" w:rsidRPr="00492133" w:rsidRDefault="002F00C3" w:rsidP="00016953">
      <w:pPr>
        <w:pStyle w:val="StatementHeading"/>
        <w:spacing w:before="0" w:beforeAutospacing="0" w:after="120"/>
      </w:pPr>
      <w:r>
        <w:t>Proposal</w:t>
      </w:r>
      <w:r w:rsidRPr="00492133">
        <w:t>:</w:t>
      </w:r>
    </w:p>
    <w:p w:rsidR="00475509" w:rsidRPr="00475509" w:rsidRDefault="002F00C3" w:rsidP="00016953">
      <w:pPr>
        <w:pStyle w:val="BodyText"/>
        <w:numPr>
          <w:ilvl w:val="0"/>
          <w:numId w:val="4"/>
        </w:numPr>
        <w:rPr>
          <w:i/>
        </w:rPr>
      </w:pPr>
      <w:r>
        <w:rPr>
          <w:i/>
        </w:rPr>
        <w:t xml:space="preserve">Adopt </w:t>
      </w:r>
      <w:r w:rsidR="005E055B">
        <w:rPr>
          <w:i/>
        </w:rPr>
        <w:t xml:space="preserve">RRC parameter design </w:t>
      </w:r>
      <w:r w:rsidR="005E055B" w:rsidRPr="005E055B">
        <w:rPr>
          <w:i/>
        </w:rPr>
        <w:t xml:space="preserve">in </w:t>
      </w:r>
      <w:r w:rsidR="005E055B" w:rsidRPr="005E055B">
        <w:rPr>
          <w:i/>
        </w:rPr>
        <w:fldChar w:fldCharType="begin"/>
      </w:r>
      <w:r w:rsidR="005E055B" w:rsidRPr="005E055B">
        <w:rPr>
          <w:i/>
        </w:rPr>
        <w:instrText xml:space="preserve"> REF _Ref395256096 \h </w:instrText>
      </w:r>
      <w:r w:rsidR="005E055B">
        <w:rPr>
          <w:i/>
        </w:rPr>
        <w:instrText xml:space="preserve"> \* MERGEFORMAT </w:instrText>
      </w:r>
      <w:r w:rsidR="005E055B" w:rsidRPr="005E055B">
        <w:rPr>
          <w:i/>
        </w:rPr>
      </w:r>
      <w:r w:rsidR="005E055B" w:rsidRPr="005E055B">
        <w:rPr>
          <w:i/>
        </w:rPr>
        <w:fldChar w:fldCharType="separate"/>
      </w:r>
      <w:r w:rsidR="005E055B" w:rsidRPr="005E055B">
        <w:rPr>
          <w:i/>
        </w:rPr>
        <w:t>Table 1</w:t>
      </w:r>
      <w:r w:rsidR="005E055B" w:rsidRPr="005E055B">
        <w:rPr>
          <w:i/>
        </w:rPr>
        <w:fldChar w:fldCharType="end"/>
      </w:r>
      <w:r w:rsidR="005E055B" w:rsidRPr="005E055B">
        <w:rPr>
          <w:i/>
        </w:rPr>
        <w:t xml:space="preserve"> for RRC signaling of 256QAM configuration.</w:t>
      </w:r>
    </w:p>
    <w:p w:rsidR="002D4C4D" w:rsidRPr="00E70914" w:rsidRDefault="002D4C4D" w:rsidP="00016953">
      <w:pPr>
        <w:pStyle w:val="Heading1"/>
      </w:pPr>
      <w:r w:rsidRPr="00E70914">
        <w:lastRenderedPageBreak/>
        <w:t>Conclusions</w:t>
      </w:r>
    </w:p>
    <w:p w:rsidR="002D4C4D" w:rsidRPr="00E70914" w:rsidRDefault="002D4C4D" w:rsidP="00016953">
      <w:pPr>
        <w:pStyle w:val="BodyText"/>
      </w:pPr>
      <w:r w:rsidRPr="00E70914">
        <w:t xml:space="preserve">In this contribution, we </w:t>
      </w:r>
      <w:r w:rsidR="003F68FD">
        <w:t>discussed remaining issues on 256QAM table design and made below</w:t>
      </w:r>
      <w:r w:rsidRPr="00E70914">
        <w:t xml:space="preserve"> proposals</w:t>
      </w:r>
      <w:r>
        <w:t>:</w:t>
      </w:r>
      <w:r w:rsidRPr="00E70914">
        <w:t xml:space="preserve"> </w:t>
      </w:r>
    </w:p>
    <w:p w:rsidR="005E055B" w:rsidRPr="00492133" w:rsidRDefault="005E055B" w:rsidP="005E055B">
      <w:pPr>
        <w:pStyle w:val="StatementHeading"/>
        <w:spacing w:before="0" w:beforeAutospacing="0" w:after="120"/>
      </w:pPr>
      <w:r>
        <w:t>Proposal</w:t>
      </w:r>
      <w:r w:rsidRPr="00492133">
        <w:t>:</w:t>
      </w:r>
    </w:p>
    <w:p w:rsidR="005E055B" w:rsidRPr="00475509" w:rsidRDefault="005E055B" w:rsidP="005E055B">
      <w:pPr>
        <w:pStyle w:val="BodyText"/>
        <w:numPr>
          <w:ilvl w:val="0"/>
          <w:numId w:val="30"/>
        </w:numPr>
        <w:rPr>
          <w:i/>
        </w:rPr>
      </w:pPr>
      <w:r>
        <w:rPr>
          <w:i/>
        </w:rPr>
        <w:t>Adopt option 1 for MCS table configuration for TM1-9 with Rel-11 measurement subframe set configured.</w:t>
      </w:r>
    </w:p>
    <w:p w:rsidR="005E055B" w:rsidRPr="00475509" w:rsidRDefault="005E055B" w:rsidP="005E055B">
      <w:pPr>
        <w:pStyle w:val="BodyText"/>
        <w:numPr>
          <w:ilvl w:val="0"/>
          <w:numId w:val="30"/>
        </w:numPr>
        <w:rPr>
          <w:i/>
        </w:rPr>
      </w:pPr>
      <w:r>
        <w:rPr>
          <w:i/>
        </w:rPr>
        <w:t xml:space="preserve">Adopt RRC parameter design </w:t>
      </w:r>
      <w:r w:rsidRPr="005E055B">
        <w:rPr>
          <w:i/>
        </w:rPr>
        <w:t xml:space="preserve">in </w:t>
      </w:r>
      <w:r w:rsidRPr="005E055B">
        <w:rPr>
          <w:i/>
        </w:rPr>
        <w:fldChar w:fldCharType="begin"/>
      </w:r>
      <w:r w:rsidRPr="005E055B">
        <w:rPr>
          <w:i/>
        </w:rPr>
        <w:instrText xml:space="preserve"> REF _Ref395256096 \h </w:instrText>
      </w:r>
      <w:r>
        <w:rPr>
          <w:i/>
        </w:rPr>
        <w:instrText xml:space="preserve"> \* MERGEFORMAT </w:instrText>
      </w:r>
      <w:r w:rsidRPr="005E055B">
        <w:rPr>
          <w:i/>
        </w:rPr>
      </w:r>
      <w:r w:rsidRPr="005E055B">
        <w:rPr>
          <w:i/>
        </w:rPr>
        <w:fldChar w:fldCharType="separate"/>
      </w:r>
      <w:r w:rsidRPr="005E055B">
        <w:rPr>
          <w:i/>
        </w:rPr>
        <w:t>Table 1</w:t>
      </w:r>
      <w:r w:rsidRPr="005E055B">
        <w:rPr>
          <w:i/>
        </w:rPr>
        <w:fldChar w:fldCharType="end"/>
      </w:r>
      <w:r w:rsidRPr="005E055B">
        <w:rPr>
          <w:i/>
        </w:rPr>
        <w:t xml:space="preserve"> for RRC signaling of 256QAM configuration.</w:t>
      </w:r>
    </w:p>
    <w:p w:rsidR="002A56A0" w:rsidRPr="00E70914" w:rsidRDefault="002A56A0" w:rsidP="00016953">
      <w:pPr>
        <w:pStyle w:val="Heading1"/>
      </w:pPr>
      <w:r w:rsidRPr="00E70914">
        <w:t>References</w:t>
      </w:r>
    </w:p>
    <w:p w:rsidR="00CF5E33" w:rsidRDefault="00AA34BC" w:rsidP="008E6B5E">
      <w:pPr>
        <w:pStyle w:val="Reference"/>
        <w:jc w:val="left"/>
      </w:pPr>
      <w:bookmarkStart w:id="5" w:name="_Ref394506093"/>
      <w:bookmarkStart w:id="6" w:name="_Ref377392850"/>
      <w:bookmarkStart w:id="7" w:name="_Ref381794187"/>
      <w:bookmarkStart w:id="8" w:name="_Ref382574181"/>
      <w:r>
        <w:t>R1-14</w:t>
      </w:r>
      <w:r w:rsidR="008E6B5E">
        <w:t>2379</w:t>
      </w:r>
      <w:r>
        <w:t>, “</w:t>
      </w:r>
      <w:r w:rsidR="008E6B5E">
        <w:t>On 256QAM configuration</w:t>
      </w:r>
      <w:r>
        <w:t xml:space="preserve">”, </w:t>
      </w:r>
      <w:bookmarkEnd w:id="5"/>
      <w:r w:rsidR="008E6B5E">
        <w:t>Ericsson</w:t>
      </w:r>
      <w:bookmarkEnd w:id="6"/>
      <w:bookmarkEnd w:id="7"/>
      <w:bookmarkEnd w:id="8"/>
    </w:p>
    <w:sectPr w:rsidR="00CF5E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5">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14">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24">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0"/>
  </w:num>
  <w:num w:numId="2">
    <w:abstractNumId w:val="6"/>
  </w:num>
  <w:num w:numId="3">
    <w:abstractNumId w:val="12"/>
  </w:num>
  <w:num w:numId="4">
    <w:abstractNumId w:val="14"/>
  </w:num>
  <w:num w:numId="5">
    <w:abstractNumId w:val="23"/>
  </w:num>
  <w:num w:numId="6">
    <w:abstractNumId w:val="5"/>
  </w:num>
  <w:num w:numId="7">
    <w:abstractNumId w:val="30"/>
  </w:num>
  <w:num w:numId="8">
    <w:abstractNumId w:val="10"/>
  </w:num>
  <w:num w:numId="9">
    <w:abstractNumId w:val="31"/>
  </w:num>
  <w:num w:numId="10">
    <w:abstractNumId w:val="27"/>
  </w:num>
  <w:num w:numId="11">
    <w:abstractNumId w:val="25"/>
  </w:num>
  <w:num w:numId="12">
    <w:abstractNumId w:val="0"/>
  </w:num>
  <w:num w:numId="13">
    <w:abstractNumId w:val="24"/>
  </w:num>
  <w:num w:numId="14">
    <w:abstractNumId w:val="17"/>
  </w:num>
  <w:num w:numId="15">
    <w:abstractNumId w:val="11"/>
  </w:num>
  <w:num w:numId="16">
    <w:abstractNumId w:val="1"/>
  </w:num>
  <w:num w:numId="17">
    <w:abstractNumId w:val="2"/>
  </w:num>
  <w:num w:numId="18">
    <w:abstractNumId w:val="21"/>
  </w:num>
  <w:num w:numId="19">
    <w:abstractNumId w:val="7"/>
  </w:num>
  <w:num w:numId="20">
    <w:abstractNumId w:val="15"/>
  </w:num>
  <w:num w:numId="21">
    <w:abstractNumId w:val="9"/>
  </w:num>
  <w:num w:numId="22">
    <w:abstractNumId w:val="22"/>
  </w:num>
  <w:num w:numId="23">
    <w:abstractNumId w:val="19"/>
  </w:num>
  <w:num w:numId="24">
    <w:abstractNumId w:val="20"/>
  </w:num>
  <w:num w:numId="25">
    <w:abstractNumId w:val="18"/>
  </w:num>
  <w:num w:numId="26">
    <w:abstractNumId w:val="3"/>
  </w:num>
  <w:num w:numId="27">
    <w:abstractNumId w:val="29"/>
  </w:num>
  <w:num w:numId="28">
    <w:abstractNumId w:val="16"/>
  </w:num>
  <w:num w:numId="29">
    <w:abstractNumId w:val="28"/>
  </w:num>
  <w:num w:numId="30">
    <w:abstractNumId w:val="8"/>
  </w:num>
  <w:num w:numId="31">
    <w:abstractNumId w:val="4"/>
  </w:num>
  <w:num w:numId="32">
    <w:abstractNumId w:val="13"/>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927A8"/>
    <w:rsid w:val="000A77CD"/>
    <w:rsid w:val="000C1F51"/>
    <w:rsid w:val="000C4D7C"/>
    <w:rsid w:val="000D3FEB"/>
    <w:rsid w:val="000E557E"/>
    <w:rsid w:val="00102F2C"/>
    <w:rsid w:val="001719D8"/>
    <w:rsid w:val="001740AD"/>
    <w:rsid w:val="001954DB"/>
    <w:rsid w:val="001B2088"/>
    <w:rsid w:val="00247958"/>
    <w:rsid w:val="002A1099"/>
    <w:rsid w:val="002A56A0"/>
    <w:rsid w:val="002C0AFF"/>
    <w:rsid w:val="002C698F"/>
    <w:rsid w:val="002C7A9D"/>
    <w:rsid w:val="002D01D1"/>
    <w:rsid w:val="002D4C4D"/>
    <w:rsid w:val="002F00C3"/>
    <w:rsid w:val="003079D7"/>
    <w:rsid w:val="0032289E"/>
    <w:rsid w:val="00324A7A"/>
    <w:rsid w:val="00327F01"/>
    <w:rsid w:val="00350BC7"/>
    <w:rsid w:val="00364695"/>
    <w:rsid w:val="0036787F"/>
    <w:rsid w:val="003704BD"/>
    <w:rsid w:val="0037092D"/>
    <w:rsid w:val="0038270F"/>
    <w:rsid w:val="003F68FD"/>
    <w:rsid w:val="00415CF8"/>
    <w:rsid w:val="0047238A"/>
    <w:rsid w:val="00475509"/>
    <w:rsid w:val="004801DE"/>
    <w:rsid w:val="004B422F"/>
    <w:rsid w:val="004C124D"/>
    <w:rsid w:val="00500656"/>
    <w:rsid w:val="0054454E"/>
    <w:rsid w:val="005D3BB7"/>
    <w:rsid w:val="005E028A"/>
    <w:rsid w:val="005E055B"/>
    <w:rsid w:val="00661A34"/>
    <w:rsid w:val="006A7F8B"/>
    <w:rsid w:val="006E3BD6"/>
    <w:rsid w:val="00706709"/>
    <w:rsid w:val="00753F9D"/>
    <w:rsid w:val="00776314"/>
    <w:rsid w:val="00787096"/>
    <w:rsid w:val="00787F69"/>
    <w:rsid w:val="00794B91"/>
    <w:rsid w:val="007A79C4"/>
    <w:rsid w:val="0082451F"/>
    <w:rsid w:val="00833C1F"/>
    <w:rsid w:val="00871A9A"/>
    <w:rsid w:val="00891F6D"/>
    <w:rsid w:val="00892C2C"/>
    <w:rsid w:val="008A28AE"/>
    <w:rsid w:val="008B706E"/>
    <w:rsid w:val="008C254D"/>
    <w:rsid w:val="008E5AEB"/>
    <w:rsid w:val="008E6B5E"/>
    <w:rsid w:val="008F7C1B"/>
    <w:rsid w:val="00901C4D"/>
    <w:rsid w:val="0090367C"/>
    <w:rsid w:val="00905EAF"/>
    <w:rsid w:val="00914B51"/>
    <w:rsid w:val="00946488"/>
    <w:rsid w:val="00953FE9"/>
    <w:rsid w:val="009552EB"/>
    <w:rsid w:val="00985DE5"/>
    <w:rsid w:val="0098645D"/>
    <w:rsid w:val="0099160B"/>
    <w:rsid w:val="00991760"/>
    <w:rsid w:val="009A48F3"/>
    <w:rsid w:val="009B6F16"/>
    <w:rsid w:val="009D5BFE"/>
    <w:rsid w:val="00A219D6"/>
    <w:rsid w:val="00A37D68"/>
    <w:rsid w:val="00A543CD"/>
    <w:rsid w:val="00A7069E"/>
    <w:rsid w:val="00A83DAA"/>
    <w:rsid w:val="00AA34BC"/>
    <w:rsid w:val="00AB6FC7"/>
    <w:rsid w:val="00AE4E21"/>
    <w:rsid w:val="00AF708E"/>
    <w:rsid w:val="00B15F44"/>
    <w:rsid w:val="00B30865"/>
    <w:rsid w:val="00B31072"/>
    <w:rsid w:val="00B31134"/>
    <w:rsid w:val="00B83C26"/>
    <w:rsid w:val="00B87B6D"/>
    <w:rsid w:val="00BA7A6C"/>
    <w:rsid w:val="00BB18D0"/>
    <w:rsid w:val="00BC3F4F"/>
    <w:rsid w:val="00BC4672"/>
    <w:rsid w:val="00BD6497"/>
    <w:rsid w:val="00C445AA"/>
    <w:rsid w:val="00C5320B"/>
    <w:rsid w:val="00C537D5"/>
    <w:rsid w:val="00CB7E92"/>
    <w:rsid w:val="00CC57AA"/>
    <w:rsid w:val="00CD3FD9"/>
    <w:rsid w:val="00CD70D9"/>
    <w:rsid w:val="00CF5E33"/>
    <w:rsid w:val="00D30265"/>
    <w:rsid w:val="00D47968"/>
    <w:rsid w:val="00D82688"/>
    <w:rsid w:val="00D86DAE"/>
    <w:rsid w:val="00D91671"/>
    <w:rsid w:val="00D95DDD"/>
    <w:rsid w:val="00DA0BAF"/>
    <w:rsid w:val="00DD4528"/>
    <w:rsid w:val="00DD761F"/>
    <w:rsid w:val="00DE037F"/>
    <w:rsid w:val="00DE74DB"/>
    <w:rsid w:val="00E23C85"/>
    <w:rsid w:val="00E27C9F"/>
    <w:rsid w:val="00E62924"/>
    <w:rsid w:val="00E636B0"/>
    <w:rsid w:val="00E74CA5"/>
    <w:rsid w:val="00E813AB"/>
    <w:rsid w:val="00EC1526"/>
    <w:rsid w:val="00EC61DA"/>
    <w:rsid w:val="00EC7B0D"/>
    <w:rsid w:val="00F04276"/>
    <w:rsid w:val="00F255C2"/>
    <w:rsid w:val="00F31035"/>
    <w:rsid w:val="00F337C4"/>
    <w:rsid w:val="00F3567F"/>
    <w:rsid w:val="00FA5206"/>
    <w:rsid w:val="00FB165A"/>
    <w:rsid w:val="00FC513A"/>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B22DB-A7D7-4630-AD79-E8AD12A40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3</Pages>
  <Words>863</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11</cp:revision>
  <dcterms:created xsi:type="dcterms:W3CDTF">2014-08-06T18:03:00Z</dcterms:created>
  <dcterms:modified xsi:type="dcterms:W3CDTF">2014-08-08T15:09:00Z</dcterms:modified>
</cp:coreProperties>
</file>