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7E4D4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 TSG RAN WG1 Meeting #</w:t>
      </w:r>
      <w:r w:rsidR="00025356">
        <w:rPr>
          <w:rFonts w:ascii="Arial" w:eastAsia="MS Mincho" w:hAnsi="Arial"/>
          <w:b/>
          <w:bCs/>
        </w:rPr>
        <w:t>77</w:t>
      </w:r>
      <w:r>
        <w:rPr>
          <w:rFonts w:ascii="Arial" w:eastAsia="MS Mincho" w:hAnsi="Arial"/>
          <w:b/>
          <w:bCs/>
        </w:rPr>
        <w:t>,</w:t>
      </w:r>
      <w:r>
        <w:rPr>
          <w:rFonts w:ascii="Arial" w:eastAsia="MS Mincho" w:hAnsi="Arial"/>
          <w:b/>
          <w:bCs/>
        </w:rPr>
        <w:tab/>
        <w:t>R1-</w:t>
      </w:r>
      <w:r w:rsidR="00025356">
        <w:rPr>
          <w:rFonts w:ascii="Arial" w:eastAsia="MS Mincho" w:hAnsi="Arial"/>
          <w:b/>
          <w:bCs/>
        </w:rPr>
        <w:t>14</w:t>
      </w:r>
      <w:r w:rsidR="00940DFB">
        <w:rPr>
          <w:rFonts w:ascii="Arial" w:eastAsia="MS Mincho" w:hAnsi="Arial"/>
          <w:b/>
          <w:bCs/>
        </w:rPr>
        <w:t>2378</w:t>
      </w:r>
    </w:p>
    <w:p w:rsidR="007E4D40" w:rsidRPr="00E70914" w:rsidRDefault="00025356" w:rsidP="007E4D40">
      <w:pPr>
        <w:tabs>
          <w:tab w:val="center" w:pos="4536"/>
          <w:tab w:val="right" w:pos="9072"/>
        </w:tabs>
        <w:jc w:val="both"/>
        <w:rPr>
          <w:rFonts w:ascii="Arial" w:eastAsia="MS Mincho" w:hAnsi="Arial"/>
          <w:b/>
        </w:rPr>
      </w:pPr>
      <w:r>
        <w:rPr>
          <w:rFonts w:ascii="Arial" w:eastAsia="MS Mincho" w:hAnsi="Arial"/>
          <w:b/>
        </w:rPr>
        <w:t>Seoul</w:t>
      </w:r>
      <w:r w:rsidRPr="00E70914">
        <w:rPr>
          <w:rFonts w:ascii="Arial" w:eastAsia="MS Mincho" w:hAnsi="Arial"/>
          <w:b/>
        </w:rPr>
        <w:t xml:space="preserve">, </w:t>
      </w:r>
      <w:r>
        <w:rPr>
          <w:rFonts w:ascii="Arial" w:eastAsia="MS Mincho" w:hAnsi="Arial"/>
          <w:b/>
        </w:rPr>
        <w:t>Korea</w:t>
      </w:r>
      <w:r w:rsidRPr="00E70914">
        <w:rPr>
          <w:rFonts w:ascii="Arial" w:eastAsia="MS Mincho" w:hAnsi="Arial"/>
          <w:b/>
        </w:rPr>
        <w:t xml:space="preserve">, </w:t>
      </w:r>
      <w:r>
        <w:rPr>
          <w:rFonts w:ascii="Arial" w:eastAsia="MS Mincho" w:hAnsi="Arial"/>
          <w:b/>
        </w:rPr>
        <w:t>19</w:t>
      </w:r>
      <w:r w:rsidRPr="00A00936">
        <w:rPr>
          <w:rFonts w:ascii="Arial" w:eastAsia="MS Mincho" w:hAnsi="Arial"/>
          <w:b/>
          <w:vertAlign w:val="superscript"/>
        </w:rPr>
        <w:t>th</w:t>
      </w:r>
      <w:r>
        <w:rPr>
          <w:rFonts w:ascii="Arial" w:eastAsia="MS Mincho" w:hAnsi="Arial"/>
          <w:b/>
        </w:rPr>
        <w:t xml:space="preserve"> </w:t>
      </w:r>
      <w:r w:rsidRPr="00E70914">
        <w:rPr>
          <w:rFonts w:ascii="Arial" w:eastAsia="MS Mincho" w:hAnsi="Arial"/>
          <w:b/>
        </w:rPr>
        <w:t>–</w:t>
      </w:r>
      <w:r>
        <w:rPr>
          <w:rFonts w:ascii="Arial" w:eastAsia="MS Mincho" w:hAnsi="Arial"/>
          <w:b/>
        </w:rPr>
        <w:t xml:space="preserve"> 23</w:t>
      </w:r>
      <w:r w:rsidRPr="00A00936">
        <w:rPr>
          <w:rFonts w:ascii="Arial" w:eastAsia="MS Mincho" w:hAnsi="Arial"/>
          <w:b/>
          <w:vertAlign w:val="superscript"/>
        </w:rPr>
        <w:t>rd</w:t>
      </w:r>
      <w:r>
        <w:rPr>
          <w:rFonts w:ascii="Arial" w:eastAsia="MS Mincho" w:hAnsi="Arial"/>
          <w:b/>
        </w:rPr>
        <w:t xml:space="preserve"> May</w:t>
      </w:r>
      <w:r w:rsidRPr="00E70914">
        <w:rPr>
          <w:rFonts w:ascii="Arial" w:eastAsia="MS Mincho" w:hAnsi="Arial"/>
          <w:b/>
        </w:rPr>
        <w:t xml:space="preserve"> 201</w:t>
      </w:r>
      <w:r>
        <w:rPr>
          <w:rFonts w:ascii="Arial" w:eastAsia="MS Mincho" w:hAnsi="Arial"/>
          <w:b/>
        </w:rPr>
        <w:t>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BC2A47" w:rsidRPr="00BC2A47">
        <w:t>UE category solution for 256QAM support</w:t>
      </w:r>
    </w:p>
    <w:p w:rsidR="007E4D40" w:rsidRPr="00E70914" w:rsidRDefault="007E4D40" w:rsidP="007E4D40">
      <w:pPr>
        <w:pStyle w:val="Header"/>
        <w:tabs>
          <w:tab w:val="left" w:pos="1800"/>
        </w:tabs>
        <w:jc w:val="both"/>
      </w:pPr>
      <w:r w:rsidRPr="00E70914">
        <w:t>Agenda Item:</w:t>
      </w:r>
      <w:r w:rsidRPr="00E70914">
        <w:tab/>
      </w:r>
      <w:r w:rsidR="00CC1C57">
        <w:t>6.2.3.1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14401D" w:rsidRDefault="0014401D" w:rsidP="00DC0182">
      <w:pPr>
        <w:pStyle w:val="BodyText"/>
        <w:jc w:val="both"/>
      </w:pPr>
      <w:r>
        <w:t xml:space="preserve">Progresses have been made in the introduction of DL 256QAM in Rel-12 at the RAN #76b meeting </w:t>
      </w:r>
      <w:r w:rsidR="002443A0">
        <w:fldChar w:fldCharType="begin"/>
      </w:r>
      <w:r w:rsidR="002443A0">
        <w:instrText xml:space="preserve"> REF _Ref378930721 \r \h </w:instrText>
      </w:r>
      <w:r w:rsidR="002443A0">
        <w:fldChar w:fldCharType="separate"/>
      </w:r>
      <w:r w:rsidR="00216EA4">
        <w:t>[1]</w:t>
      </w:r>
      <w:r w:rsidR="002443A0">
        <w:fldChar w:fldCharType="end"/>
      </w:r>
      <w:r w:rsidR="002443A0">
        <w:t xml:space="preserve">. </w:t>
      </w:r>
      <w:r>
        <w:t xml:space="preserve">A way forward proposal co-sourced and supported by 16 companies and operators to provide a low-cost solution to UE Category handling for 256QAM support was presented and discussed </w:t>
      </w:r>
      <w:r>
        <w:fldChar w:fldCharType="begin"/>
      </w:r>
      <w:r>
        <w:instrText xml:space="preserve"> REF _Ref387224944 \r \h </w:instrText>
      </w:r>
      <w:r>
        <w:fldChar w:fldCharType="separate"/>
      </w:r>
      <w:r w:rsidR="00216EA4">
        <w:t>[2]</w:t>
      </w:r>
      <w:r>
        <w:fldChar w:fldCharType="end"/>
      </w:r>
      <w:r>
        <w:t>. It was concluded that</w:t>
      </w:r>
    </w:p>
    <w:p w:rsidR="00506A6E" w:rsidRPr="00506A6E" w:rsidRDefault="00506A6E" w:rsidP="001344E1">
      <w:pPr>
        <w:ind w:left="2160" w:hanging="1440"/>
        <w:rPr>
          <w:rFonts w:ascii="Times" w:eastAsia="MS Mincho" w:hAnsi="Times"/>
          <w:iCs/>
          <w:sz w:val="20"/>
          <w:lang w:eastAsia="ja-JP"/>
        </w:rPr>
      </w:pPr>
      <w:r w:rsidRPr="00506A6E">
        <w:rPr>
          <w:rFonts w:ascii="Times" w:eastAsia="MS Mincho" w:hAnsi="Times"/>
          <w:iCs/>
          <w:sz w:val="20"/>
          <w:lang w:eastAsia="ja-JP"/>
        </w:rPr>
        <w:t>R1-141879</w:t>
      </w:r>
      <w:r w:rsidRPr="00506A6E">
        <w:rPr>
          <w:rFonts w:ascii="Times" w:eastAsia="MS Mincho" w:hAnsi="Times"/>
          <w:iCs/>
          <w:sz w:val="20"/>
          <w:lang w:eastAsia="ja-JP"/>
        </w:rPr>
        <w:tab/>
        <w:t>WF on 256QAM UE category handling</w:t>
      </w:r>
      <w:r w:rsidRPr="00506A6E">
        <w:rPr>
          <w:rFonts w:ascii="Times" w:eastAsia="MS Mincho" w:hAnsi="Times"/>
          <w:iCs/>
          <w:sz w:val="20"/>
          <w:lang w:eastAsia="ja-JP"/>
        </w:rPr>
        <w:tab/>
        <w:t xml:space="preserve">Ericsson, CMCC, CATR, Huawei, HiSilicon, Samsung, Blackberry, Fujitsu, III, FiberHome, CATT, Coolpad, China Unicom </w:t>
      </w:r>
    </w:p>
    <w:p w:rsidR="00506A6E" w:rsidRPr="00506A6E" w:rsidRDefault="00506A6E" w:rsidP="001344E1">
      <w:pPr>
        <w:ind w:left="2160" w:hanging="1440"/>
        <w:rPr>
          <w:rFonts w:ascii="Times" w:eastAsia="MS Mincho" w:hAnsi="Times"/>
          <w:iCs/>
          <w:sz w:val="20"/>
          <w:lang w:eastAsia="ja-JP"/>
        </w:rPr>
      </w:pPr>
      <w:r w:rsidRPr="00506A6E">
        <w:rPr>
          <w:rFonts w:ascii="Times" w:eastAsia="MS Mincho" w:hAnsi="Times"/>
          <w:iCs/>
          <w:sz w:val="20"/>
          <w:lang w:eastAsia="ja-JP"/>
        </w:rPr>
        <w:t>Revision of R1-141796</w:t>
      </w:r>
    </w:p>
    <w:p w:rsidR="00506A6E" w:rsidRPr="0014401D" w:rsidRDefault="00506A6E" w:rsidP="00506A6E">
      <w:pPr>
        <w:spacing w:after="120"/>
        <w:ind w:left="2160" w:hanging="1440"/>
        <w:rPr>
          <w:rFonts w:ascii="Times" w:eastAsia="MS Mincho" w:hAnsi="Times"/>
          <w:iCs/>
          <w:sz w:val="20"/>
          <w:lang w:eastAsia="ja-JP"/>
        </w:rPr>
      </w:pPr>
      <w:r w:rsidRPr="00506A6E">
        <w:rPr>
          <w:rFonts w:ascii="Times" w:eastAsia="MS Mincho" w:hAnsi="Times"/>
          <w:iCs/>
          <w:sz w:val="20"/>
          <w:lang w:eastAsia="ja-JP"/>
        </w:rPr>
        <w:t>Also supported by AT&amp;T, China Telecom, NVIDIA</w:t>
      </w:r>
    </w:p>
    <w:p w:rsidR="0014401D" w:rsidRPr="0014401D" w:rsidRDefault="0014401D" w:rsidP="001344E1">
      <w:pPr>
        <w:ind w:left="2160" w:hanging="1440"/>
        <w:rPr>
          <w:rFonts w:ascii="Times" w:eastAsia="MS Mincho" w:hAnsi="Times"/>
          <w:b/>
          <w:iCs/>
          <w:sz w:val="20"/>
          <w:u w:val="single"/>
          <w:lang w:eastAsia="ja-JP"/>
        </w:rPr>
      </w:pPr>
      <w:r w:rsidRPr="0014401D">
        <w:rPr>
          <w:rFonts w:ascii="Times" w:eastAsia="MS Mincho" w:hAnsi="Times" w:hint="eastAsia"/>
          <w:b/>
          <w:iCs/>
          <w:sz w:val="20"/>
          <w:u w:val="single"/>
          <w:lang w:eastAsia="ja-JP"/>
        </w:rPr>
        <w:t>Conclusion:</w:t>
      </w:r>
    </w:p>
    <w:p w:rsidR="0014401D" w:rsidRDefault="0014401D" w:rsidP="001344E1">
      <w:pPr>
        <w:spacing w:after="120"/>
        <w:ind w:left="2160" w:hanging="1440"/>
        <w:rPr>
          <w:rFonts w:ascii="Times" w:eastAsia="MS Mincho" w:hAnsi="Times"/>
          <w:iCs/>
          <w:sz w:val="20"/>
          <w:lang w:eastAsia="ja-JP"/>
        </w:rPr>
      </w:pPr>
      <w:r w:rsidRPr="0014401D">
        <w:rPr>
          <w:rFonts w:ascii="Times" w:eastAsia="MS Mincho" w:hAnsi="Times" w:hint="eastAsia"/>
          <w:iCs/>
          <w:sz w:val="20"/>
          <w:lang w:eastAsia="ja-JP"/>
        </w:rPr>
        <w:t>Continue discussion until RAN1 #77 meeting</w:t>
      </w:r>
    </w:p>
    <w:p w:rsidR="0014401D" w:rsidRDefault="0014401D" w:rsidP="001F3B43">
      <w:pPr>
        <w:pStyle w:val="BodyText"/>
        <w:jc w:val="both"/>
      </w:pPr>
      <w:r>
        <w:t>In this contribution and the companion presentation slide</w:t>
      </w:r>
      <w:r w:rsidR="00EA02AD">
        <w:t>s</w:t>
      </w:r>
      <w:r>
        <w:t>, we further discuss the motivation and details of this proposal.</w:t>
      </w:r>
    </w:p>
    <w:p w:rsidR="002443A0" w:rsidRDefault="00C74A08" w:rsidP="002443A0">
      <w:pPr>
        <w:pStyle w:val="Heading1"/>
        <w:jc w:val="both"/>
      </w:pPr>
      <w:r>
        <w:t>Background and m</w:t>
      </w:r>
      <w:r w:rsidR="0014401D">
        <w:t>otivation</w:t>
      </w:r>
      <w:r>
        <w:t xml:space="preserve"> of Rel-8 soft buffer memory design</w:t>
      </w:r>
    </w:p>
    <w:p w:rsidR="00DC0182" w:rsidRDefault="007B6A80" w:rsidP="001344E1">
      <w:pPr>
        <w:pStyle w:val="BodyText"/>
        <w:jc w:val="both"/>
      </w:pPr>
      <w:r>
        <w:t xml:space="preserve">Soft buffer memory hardware is implemented in the UE to support HARQ protocol. </w:t>
      </w:r>
      <w:r w:rsidRPr="007B6A80">
        <w:t xml:space="preserve">When decoding of a TB is not successful, the received soft bits are stored by the UE to be combined with </w:t>
      </w:r>
      <w:r>
        <w:t xml:space="preserve">those received in </w:t>
      </w:r>
      <w:r w:rsidRPr="007B6A80">
        <w:t>later retransmissions</w:t>
      </w:r>
      <w:r>
        <w:t xml:space="preserve">. During Rel-8 standardization, investigation had shown HARQ combining provides substantially gains over simple ARQ retransmissions. At the same time, it was also recognized soft buffer memory hardware is required to operate with </w:t>
      </w:r>
      <w:r w:rsidRPr="007B6A80">
        <w:t>very high throughput and low latency</w:t>
      </w:r>
      <w:r>
        <w:t xml:space="preserve">. It is hence normally integrated within baseband chip and occupies </w:t>
      </w:r>
      <w:r w:rsidRPr="007B6A80">
        <w:t xml:space="preserve">large area and cost shares of </w:t>
      </w:r>
      <w:r>
        <w:t xml:space="preserve">baseband </w:t>
      </w:r>
      <w:r w:rsidRPr="007B6A80">
        <w:t>chips</w:t>
      </w:r>
      <w:r>
        <w:t xml:space="preserve">. A careful tradeoff between performance and hardware costs is necessary. </w:t>
      </w:r>
    </w:p>
    <w:p w:rsidR="007B6A80" w:rsidRDefault="007B6A80" w:rsidP="001344E1">
      <w:pPr>
        <w:pStyle w:val="BodyText"/>
        <w:jc w:val="both"/>
      </w:pPr>
      <w:r>
        <w:t>It was hence agreed for Rel-8 to adopt a limited buffer approach</w:t>
      </w:r>
      <w:r w:rsidR="00DC0182">
        <w:t xml:space="preserve"> and not to scale the soft buffer sizes indiscriminatorily</w:t>
      </w:r>
      <w:r>
        <w:t xml:space="preserve">. More specifically, while rank-1 DL transmissions can operate HARQ based a </w:t>
      </w:r>
      <w:r w:rsidR="000470C5">
        <w:t>mother</w:t>
      </w:r>
      <w:r>
        <w:t xml:space="preserve"> code rate </w:t>
      </w:r>
      <w:r w:rsidR="00D37A9A">
        <w:t xml:space="preserve">of </w:t>
      </w:r>
      <w:r>
        <w:t xml:space="preserve">1/3, higher-rank DL transmissions will only operate with </w:t>
      </w:r>
      <w:r w:rsidR="000470C5">
        <w:t xml:space="preserve">mother </w:t>
      </w:r>
      <w:r>
        <w:t xml:space="preserve">rate </w:t>
      </w:r>
      <w:r w:rsidR="000470C5">
        <w:t>of</w:t>
      </w:r>
      <w:r w:rsidR="00D37A9A">
        <w:t xml:space="preserve"> up to</w:t>
      </w:r>
      <w:r w:rsidR="00DC0182">
        <w:t xml:space="preserve"> </w:t>
      </w:r>
      <w:r>
        <w:t xml:space="preserve">2/3. </w:t>
      </w:r>
      <w:r w:rsidR="00DC0182">
        <w:t>Similarly, the same total size of the soft buffer designed to support 8 HARQ processes is used for different TDD UL/DL configurations, some which operates more than 8 HARQ processes.</w:t>
      </w:r>
    </w:p>
    <w:p w:rsidR="00DC0182" w:rsidRPr="001344E1" w:rsidRDefault="00DC0182" w:rsidP="001344E1">
      <w:pPr>
        <w:pStyle w:val="BodyText"/>
        <w:spacing w:before="360" w:after="360"/>
        <w:jc w:val="both"/>
        <w:rPr>
          <w:i/>
        </w:rPr>
      </w:pPr>
      <w:r w:rsidRPr="001344E1">
        <w:rPr>
          <w:i/>
        </w:rPr>
        <w:t>Observation 1 Since Rel-8, the design of the soft buffer memory has always required careful tradeoff between cost and benefits.</w:t>
      </w:r>
      <w:r w:rsidR="00FA7484">
        <w:rPr>
          <w:i/>
        </w:rPr>
        <w:t xml:space="preserve"> The soft buffer size should not scale </w:t>
      </w:r>
      <w:r w:rsidR="00FA7484" w:rsidRPr="00FA7484">
        <w:rPr>
          <w:i/>
        </w:rPr>
        <w:t>indiscriminatorily</w:t>
      </w:r>
      <w:r w:rsidR="00315917">
        <w:rPr>
          <w:i/>
        </w:rPr>
        <w:t xml:space="preserve"> to </w:t>
      </w:r>
      <w:r w:rsidR="00BC2A47">
        <w:rPr>
          <w:i/>
        </w:rPr>
        <w:t>enable</w:t>
      </w:r>
      <w:r w:rsidR="00315917">
        <w:rPr>
          <w:i/>
        </w:rPr>
        <w:t xml:space="preserve"> cost-effective UE implementation.</w:t>
      </w:r>
    </w:p>
    <w:p w:rsidR="002443A0" w:rsidRDefault="00CE3F47" w:rsidP="002443A0">
      <w:pPr>
        <w:pStyle w:val="BodyText"/>
        <w:jc w:val="both"/>
      </w:pPr>
      <w:r>
        <w:t>For LTE up to Rel-11, 10 UE Categories have been defined</w:t>
      </w:r>
      <w:r w:rsidRPr="00CE3F47">
        <w:t xml:space="preserve"> </w:t>
      </w:r>
      <w:r w:rsidRPr="00F66BE5">
        <w:t>subclause 4.2</w:t>
      </w:r>
      <w:r>
        <w:t xml:space="preserve"> in </w:t>
      </w:r>
      <w:r>
        <w:fldChar w:fldCharType="begin"/>
      </w:r>
      <w:r>
        <w:instrText xml:space="preserve"> REF _Ref358722604 \r \h  \* MERGEFORMAT </w:instrText>
      </w:r>
      <w:r>
        <w:fldChar w:fldCharType="separate"/>
      </w:r>
      <w:r w:rsidR="00216EA4">
        <w:t>[3]</w:t>
      </w:r>
      <w:r>
        <w:fldChar w:fldCharType="end"/>
      </w:r>
      <w:r>
        <w:t xml:space="preserve">, which are replicated in </w:t>
      </w:r>
      <w:r w:rsidR="00DA4F06">
        <w:fldChar w:fldCharType="begin"/>
      </w:r>
      <w:r w:rsidR="00DA4F06">
        <w:instrText xml:space="preserve"> REF _Ref378936658 \h </w:instrText>
      </w:r>
      <w:r w:rsidR="00DA4F06">
        <w:fldChar w:fldCharType="separate"/>
      </w:r>
      <w:r w:rsidR="00216EA4">
        <w:t xml:space="preserve">Table </w:t>
      </w:r>
      <w:r w:rsidR="00216EA4">
        <w:rPr>
          <w:noProof/>
        </w:rPr>
        <w:t>1</w:t>
      </w:r>
      <w:r w:rsidR="00DA4F06">
        <w:fldChar w:fldCharType="end"/>
      </w:r>
      <w:r>
        <w:t xml:space="preserve"> below. </w:t>
      </w:r>
      <w:r w:rsidR="002443A0">
        <w:t xml:space="preserve">With the introduction of 256QAM, the capabilities will be affected. For a UE supporting maximum 2 spatial multiplexing layers, the maximum number of bits of a DL-SCH transport block received within a TTI can be expected to be raised from 75376 to </w:t>
      </w:r>
      <w:r w:rsidR="004858E4" w:rsidRPr="004858E4">
        <w:t>97896</w:t>
      </w:r>
      <w:r w:rsidR="004858E4" w:rsidRPr="004858E4" w:rsidDel="004858E4">
        <w:t xml:space="preserve"> </w:t>
      </w:r>
      <w:r w:rsidR="002443A0">
        <w:t xml:space="preserve">(see, for example, 256QAM TBS proposal </w:t>
      </w:r>
      <w:r w:rsidR="002443A0">
        <w:fldChar w:fldCharType="begin"/>
      </w:r>
      <w:r w:rsidR="002443A0">
        <w:instrText xml:space="preserve"> REF _Ref378942261 \r \h </w:instrText>
      </w:r>
      <w:r w:rsidR="009B3249">
        <w:instrText xml:space="preserve"> \* MERGEFORMAT </w:instrText>
      </w:r>
      <w:r w:rsidR="002443A0">
        <w:fldChar w:fldCharType="separate"/>
      </w:r>
      <w:r w:rsidR="00216EA4">
        <w:t>[4]</w:t>
      </w:r>
      <w:r w:rsidR="002443A0">
        <w:fldChar w:fldCharType="end"/>
      </w:r>
      <w:r w:rsidR="002443A0">
        <w:t xml:space="preserve">). For a UE supporting maximum 4 spatial multiplexing layers, the maximum number of bits of a DL-SCH transport block received within a TTI can be expected to be raised from 149776 to </w:t>
      </w:r>
      <w:r w:rsidR="004858E4" w:rsidRPr="004858E4">
        <w:t>195816</w:t>
      </w:r>
      <w:r w:rsidR="002443A0">
        <w:t xml:space="preserve">. </w:t>
      </w:r>
      <w:r w:rsidR="002443A0">
        <w:lastRenderedPageBreak/>
        <w:t xml:space="preserve">For a UE supporting maximum 8 spatial multiplexing layers, the maximum number of bits of a DL-SCH transport block received within a TTI can be expected to be raised from 299856 to </w:t>
      </w:r>
      <w:r w:rsidR="004858E4" w:rsidRPr="004858E4">
        <w:t>391656</w:t>
      </w:r>
      <w:r w:rsidR="002443A0">
        <w:t>.</w:t>
      </w:r>
    </w:p>
    <w:p w:rsidR="00CE3F47" w:rsidRDefault="002443A0" w:rsidP="002443A0">
      <w:pPr>
        <w:pStyle w:val="BodyText"/>
        <w:jc w:val="both"/>
      </w:pPr>
      <w:r>
        <w:t xml:space="preserve">A straightforward solution to handle these increased numbers of received bits is to define new UE categories requiring the UE to increase memory hardware to store the received bits. </w:t>
      </w:r>
      <w:r w:rsidR="00046CD7">
        <w:t>Possible e</w:t>
      </w:r>
      <w:r>
        <w:t>xample</w:t>
      </w:r>
      <w:r w:rsidR="00046CD7">
        <w:t>s are</w:t>
      </w:r>
      <w:r>
        <w:t xml:space="preserve"> illustrated</w:t>
      </w:r>
      <w:r w:rsidR="007F344D">
        <w:t xml:space="preserve"> </w:t>
      </w:r>
      <w:r>
        <w:t xml:space="preserve">in </w:t>
      </w:r>
      <w:r>
        <w:fldChar w:fldCharType="begin"/>
      </w:r>
      <w:r>
        <w:instrText xml:space="preserve"> REF _Ref378936658 \h  \* MERGEFORMAT </w:instrText>
      </w:r>
      <w:r>
        <w:fldChar w:fldCharType="separate"/>
      </w:r>
      <w:r w:rsidR="00216EA4">
        <w:t>Table</w:t>
      </w:r>
      <w:r w:rsidR="00216EA4">
        <w:rPr>
          <w:noProof/>
        </w:rPr>
        <w:t xml:space="preserve"> 1</w:t>
      </w:r>
      <w:r>
        <w:fldChar w:fldCharType="end"/>
      </w:r>
      <w:r>
        <w:t xml:space="preserve">. This type of solutions requires substantial increase in UE memory hardware costs. For instance, a Category 16 UE will need to be equipped with enough memory to store </w:t>
      </w:r>
      <w:r w:rsidR="004858E4" w:rsidRPr="004858E4">
        <w:t>4743168</w:t>
      </w:r>
      <w:r w:rsidR="004858E4">
        <w:t xml:space="preserve"> </w:t>
      </w:r>
      <w:r>
        <w:t>soft channel bits instead of 3654144 soft channel bits for a normal Category 6 UE.</w:t>
      </w:r>
      <w:r w:rsidR="00CE3F47">
        <w:t xml:space="preserve"> However, as the analysis presented in the following sections show, such </w:t>
      </w:r>
      <w:r w:rsidR="00315917">
        <w:t>additional hardware cost increase is not justified with the limited use cases and benefits.</w:t>
      </w:r>
    </w:p>
    <w:p w:rsidR="00315917" w:rsidRDefault="00315917" w:rsidP="001344E1">
      <w:pPr>
        <w:pStyle w:val="BodyText"/>
        <w:spacing w:before="360" w:after="360"/>
        <w:jc w:val="both"/>
        <w:rPr>
          <w:i/>
        </w:rPr>
      </w:pPr>
      <w:r w:rsidRPr="009B2DCB">
        <w:rPr>
          <w:i/>
        </w:rPr>
        <w:t xml:space="preserve">Observation </w:t>
      </w:r>
      <w:r>
        <w:rPr>
          <w:i/>
        </w:rPr>
        <w:t>2</w:t>
      </w:r>
      <w:r w:rsidRPr="009B2DCB">
        <w:rPr>
          <w:i/>
        </w:rPr>
        <w:t xml:space="preserve"> </w:t>
      </w:r>
      <w:r>
        <w:rPr>
          <w:i/>
        </w:rPr>
        <w:t>It</w:t>
      </w:r>
      <w:r w:rsidR="00EA02AD">
        <w:rPr>
          <w:i/>
        </w:rPr>
        <w:t xml:space="preserve"> i</w:t>
      </w:r>
      <w:r>
        <w:rPr>
          <w:i/>
        </w:rPr>
        <w:t>s important to keep Rel-12 LTE cost-competitive</w:t>
      </w:r>
      <w:r w:rsidR="008E78FB">
        <w:rPr>
          <w:i/>
        </w:rPr>
        <w:t xml:space="preserve"> by avoiding </w:t>
      </w:r>
      <w:r>
        <w:rPr>
          <w:i/>
        </w:rPr>
        <w:t xml:space="preserve">hardware cost increase unjustified </w:t>
      </w:r>
      <w:r w:rsidR="00BC2A47">
        <w:rPr>
          <w:i/>
        </w:rPr>
        <w:t>with</w:t>
      </w:r>
      <w:r>
        <w:rPr>
          <w:i/>
        </w:rPr>
        <w:t xml:space="preserve"> </w:t>
      </w:r>
      <w:r w:rsidR="00BC2A47">
        <w:rPr>
          <w:i/>
        </w:rPr>
        <w:t xml:space="preserve">realistic </w:t>
      </w:r>
      <w:r>
        <w:rPr>
          <w:i/>
        </w:rPr>
        <w:t>use cases and benefits.</w:t>
      </w:r>
    </w:p>
    <w:p w:rsidR="002443A0" w:rsidRDefault="002443A0" w:rsidP="002900AE">
      <w:pPr>
        <w:pStyle w:val="Caption"/>
        <w:spacing w:before="240" w:after="120"/>
      </w:pPr>
      <w:bookmarkStart w:id="3" w:name="_Ref378936658"/>
      <w:r>
        <w:t xml:space="preserve">Table </w:t>
      </w:r>
      <w:fldSimple w:instr=" SEQ Table \* ARABIC ">
        <w:r w:rsidR="00216EA4">
          <w:rPr>
            <w:noProof/>
          </w:rPr>
          <w:t>1</w:t>
        </w:r>
      </w:fldSimple>
      <w:bookmarkEnd w:id="3"/>
      <w:r>
        <w:t xml:space="preserve"> </w:t>
      </w:r>
      <w:r w:rsidRPr="00F66BE5">
        <w:rPr>
          <w:lang w:eastAsia="ja-JP"/>
        </w:rPr>
        <w:t xml:space="preserve">Downlink </w:t>
      </w:r>
      <w:r w:rsidRPr="00F66BE5">
        <w:t xml:space="preserve">physical layer parameter values set by the field </w:t>
      </w:r>
      <w:r w:rsidRPr="00F66BE5">
        <w:rPr>
          <w:i/>
        </w:rPr>
        <w:t>ue-Category</w:t>
      </w:r>
      <w:r>
        <w:t xml:space="preserve"> with larger total number of soft channel bits for supporting 256QAM</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2081"/>
        <w:gridCol w:w="1807"/>
        <w:gridCol w:w="1918"/>
        <w:gridCol w:w="1780"/>
      </w:tblGrid>
      <w:tr w:rsidR="002443A0" w:rsidRPr="000B19D4" w:rsidTr="003E5BDE">
        <w:trPr>
          <w:jc w:val="center"/>
        </w:trPr>
        <w:tc>
          <w:tcPr>
            <w:tcW w:w="1594"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UE Category</w:t>
            </w:r>
          </w:p>
        </w:tc>
        <w:tc>
          <w:tcPr>
            <w:tcW w:w="2081"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DL-SCH transport block bits received within a TTI (Note)</w:t>
            </w:r>
          </w:p>
        </w:tc>
        <w:tc>
          <w:tcPr>
            <w:tcW w:w="1807"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bits of a DL-SCH transport block received within a TTI</w:t>
            </w:r>
          </w:p>
        </w:tc>
        <w:tc>
          <w:tcPr>
            <w:tcW w:w="1918"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Total number of soft channel bits</w:t>
            </w:r>
          </w:p>
        </w:tc>
        <w:tc>
          <w:tcPr>
            <w:tcW w:w="1780"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supported layers for spatial multiplexing in DL</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10296</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10296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250368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2</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51024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51024</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3</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102048</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4</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150752</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1827072</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5</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299552</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3667200</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6</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7</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8</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2998560</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299856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35982720</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8</w:t>
            </w:r>
          </w:p>
        </w:tc>
      </w:tr>
      <w:tr w:rsidR="003E5BDE" w:rsidRPr="000B19D4" w:rsidTr="003E5BDE">
        <w:trPr>
          <w:jc w:val="center"/>
        </w:trPr>
        <w:tc>
          <w:tcPr>
            <w:tcW w:w="1594"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Category 9</w:t>
            </w:r>
          </w:p>
        </w:tc>
        <w:tc>
          <w:tcPr>
            <w:tcW w:w="2081"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452256</w:t>
            </w:r>
          </w:p>
        </w:tc>
        <w:tc>
          <w:tcPr>
            <w:tcW w:w="1807" w:type="dxa"/>
            <w:shd w:val="clear" w:color="auto" w:fill="auto"/>
          </w:tcPr>
          <w:p w:rsidR="003E5BDE" w:rsidRPr="00D9260C" w:rsidRDefault="003E5BDE" w:rsidP="00813F2F">
            <w:pPr>
              <w:pStyle w:val="TAL"/>
              <w:rPr>
                <w:lang w:eastAsia="en-US"/>
              </w:rPr>
            </w:pPr>
            <w:r w:rsidRPr="00D9260C">
              <w:rPr>
                <w:lang w:eastAsia="en-US"/>
              </w:rPr>
              <w:t>149776 (4 layers)</w:t>
            </w:r>
          </w:p>
          <w:p w:rsidR="003E5BDE" w:rsidRPr="000B19D4" w:rsidRDefault="003E5BDE" w:rsidP="00D9260C">
            <w:pPr>
              <w:pStyle w:val="TAL"/>
            </w:pPr>
            <w:r w:rsidRPr="00D9260C">
              <w:rPr>
                <w:lang w:eastAsia="en-US"/>
              </w:rPr>
              <w:t>75376 (2 layers)</w:t>
            </w:r>
          </w:p>
        </w:tc>
        <w:tc>
          <w:tcPr>
            <w:tcW w:w="1918"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5481216</w:t>
            </w:r>
          </w:p>
        </w:tc>
        <w:tc>
          <w:tcPr>
            <w:tcW w:w="1780"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2 or 4</w:t>
            </w:r>
          </w:p>
        </w:tc>
      </w:tr>
      <w:tr w:rsidR="003E5BDE" w:rsidRPr="000B19D4" w:rsidTr="003E5BDE">
        <w:trPr>
          <w:jc w:val="center"/>
        </w:trPr>
        <w:tc>
          <w:tcPr>
            <w:tcW w:w="1594"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Category 10</w:t>
            </w:r>
          </w:p>
        </w:tc>
        <w:tc>
          <w:tcPr>
            <w:tcW w:w="2081"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452256</w:t>
            </w:r>
          </w:p>
        </w:tc>
        <w:tc>
          <w:tcPr>
            <w:tcW w:w="1807" w:type="dxa"/>
            <w:shd w:val="clear" w:color="auto" w:fill="auto"/>
          </w:tcPr>
          <w:p w:rsidR="003E5BDE" w:rsidRPr="00D9260C" w:rsidRDefault="003E5BDE" w:rsidP="00813F2F">
            <w:pPr>
              <w:pStyle w:val="TAL"/>
              <w:rPr>
                <w:lang w:eastAsia="en-US"/>
              </w:rPr>
            </w:pPr>
            <w:r w:rsidRPr="00D9260C">
              <w:rPr>
                <w:lang w:eastAsia="en-US"/>
              </w:rPr>
              <w:t>149776 (4 layers)</w:t>
            </w:r>
          </w:p>
          <w:p w:rsidR="003E5BDE" w:rsidRPr="000B19D4" w:rsidRDefault="003E5BDE" w:rsidP="00D9260C">
            <w:pPr>
              <w:pStyle w:val="TAL"/>
            </w:pPr>
            <w:r w:rsidRPr="00D9260C">
              <w:rPr>
                <w:lang w:eastAsia="en-US"/>
              </w:rPr>
              <w:t>75376 (2 layers)</w:t>
            </w:r>
          </w:p>
        </w:tc>
        <w:tc>
          <w:tcPr>
            <w:tcW w:w="1918"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5481216</w:t>
            </w:r>
          </w:p>
        </w:tc>
        <w:tc>
          <w:tcPr>
            <w:tcW w:w="1780"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14</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195792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97896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2371584</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16</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 (4 layers)</w:t>
            </w:r>
            <w:r w:rsidRPr="001344E1">
              <w:rPr>
                <w:rFonts w:ascii="Arial" w:hAnsi="Arial"/>
                <w:sz w:val="18"/>
                <w:szCs w:val="20"/>
                <w:lang w:val="en-GB"/>
              </w:rPr>
              <w:br/>
              <w:t>[</w:t>
            </w:r>
            <w:r w:rsidR="00E52DA4" w:rsidRPr="001344E1">
              <w:rPr>
                <w:rFonts w:ascii="Arial" w:hAnsi="Arial"/>
                <w:sz w:val="18"/>
                <w:szCs w:val="20"/>
                <w:lang w:val="en-GB"/>
              </w:rPr>
              <w:t>97896</w:t>
            </w:r>
            <w:r w:rsidRPr="001344E1">
              <w:rPr>
                <w:rFonts w:ascii="Arial" w:hAnsi="Arial"/>
                <w:sz w:val="18"/>
                <w:szCs w:val="20"/>
                <w:lang w:val="en-GB"/>
              </w:rPr>
              <w:t>]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17</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 (4 layers)</w:t>
            </w:r>
            <w:r w:rsidRPr="001344E1">
              <w:rPr>
                <w:rFonts w:ascii="Arial" w:hAnsi="Arial"/>
                <w:sz w:val="18"/>
                <w:szCs w:val="20"/>
                <w:lang w:val="en-GB"/>
              </w:rPr>
              <w:br/>
              <w:t>[</w:t>
            </w:r>
            <w:r w:rsidR="00E52DA4" w:rsidRPr="001344E1">
              <w:rPr>
                <w:rFonts w:ascii="Arial" w:hAnsi="Arial"/>
                <w:sz w:val="18"/>
                <w:szCs w:val="20"/>
                <w:lang w:val="en-GB"/>
              </w:rPr>
              <w:t>97896</w:t>
            </w:r>
            <w:r w:rsidRPr="001344E1">
              <w:rPr>
                <w:rFonts w:ascii="Arial" w:hAnsi="Arial"/>
                <w:sz w:val="18"/>
                <w:szCs w:val="20"/>
                <w:lang w:val="en-GB"/>
              </w:rPr>
              <w:t>]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1344E1"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3916560</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1344E1"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391656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47431680</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8</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Pr>
                <w:rFonts w:ascii="Arial" w:hAnsi="Arial"/>
                <w:sz w:val="18"/>
                <w:szCs w:val="20"/>
                <w:lang w:val="en-GB"/>
              </w:rPr>
              <w:t>Category 19</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345559">
            <w:pPr>
              <w:keepNext/>
              <w:keepLines/>
              <w:rPr>
                <w:rFonts w:ascii="Arial" w:hAnsi="Arial"/>
                <w:sz w:val="18"/>
                <w:szCs w:val="20"/>
                <w:lang w:val="en-GB"/>
              </w:rPr>
            </w:pPr>
            <w:r w:rsidRPr="001344E1">
              <w:rPr>
                <w:rFonts w:ascii="Arial" w:hAnsi="Arial"/>
                <w:sz w:val="18"/>
                <w:szCs w:val="20"/>
                <w:lang w:val="en-GB"/>
              </w:rPr>
              <w:t>[</w:t>
            </w:r>
            <w:r w:rsidR="00B1343D" w:rsidRPr="001344E1">
              <w:rPr>
                <w:rFonts w:ascii="Arial" w:hAnsi="Arial"/>
                <w:sz w:val="18"/>
                <w:szCs w:val="20"/>
                <w:lang w:val="en-GB"/>
              </w:rPr>
              <w:t>587376</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813F2F">
            <w:pPr>
              <w:keepNext/>
              <w:keepLines/>
              <w:rPr>
                <w:rFonts w:ascii="Arial" w:hAnsi="Arial"/>
                <w:sz w:val="18"/>
                <w:szCs w:val="20"/>
                <w:lang w:val="en-GB"/>
              </w:rPr>
            </w:pPr>
            <w:r w:rsidRPr="001344E1">
              <w:rPr>
                <w:rFonts w:ascii="Arial" w:hAnsi="Arial"/>
                <w:sz w:val="18"/>
                <w:szCs w:val="20"/>
                <w:lang w:val="en-GB"/>
              </w:rPr>
              <w:t>[195816] (4 layers)</w:t>
            </w:r>
            <w:r w:rsidRPr="001344E1">
              <w:rPr>
                <w:rFonts w:ascii="Arial" w:hAnsi="Arial"/>
                <w:sz w:val="18"/>
                <w:szCs w:val="20"/>
                <w:lang w:val="en-GB"/>
              </w:rPr>
              <w:br/>
              <w:t>[97896]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sidRPr="000B19D4">
              <w:rPr>
                <w:rFonts w:ascii="Arial" w:hAnsi="Arial"/>
                <w:sz w:val="18"/>
                <w:szCs w:val="20"/>
                <w:lang w:val="en-GB"/>
              </w:rPr>
              <w:t>2 or 4</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Pr>
                <w:rFonts w:ascii="Arial" w:hAnsi="Arial"/>
                <w:sz w:val="18"/>
                <w:szCs w:val="20"/>
                <w:lang w:val="en-GB"/>
              </w:rPr>
              <w:t>Category 20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345559">
            <w:pPr>
              <w:keepNext/>
              <w:keepLines/>
              <w:rPr>
                <w:rFonts w:ascii="Arial" w:hAnsi="Arial"/>
                <w:sz w:val="18"/>
                <w:szCs w:val="20"/>
                <w:lang w:val="en-GB"/>
              </w:rPr>
            </w:pPr>
            <w:r w:rsidRPr="001344E1">
              <w:rPr>
                <w:rFonts w:ascii="Arial" w:hAnsi="Arial"/>
                <w:sz w:val="18"/>
                <w:szCs w:val="20"/>
                <w:lang w:val="en-GB"/>
              </w:rPr>
              <w:t>[</w:t>
            </w:r>
            <w:r w:rsidR="00B1343D" w:rsidRPr="001344E1">
              <w:rPr>
                <w:rFonts w:ascii="Arial" w:hAnsi="Arial"/>
                <w:sz w:val="18"/>
                <w:szCs w:val="20"/>
                <w:lang w:val="en-GB"/>
              </w:rPr>
              <w:t>587376</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813F2F">
            <w:pPr>
              <w:keepNext/>
              <w:keepLines/>
              <w:rPr>
                <w:rFonts w:ascii="Arial" w:hAnsi="Arial"/>
                <w:sz w:val="18"/>
                <w:szCs w:val="20"/>
                <w:lang w:val="en-GB"/>
              </w:rPr>
            </w:pPr>
            <w:r w:rsidRPr="001344E1">
              <w:rPr>
                <w:rFonts w:ascii="Arial" w:hAnsi="Arial"/>
                <w:sz w:val="18"/>
                <w:szCs w:val="20"/>
                <w:lang w:val="en-GB"/>
              </w:rPr>
              <w:t>[195816] (4 layers)</w:t>
            </w:r>
            <w:r w:rsidRPr="001344E1">
              <w:rPr>
                <w:rFonts w:ascii="Arial" w:hAnsi="Arial"/>
                <w:sz w:val="18"/>
                <w:szCs w:val="20"/>
                <w:lang w:val="en-GB"/>
              </w:rPr>
              <w:br/>
              <w:t>[97896]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sidRPr="000B19D4">
              <w:rPr>
                <w:rFonts w:ascii="Arial" w:hAnsi="Arial"/>
                <w:sz w:val="18"/>
                <w:szCs w:val="20"/>
                <w:lang w:val="en-GB"/>
              </w:rPr>
              <w:t>2 or 4</w:t>
            </w:r>
          </w:p>
        </w:tc>
      </w:tr>
    </w:tbl>
    <w:p w:rsidR="00273F0F" w:rsidRDefault="00C74A08" w:rsidP="001344E1">
      <w:pPr>
        <w:pStyle w:val="Heading1"/>
      </w:pPr>
      <w:r>
        <w:t>Rel-12 soft buffer solution for 256QAM DL</w:t>
      </w:r>
    </w:p>
    <w:p w:rsidR="00273F0F" w:rsidRDefault="002443A0" w:rsidP="00273F0F">
      <w:pPr>
        <w:pStyle w:val="BodyText"/>
        <w:jc w:val="both"/>
      </w:pPr>
      <w:r>
        <w:t xml:space="preserve">In the following, we propose a cost-efficient solution for UEs to support the introduction of 256QAM. </w:t>
      </w:r>
      <w:r w:rsidR="00273F0F">
        <w:t>This proposal is similar to the solution adopted in Rel-10 to support limited soft buffer for carrier aggregation. The rate matching parameters on the eNB side are set to the same values regardless of the number of aggregated cells. In the event of unsuccessful decoding, the UE is required to store an amount of soft channel bits that is inversely proportional to the number of aggregated cells.</w:t>
      </w:r>
    </w:p>
    <w:p w:rsidR="002443A0" w:rsidRDefault="002443A0" w:rsidP="002900AE">
      <w:pPr>
        <w:pStyle w:val="Caption"/>
        <w:keepNext/>
        <w:spacing w:before="240" w:after="120"/>
        <w:jc w:val="center"/>
        <w:rPr>
          <w:lang w:eastAsia="ja-JP"/>
        </w:rPr>
      </w:pPr>
      <w:bookmarkStart w:id="4" w:name="_Ref377975355"/>
      <w:r>
        <w:rPr>
          <w:lang w:eastAsia="ja-JP"/>
        </w:rPr>
        <w:lastRenderedPageBreak/>
        <w:t xml:space="preserve">Table </w:t>
      </w:r>
      <w:r>
        <w:rPr>
          <w:lang w:eastAsia="ja-JP"/>
        </w:rPr>
        <w:fldChar w:fldCharType="begin"/>
      </w:r>
      <w:r>
        <w:rPr>
          <w:lang w:eastAsia="ja-JP"/>
        </w:rPr>
        <w:instrText xml:space="preserve"> SEQ Table \* ARABIC </w:instrText>
      </w:r>
      <w:r>
        <w:rPr>
          <w:lang w:eastAsia="ja-JP"/>
        </w:rPr>
        <w:fldChar w:fldCharType="separate"/>
      </w:r>
      <w:r w:rsidR="00216EA4">
        <w:rPr>
          <w:noProof/>
          <w:lang w:eastAsia="ja-JP"/>
        </w:rPr>
        <w:t>2</w:t>
      </w:r>
      <w:r>
        <w:rPr>
          <w:lang w:eastAsia="ja-JP"/>
        </w:rPr>
        <w:fldChar w:fldCharType="end"/>
      </w:r>
      <w:bookmarkEnd w:id="4"/>
      <w:r>
        <w:rPr>
          <w:lang w:eastAsia="ja-JP"/>
        </w:rPr>
        <w:t>: Reusing UE categories supporting 256QAM in DL</w:t>
      </w:r>
    </w:p>
    <w:tbl>
      <w:tblPr>
        <w:tblW w:w="9180" w:type="dxa"/>
        <w:jc w:val="center"/>
        <w:tblCellMar>
          <w:left w:w="0" w:type="dxa"/>
          <w:right w:w="0" w:type="dxa"/>
        </w:tblCellMar>
        <w:tblLook w:val="04A0" w:firstRow="1" w:lastRow="0" w:firstColumn="1" w:lastColumn="0" w:noHBand="0" w:noVBand="1"/>
      </w:tblPr>
      <w:tblGrid>
        <w:gridCol w:w="1503"/>
        <w:gridCol w:w="2009"/>
        <w:gridCol w:w="2608"/>
        <w:gridCol w:w="1356"/>
        <w:gridCol w:w="1704"/>
      </w:tblGrid>
      <w:tr w:rsidR="002443A0" w:rsidTr="00813F2F">
        <w:trPr>
          <w:jc w:val="center"/>
        </w:trPr>
        <w:tc>
          <w:tcPr>
            <w:tcW w:w="1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UE Category</w:t>
            </w:r>
          </w:p>
        </w:tc>
        <w:tc>
          <w:tcPr>
            <w:tcW w:w="20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DL-SCH transport block bits received within a TTI (Note)</w:t>
            </w:r>
          </w:p>
        </w:tc>
        <w:tc>
          <w:tcPr>
            <w:tcW w:w="2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bits of a DL-SCH transport block received within a TTI</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Total number of soft channel bits</w:t>
            </w:r>
          </w:p>
        </w:tc>
        <w:tc>
          <w:tcPr>
            <w:tcW w:w="1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supported layers for spatial multiplexing in DL</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1</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10296</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10296</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250368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2</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51024</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51024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3</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102048</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75376 (64QAM)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1237248</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4</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150752 (64QAM)</w:t>
            </w:r>
          </w:p>
          <w:p w:rsidR="002443A0" w:rsidRDefault="002443A0" w:rsidP="00813F2F">
            <w:pPr>
              <w:pStyle w:val="TAL"/>
            </w:pPr>
            <w:r>
              <w:rPr>
                <w:color w:val="FF0000"/>
              </w:rPr>
              <w:t>[</w:t>
            </w:r>
            <w:r w:rsidR="004858E4" w:rsidRPr="00E52DA4">
              <w:rPr>
                <w:color w:val="FF0000"/>
              </w:rPr>
              <w:t>195792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75376 (64QAM)</w:t>
            </w:r>
          </w:p>
          <w:p w:rsidR="002443A0" w:rsidRDefault="002443A0" w:rsidP="00813F2F">
            <w:pPr>
              <w:pStyle w:val="TAL"/>
            </w:pPr>
            <w:r>
              <w:rPr>
                <w:color w:val="FF0000"/>
              </w:rPr>
              <w:t>[</w:t>
            </w:r>
            <w:r w:rsidR="004858E4" w:rsidRPr="00E52DA4">
              <w:rPr>
                <w:color w:val="FF0000"/>
              </w:rPr>
              <w:t>97896</w:t>
            </w:r>
            <w:r>
              <w:rPr>
                <w:color w:val="FF0000"/>
              </w:rPr>
              <w:t>]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1827072</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5</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299552 (64QAM)</w:t>
            </w:r>
          </w:p>
          <w:p w:rsidR="002443A0" w:rsidRDefault="002443A0" w:rsidP="00813F2F">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149776 (64QAM)</w:t>
            </w:r>
          </w:p>
          <w:p w:rsidR="002443A0" w:rsidRDefault="002443A0" w:rsidP="00813F2F">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3667200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4</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6</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301504 (64QAM)</w:t>
            </w:r>
          </w:p>
          <w:p w:rsidR="002443A0" w:rsidRDefault="002443A0" w:rsidP="00813F2F">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szCs w:val="18"/>
              </w:rPr>
            </w:pPr>
            <w:r>
              <w:t>149776 (4 layers, 64QAM)</w:t>
            </w:r>
          </w:p>
          <w:p w:rsidR="002443A0" w:rsidRDefault="002443A0" w:rsidP="00813F2F">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004858E4"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 or 4</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7</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301504 (64QAM)</w:t>
            </w:r>
          </w:p>
          <w:p w:rsidR="002443A0" w:rsidRDefault="002443A0" w:rsidP="00813F2F">
            <w:pPr>
              <w:pStyle w:val="TAL"/>
            </w:pPr>
            <w:r>
              <w:rPr>
                <w:color w:val="FF0000"/>
              </w:rPr>
              <w:t>[</w:t>
            </w:r>
            <w:r w:rsidR="004858E4" w:rsidRPr="00E52DA4">
              <w:rPr>
                <w:color w:val="FF0000"/>
              </w:rPr>
              <w:t>391632</w:t>
            </w:r>
            <w:r>
              <w:rPr>
                <w:color w:val="FF0000"/>
              </w:rPr>
              <w:t>]</w:t>
            </w:r>
            <w:r w:rsidDel="00AE1953">
              <w:rPr>
                <w:color w:val="FF0000"/>
              </w:rPr>
              <w:t xml:space="preserve"> </w:t>
            </w:r>
            <w:r>
              <w:rPr>
                <w:color w:val="FF0000"/>
              </w:rPr>
              <w:t>(256QAM)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szCs w:val="18"/>
              </w:rPr>
            </w:pPr>
            <w:r>
              <w:t>149776 (4 layers, 64QAM)</w:t>
            </w:r>
          </w:p>
          <w:p w:rsidR="002443A0" w:rsidRDefault="002443A0" w:rsidP="00813F2F">
            <w:pPr>
              <w:pStyle w:val="TAL"/>
            </w:pPr>
            <w:r>
              <w:rPr>
                <w:color w:val="FF0000"/>
              </w:rPr>
              <w:t>[</w:t>
            </w:r>
            <w:r w:rsidR="004858E4"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004858E4"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3654144</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 or 4</w:t>
            </w:r>
          </w:p>
        </w:tc>
      </w:tr>
      <w:tr w:rsidR="002443A0" w:rsidTr="00813F2F">
        <w:trPr>
          <w:jc w:val="center"/>
        </w:trPr>
        <w:tc>
          <w:tcPr>
            <w:tcW w:w="1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8</w:t>
            </w:r>
          </w:p>
        </w:tc>
        <w:tc>
          <w:tcPr>
            <w:tcW w:w="20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color w:val="FF0000"/>
                <w:szCs w:val="18"/>
              </w:rPr>
            </w:pPr>
            <w:r>
              <w:t>2998560 (64QAM)</w:t>
            </w:r>
          </w:p>
          <w:p w:rsidR="002443A0" w:rsidRDefault="002443A0" w:rsidP="00813F2F">
            <w:pPr>
              <w:pStyle w:val="TAL"/>
              <w:rPr>
                <w:color w:val="FF0000"/>
              </w:rPr>
            </w:pPr>
            <w:r>
              <w:rPr>
                <w:color w:val="FF0000"/>
              </w:rPr>
              <w:t>[</w:t>
            </w:r>
            <w:r w:rsidR="004858E4" w:rsidRPr="00E52DA4">
              <w:rPr>
                <w:color w:val="FF0000"/>
              </w:rPr>
              <w:t>3916560</w:t>
            </w:r>
            <w:r>
              <w:rPr>
                <w:color w:val="FF0000"/>
              </w:rPr>
              <w:t>] (256QAM)</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AA6A28" w:rsidRDefault="002443A0" w:rsidP="00813F2F">
            <w:pPr>
              <w:pStyle w:val="TAL"/>
              <w:rPr>
                <w:rFonts w:eastAsia="Calibri" w:cs="Arial"/>
                <w:szCs w:val="18"/>
              </w:rPr>
            </w:pPr>
            <w:r>
              <w:t>299856 (64QAM)</w:t>
            </w:r>
          </w:p>
          <w:p w:rsidR="002443A0" w:rsidRDefault="002443A0" w:rsidP="00813F2F">
            <w:pPr>
              <w:pStyle w:val="TAL"/>
              <w:rPr>
                <w:color w:val="FF0000"/>
              </w:rPr>
            </w:pPr>
            <w:r>
              <w:rPr>
                <w:color w:val="FF0000"/>
              </w:rPr>
              <w:t>[</w:t>
            </w:r>
            <w:r w:rsidR="004858E4" w:rsidRPr="00E52DA4">
              <w:rPr>
                <w:color w:val="FF0000"/>
              </w:rPr>
              <w:t>391656</w:t>
            </w:r>
            <w:r>
              <w:rPr>
                <w:color w:val="FF0000"/>
              </w:rPr>
              <w:t>] (256QAM)</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35982720</w:t>
            </w:r>
          </w:p>
        </w:tc>
        <w:tc>
          <w:tcPr>
            <w:tcW w:w="1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8</w:t>
            </w:r>
          </w:p>
        </w:tc>
      </w:tr>
      <w:tr w:rsidR="004858E4" w:rsidRPr="00F66BE5" w:rsidTr="004858E4">
        <w:trPr>
          <w:jc w:val="center"/>
        </w:trPr>
        <w:tc>
          <w:tcPr>
            <w:tcW w:w="1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Category 9</w:t>
            </w:r>
          </w:p>
        </w:tc>
        <w:tc>
          <w:tcPr>
            <w:tcW w:w="20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4858E4" w:rsidP="00B11970">
            <w:pPr>
              <w:pStyle w:val="TAL"/>
              <w:rPr>
                <w:rFonts w:eastAsia="Calibri" w:cs="Arial"/>
                <w:color w:val="FF0000"/>
                <w:szCs w:val="18"/>
              </w:rPr>
            </w:pPr>
            <w:r w:rsidRPr="004858E4">
              <w:t>452256</w:t>
            </w:r>
            <w:r w:rsidR="00B11970">
              <w:t xml:space="preserve"> (64QAM)</w:t>
            </w:r>
          </w:p>
          <w:p w:rsidR="004858E4" w:rsidRPr="00F66BE5" w:rsidRDefault="00B11970" w:rsidP="00B11970">
            <w:pPr>
              <w:pStyle w:val="TAL"/>
            </w:pPr>
            <w:r>
              <w:rPr>
                <w:color w:val="FF0000"/>
              </w:rPr>
              <w:t>[</w:t>
            </w:r>
            <w:r w:rsidRPr="00B11970">
              <w:rPr>
                <w:color w:val="FF0000"/>
              </w:rPr>
              <w:t>587376</w:t>
            </w:r>
            <w:r>
              <w:rPr>
                <w:color w:val="FF0000"/>
              </w:rPr>
              <w:t>] (256QAM)</w:t>
            </w:r>
          </w:p>
        </w:tc>
        <w:tc>
          <w:tcPr>
            <w:tcW w:w="260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B11970" w:rsidP="00B11970">
            <w:pPr>
              <w:pStyle w:val="TAL"/>
              <w:rPr>
                <w:rFonts w:eastAsia="Calibri" w:cs="Arial"/>
                <w:szCs w:val="18"/>
              </w:rPr>
            </w:pPr>
            <w:r>
              <w:t>149776 (4 layers, 64QAM)</w:t>
            </w:r>
          </w:p>
          <w:p w:rsidR="004858E4" w:rsidRPr="00F66BE5" w:rsidRDefault="00B11970" w:rsidP="00345559">
            <w:pPr>
              <w:pStyle w:val="TAL"/>
            </w:pPr>
            <w:r>
              <w:rPr>
                <w:color w:val="FF0000"/>
              </w:rPr>
              <w:t>[</w:t>
            </w:r>
            <w:r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5481216</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2 or 4</w:t>
            </w:r>
          </w:p>
        </w:tc>
      </w:tr>
      <w:tr w:rsidR="004858E4" w:rsidRPr="00F66BE5" w:rsidTr="004858E4">
        <w:trPr>
          <w:jc w:val="center"/>
        </w:trPr>
        <w:tc>
          <w:tcPr>
            <w:tcW w:w="15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Category 10</w:t>
            </w:r>
          </w:p>
        </w:tc>
        <w:tc>
          <w:tcPr>
            <w:tcW w:w="20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4858E4" w:rsidP="00B11970">
            <w:pPr>
              <w:pStyle w:val="TAL"/>
              <w:rPr>
                <w:rFonts w:eastAsia="Calibri" w:cs="Arial"/>
                <w:color w:val="FF0000"/>
                <w:szCs w:val="18"/>
              </w:rPr>
            </w:pPr>
            <w:r w:rsidRPr="004858E4">
              <w:t>452256</w:t>
            </w:r>
            <w:r w:rsidR="00B11970">
              <w:t xml:space="preserve"> (64QAM)</w:t>
            </w:r>
          </w:p>
          <w:p w:rsidR="004858E4" w:rsidRPr="00F66BE5" w:rsidRDefault="00B11970" w:rsidP="00B11970">
            <w:pPr>
              <w:pStyle w:val="TAL"/>
            </w:pPr>
            <w:r>
              <w:rPr>
                <w:color w:val="FF0000"/>
              </w:rPr>
              <w:t>[</w:t>
            </w:r>
            <w:r w:rsidRPr="00B11970">
              <w:rPr>
                <w:color w:val="FF0000"/>
              </w:rPr>
              <w:t>587376</w:t>
            </w:r>
            <w:r>
              <w:rPr>
                <w:color w:val="FF0000"/>
              </w:rPr>
              <w:t>] (256QAM)</w:t>
            </w:r>
          </w:p>
        </w:tc>
        <w:tc>
          <w:tcPr>
            <w:tcW w:w="260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B11970" w:rsidRPr="00AA6A28" w:rsidRDefault="00B11970" w:rsidP="00B11970">
            <w:pPr>
              <w:pStyle w:val="TAL"/>
              <w:rPr>
                <w:rFonts w:eastAsia="Calibri" w:cs="Arial"/>
                <w:szCs w:val="18"/>
              </w:rPr>
            </w:pPr>
            <w:r>
              <w:t>149776 (4 layers, 64QAM)</w:t>
            </w:r>
          </w:p>
          <w:p w:rsidR="004858E4" w:rsidRPr="00F66BE5" w:rsidRDefault="00B11970" w:rsidP="00345559">
            <w:pPr>
              <w:pStyle w:val="TAL"/>
            </w:pPr>
            <w:r>
              <w:rPr>
                <w:color w:val="FF0000"/>
              </w:rPr>
              <w:t>[</w:t>
            </w:r>
            <w:r w:rsidRPr="00E52DA4">
              <w:rPr>
                <w:color w:val="FF0000"/>
              </w:rPr>
              <w:t>195816</w:t>
            </w:r>
            <w:r>
              <w:rPr>
                <w:color w:val="FF0000"/>
              </w:rPr>
              <w:t>]</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t>75376 (2 layers, 64QAM)</w:t>
            </w:r>
            <w:r>
              <w:rPr>
                <w:color w:val="FF0000"/>
              </w:rPr>
              <w:br/>
              <w:t>[</w:t>
            </w:r>
            <w:r w:rsidRPr="00E52DA4">
              <w:rPr>
                <w:color w:val="FF0000"/>
              </w:rPr>
              <w:t>97896</w:t>
            </w:r>
            <w:r>
              <w:rPr>
                <w:color w:val="FF0000"/>
              </w:rPr>
              <w:t>] (2</w:t>
            </w:r>
            <w:r w:rsidRPr="00D24A52">
              <w:rPr>
                <w:color w:val="FF0000"/>
              </w:rPr>
              <w:t xml:space="preserve"> layers, </w:t>
            </w:r>
            <w:r>
              <w:rPr>
                <w:color w:val="FF0000"/>
              </w:rPr>
              <w:t>256QAM)</w:t>
            </w:r>
          </w:p>
        </w:tc>
        <w:tc>
          <w:tcPr>
            <w:tcW w:w="13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5481216</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58E4" w:rsidRPr="00F66BE5" w:rsidRDefault="004858E4" w:rsidP="004858E4">
            <w:pPr>
              <w:pStyle w:val="TAL"/>
              <w:jc w:val="center"/>
            </w:pPr>
            <w:r w:rsidRPr="004858E4">
              <w:t>2 or 4</w:t>
            </w:r>
          </w:p>
        </w:tc>
      </w:tr>
    </w:tbl>
    <w:p w:rsidR="002443A0" w:rsidRDefault="002443A0" w:rsidP="002443A0"/>
    <w:p w:rsidR="00511CC2" w:rsidRDefault="00511CC2" w:rsidP="00511CC2">
      <w:pPr>
        <w:pStyle w:val="BodyText"/>
        <w:jc w:val="both"/>
      </w:pPr>
      <w:r>
        <w:t>One factor for the proposal is that the UE has higher processing requirements if the UE is capable of receiving 256QAM. That is, a UE indicating support for 256QAM should have at least the processing power and memory resource (which was referred to as the “instantaneous buffer” during Rel-10 discussion) to process the reception of the largest 256QAM transport block. This allows the eNB to set the rate matching parameters based this larger “instantaneous buffer” to prepare the transmission. However, if the decoding is not successful, UE will only be required to store the same number of soft channel bits as is determined based on the currently defined UE category. More specifically, taking a Category 4 UE as an example, a single codeword with a transport block size of 97896 can be used to transmit data to the UE if the UE is configured to use 256QAM. The maximum number of received soft channel bits of this transport block size over all initial and re-transmissions is 3*</w:t>
      </w:r>
      <w:r w:rsidRPr="004858E4">
        <w:t>97896</w:t>
      </w:r>
      <w:r>
        <w:t>+12=293700. However, in case of an unsuccessful decoding, the UE will store only 1827072 / 8 = 228384 soft channel bits as is defined in Rel-11.</w:t>
      </w:r>
    </w:p>
    <w:p w:rsidR="00F34185" w:rsidRDefault="00F34185" w:rsidP="00F34185">
      <w:pPr>
        <w:pStyle w:val="BodyText"/>
        <w:jc w:val="both"/>
      </w:pPr>
      <w:r>
        <w:t xml:space="preserve">With this proposal, the UE stores the maximum number of soft channel bits regardless of whether the UE is configured to receive DL 256QAM or not. It is thus possible to reuse the existing UE Categories to support 256QAM DL by keeping the “Total number of soft channel bits” unchanged. For a UE indicating 256QAM capability is configured for 256QAM PDSCH, the UE shall be capable of receiving more transport block bits within a TTI. This proposal is illustrated in </w:t>
      </w:r>
      <w:r>
        <w:fldChar w:fldCharType="begin"/>
      </w:r>
      <w:r>
        <w:instrText xml:space="preserve"> REF _Ref377975355 \h  \* MERGEFORMAT </w:instrText>
      </w:r>
      <w:r>
        <w:fldChar w:fldCharType="separate"/>
      </w:r>
      <w:r w:rsidR="00216EA4">
        <w:t>Table 2</w:t>
      </w:r>
      <w:r>
        <w:fldChar w:fldCharType="end"/>
      </w:r>
      <w:r>
        <w:t>. The “</w:t>
      </w:r>
      <w:r w:rsidRPr="00F0076B">
        <w:t>Maximum number of bits of a DL-SCH transport block received within a TTI</w:t>
      </w:r>
      <w:r>
        <w:t xml:space="preserve">” is set to a larger value for a UE configured for 256QAM PDSCH and to the existing value for a legacy UE or a Rel-12 UE not configured for 256QAM DL transmission. The tentative numbers in </w:t>
      </w:r>
      <w:r>
        <w:fldChar w:fldCharType="begin"/>
      </w:r>
      <w:r>
        <w:instrText xml:space="preserve"> REF _Ref377975355 \h  \* MERGEFORMAT </w:instrText>
      </w:r>
      <w:r>
        <w:fldChar w:fldCharType="separate"/>
      </w:r>
      <w:r w:rsidR="00216EA4">
        <w:t>Table 2</w:t>
      </w:r>
      <w:r>
        <w:fldChar w:fldCharType="end"/>
      </w:r>
      <w:r>
        <w:t xml:space="preserve"> are set based on our TBS proposal in </w:t>
      </w:r>
      <w:r>
        <w:fldChar w:fldCharType="begin"/>
      </w:r>
      <w:r>
        <w:instrText xml:space="preserve"> REF _Ref378942261 \r \h </w:instrText>
      </w:r>
      <w:r>
        <w:fldChar w:fldCharType="separate"/>
      </w:r>
      <w:r w:rsidR="00216EA4">
        <w:t>[4]</w:t>
      </w:r>
      <w:r>
        <w:fldChar w:fldCharType="end"/>
      </w:r>
      <w:r>
        <w:t xml:space="preserve">. The </w:t>
      </w:r>
      <w:r>
        <w:lastRenderedPageBreak/>
        <w:t>“</w:t>
      </w:r>
      <w:r w:rsidRPr="00F0076B">
        <w:t>Maximum number of DL-SCH transport block bits received within a TTI</w:t>
      </w:r>
      <w:r>
        <w:t>” for up to two codewords are adjusted accordingly for each UE category.</w:t>
      </w:r>
    </w:p>
    <w:p w:rsidR="00273F0F" w:rsidRDefault="002443A0" w:rsidP="002443A0">
      <w:pPr>
        <w:pStyle w:val="BodyText"/>
        <w:jc w:val="both"/>
      </w:pPr>
      <w:r>
        <w:t xml:space="preserve">With the proposed approach, DL 256QAM can be supported by using the existing UE categories and soft buffer memory hardware. It is a cost-efficient manner to support DL 256QAM and </w:t>
      </w:r>
      <w:r w:rsidR="00273F0F">
        <w:t xml:space="preserve">can </w:t>
      </w:r>
      <w:r>
        <w:t xml:space="preserve">speed up the implementation and application of 256QAM in DL in LTE. </w:t>
      </w:r>
      <w:r w:rsidR="00F34185">
        <w:t xml:space="preserve">This is illustrated in </w:t>
      </w:r>
      <w:r w:rsidR="00F34185">
        <w:fldChar w:fldCharType="begin"/>
      </w:r>
      <w:r w:rsidR="00F34185">
        <w:instrText xml:space="preserve"> REF _Ref387235617 \h </w:instrText>
      </w:r>
      <w:r w:rsidR="00F34185">
        <w:fldChar w:fldCharType="separate"/>
      </w:r>
      <w:r w:rsidR="00216EA4">
        <w:t xml:space="preserve">Figure </w:t>
      </w:r>
      <w:r w:rsidR="00216EA4">
        <w:rPr>
          <w:noProof/>
        </w:rPr>
        <w:t>1</w:t>
      </w:r>
      <w:r w:rsidR="00F34185">
        <w:fldChar w:fldCharType="end"/>
      </w:r>
      <w:r w:rsidR="00F34185">
        <w:t>. The introduction of 256QAM DL support does not require overall UE architecture change. It’s natural that the UE shall have increased computational power to process the received 256QAM modulation symbols and to decode the higher data rates. However, there is no need to increase any of the buffer memory sizes.</w:t>
      </w:r>
    </w:p>
    <w:p w:rsidR="00F34185" w:rsidRPr="001344E1" w:rsidRDefault="00F34185" w:rsidP="001344E1">
      <w:pPr>
        <w:pStyle w:val="BodyText"/>
        <w:spacing w:before="360" w:after="360"/>
        <w:jc w:val="both"/>
        <w:rPr>
          <w:i/>
        </w:rPr>
      </w:pPr>
      <w:r w:rsidRPr="009B2DCB">
        <w:rPr>
          <w:i/>
        </w:rPr>
        <w:t xml:space="preserve">Observation </w:t>
      </w:r>
      <w:r>
        <w:rPr>
          <w:i/>
        </w:rPr>
        <w:t xml:space="preserve">3 Introduction of 256QAM DL support in Rel-12 requires UE to have </w:t>
      </w:r>
      <w:r w:rsidRPr="00F34185">
        <w:rPr>
          <w:i/>
        </w:rPr>
        <w:t>increased computational power to process the received 256QAM modulation symbols and to decode the higher data rates</w:t>
      </w:r>
      <w:r>
        <w:rPr>
          <w:i/>
        </w:rPr>
        <w:t>. Cost-effective and faster-to-market solution</w:t>
      </w:r>
      <w:r w:rsidR="00D70BCA">
        <w:rPr>
          <w:i/>
        </w:rPr>
        <w:t>s</w:t>
      </w:r>
      <w:r>
        <w:rPr>
          <w:i/>
        </w:rPr>
        <w:t xml:space="preserve"> for Rel-12 UEs can be </w:t>
      </w:r>
      <w:r w:rsidR="00D70BCA">
        <w:rPr>
          <w:i/>
        </w:rPr>
        <w:t>enabled</w:t>
      </w:r>
      <w:r>
        <w:rPr>
          <w:i/>
        </w:rPr>
        <w:t xml:space="preserve"> by not increasing the soft buffer memory sizes.</w:t>
      </w:r>
    </w:p>
    <w:p w:rsidR="00273F0F" w:rsidRDefault="00273F0F" w:rsidP="001344E1">
      <w:pPr>
        <w:pStyle w:val="BodyText"/>
        <w:jc w:val="center"/>
      </w:pPr>
      <w:r>
        <w:rPr>
          <w:noProof/>
        </w:rPr>
        <w:drawing>
          <wp:inline distT="0" distB="0" distL="0" distR="0" wp14:anchorId="038B0765" wp14:editId="07A7563B">
            <wp:extent cx="3933768" cy="2468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33768" cy="2468880"/>
                    </a:xfrm>
                    <a:prstGeom prst="rect">
                      <a:avLst/>
                    </a:prstGeom>
                    <a:noFill/>
                  </pic:spPr>
                </pic:pic>
              </a:graphicData>
            </a:graphic>
          </wp:inline>
        </w:drawing>
      </w:r>
    </w:p>
    <w:p w:rsidR="00273F0F" w:rsidRDefault="00273F0F" w:rsidP="001344E1">
      <w:pPr>
        <w:pStyle w:val="Caption"/>
        <w:spacing w:after="240"/>
        <w:jc w:val="center"/>
      </w:pPr>
      <w:bookmarkStart w:id="5" w:name="_Ref387235617"/>
      <w:r>
        <w:t xml:space="preserve">Figure </w:t>
      </w:r>
      <w:fldSimple w:instr=" SEQ Figure \* ARABIC ">
        <w:r w:rsidR="00216EA4">
          <w:rPr>
            <w:noProof/>
          </w:rPr>
          <w:t>1</w:t>
        </w:r>
      </w:fldSimple>
      <w:bookmarkEnd w:id="5"/>
      <w:r>
        <w:t xml:space="preserve"> Potential UE implementation schematic.</w:t>
      </w:r>
    </w:p>
    <w:p w:rsidR="00046CD7" w:rsidRDefault="006F22EA" w:rsidP="002443A0">
      <w:pPr>
        <w:pStyle w:val="Heading1"/>
        <w:jc w:val="both"/>
      </w:pPr>
      <w:r>
        <w:t>Performance a</w:t>
      </w:r>
      <w:r w:rsidR="00046CD7">
        <w:t>nalysis</w:t>
      </w:r>
      <w:r w:rsidR="00F34185">
        <w:t xml:space="preserve"> of the cost-effective 256QAM DL </w:t>
      </w:r>
      <w:r>
        <w:t>soft buffer solution</w:t>
      </w:r>
    </w:p>
    <w:p w:rsidR="006F544D" w:rsidRDefault="006F544D" w:rsidP="001344E1">
      <w:pPr>
        <w:pStyle w:val="Heading2"/>
      </w:pPr>
      <w:r>
        <w:t>Initial transmission</w:t>
      </w:r>
    </w:p>
    <w:p w:rsidR="00594573" w:rsidRDefault="002900AE" w:rsidP="006F544D">
      <w:pPr>
        <w:pStyle w:val="BodyText"/>
        <w:jc w:val="both"/>
      </w:pPr>
      <w:r>
        <w:t>A</w:t>
      </w:r>
      <w:r w:rsidR="006F544D">
        <w:t xml:space="preserve">s the SI phase investigation has shown, 256QAM DL is expected to be used when the UE is located in very favorable radio conditions, for example, when the UE is served by a close-by eNB with few other interfering radio signals in the frequency band. </w:t>
      </w:r>
      <w:r>
        <w:t xml:space="preserve">Typically, this translates into above 25 dB SINR for rank-1 256QAM and above 32 dB SINR for rank-2 256QAM shown in </w:t>
      </w:r>
      <w:r>
        <w:fldChar w:fldCharType="begin"/>
      </w:r>
      <w:r>
        <w:instrText xml:space="preserve"> REF _Ref387326774 \h </w:instrText>
      </w:r>
      <w:r>
        <w:fldChar w:fldCharType="separate"/>
      </w:r>
      <w:r w:rsidR="00216EA4">
        <w:t xml:space="preserve">Figure </w:t>
      </w:r>
      <w:r w:rsidR="00216EA4">
        <w:rPr>
          <w:noProof/>
        </w:rPr>
        <w:t>2</w:t>
      </w:r>
      <w:r>
        <w:fldChar w:fldCharType="end"/>
      </w:r>
      <w:r>
        <w:t xml:space="preserve">. </w:t>
      </w:r>
      <w:r w:rsidR="005E57D0">
        <w:t>T</w:t>
      </w:r>
      <w:r w:rsidR="005E57D0" w:rsidRPr="005E57D0">
        <w:t>o use the largest 256QAM TBS, the required SINR is above 3</w:t>
      </w:r>
      <w:r w:rsidR="005E57D0">
        <w:t xml:space="preserve">7 </w:t>
      </w:r>
      <w:r w:rsidR="005E57D0" w:rsidRPr="005E57D0">
        <w:t>dB for rank 1 and above 4</w:t>
      </w:r>
      <w:r w:rsidR="005E57D0">
        <w:t xml:space="preserve">2 </w:t>
      </w:r>
      <w:r w:rsidR="005E57D0" w:rsidRPr="005E57D0">
        <w:t>dB for rank 2, respectively. In practice, the eNB T</w:t>
      </w:r>
      <w:r w:rsidR="00513103">
        <w:t>X</w:t>
      </w:r>
      <w:r w:rsidR="005E57D0" w:rsidRPr="005E57D0">
        <w:t xml:space="preserve"> EVM and the UE impairments act as interference floor </w:t>
      </w:r>
      <w:r w:rsidR="00513103">
        <w:t>in addition to noise and interference in the</w:t>
      </w:r>
      <w:r w:rsidR="005E57D0" w:rsidRPr="005E57D0">
        <w:t xml:space="preserve"> radio environment. For example, 2% TX EVM assumption </w:t>
      </w:r>
      <w:r w:rsidR="00513103">
        <w:t>can limit</w:t>
      </w:r>
      <w:r w:rsidR="005E57D0" w:rsidRPr="005E57D0">
        <w:t xml:space="preserve"> the SINR to 34dB</w:t>
      </w:r>
      <w:r w:rsidR="00513103">
        <w:t xml:space="preserve"> which may </w:t>
      </w:r>
      <w:r w:rsidR="005E57D0" w:rsidRPr="005E57D0">
        <w:t>be further degraded due to UE impairments. Hence, the use cases for 256QAM, especially for using the largest 256QAM</w:t>
      </w:r>
      <w:r w:rsidR="00A11A66">
        <w:t xml:space="preserve"> transport blocks and with higher ranks</w:t>
      </w:r>
      <w:r w:rsidR="005E57D0" w:rsidRPr="005E57D0">
        <w:t xml:space="preserve">, </w:t>
      </w:r>
      <w:r w:rsidR="007F04FD">
        <w:t xml:space="preserve">may be </w:t>
      </w:r>
      <w:r w:rsidR="005E57D0" w:rsidRPr="005E57D0">
        <w:t>limited.</w:t>
      </w:r>
    </w:p>
    <w:p w:rsidR="001477CA" w:rsidRDefault="001477CA" w:rsidP="006F544D">
      <w:pPr>
        <w:pStyle w:val="BodyText"/>
        <w:jc w:val="both"/>
      </w:pPr>
      <w:r>
        <w:t xml:space="preserve">The cost-effective solution does not impact the reception of the initial transmission, which is purely handled by the enhanced UE RF and computational capability to support 256QAM. Since CQI reporting is based on initial transmission reception performance, RRM operations are not impacted. For the </w:t>
      </w:r>
      <w:r>
        <w:lastRenderedPageBreak/>
        <w:t xml:space="preserve">favorable </w:t>
      </w:r>
      <w:r w:rsidR="00910629">
        <w:t xml:space="preserve">low-mobility </w:t>
      </w:r>
      <w:r>
        <w:t xml:space="preserve">radio conditions with close-by eNB </w:t>
      </w:r>
      <w:r w:rsidR="0072775D">
        <w:t>and</w:t>
      </w:r>
      <w:r>
        <w:t xml:space="preserve"> few</w:t>
      </w:r>
      <w:r w:rsidR="0072775D">
        <w:t>, if any,</w:t>
      </w:r>
      <w:r>
        <w:t xml:space="preserve"> interfering signals, the eNB can be expected to perform better link adaptation. For achieving the peak rate benefits brought about the 256QAM DL, it is generally necessary to target lower initial transmission error rates to avoid many retransmissions</w:t>
      </w:r>
      <w:r w:rsidR="00983434">
        <w:t xml:space="preserve">. This is because operations targeting many retransmissions </w:t>
      </w:r>
      <w:r>
        <w:t xml:space="preserve">would completely void the </w:t>
      </w:r>
      <w:r w:rsidR="00983434">
        <w:t xml:space="preserve">peak rate enhancement </w:t>
      </w:r>
      <w:r>
        <w:t xml:space="preserve">purpose of using the 256QAM DL and with high </w:t>
      </w:r>
      <w:r w:rsidR="000267B4">
        <w:t xml:space="preserve">spatial </w:t>
      </w:r>
      <w:r>
        <w:t>rank</w:t>
      </w:r>
      <w:r w:rsidR="000267B4">
        <w:t>s</w:t>
      </w:r>
      <w:r>
        <w:t>.</w:t>
      </w:r>
    </w:p>
    <w:p w:rsidR="00393F38" w:rsidRDefault="00393F38" w:rsidP="001344E1">
      <w:pPr>
        <w:pStyle w:val="BodyText"/>
        <w:spacing w:before="360" w:after="240"/>
        <w:jc w:val="both"/>
      </w:pPr>
      <w:r w:rsidRPr="009B2DCB">
        <w:rPr>
          <w:i/>
        </w:rPr>
        <w:t xml:space="preserve">Observation </w:t>
      </w:r>
      <w:r>
        <w:rPr>
          <w:i/>
        </w:rPr>
        <w:t>4 256QAM DL transmissions are feasible only in very high SINR scenarios with rank-2 256QAM transmissions operating above 32 dB.</w:t>
      </w:r>
      <w:r w:rsidR="00320F89">
        <w:rPr>
          <w:i/>
        </w:rPr>
        <w:t xml:space="preserve"> The cost-effective solution does not impact initial transmission performance and RRM operations.</w:t>
      </w:r>
      <w:r w:rsidR="00600464" w:rsidRPr="00600464">
        <w:t xml:space="preserve"> </w:t>
      </w:r>
      <w:r w:rsidR="00600464" w:rsidRPr="00600464">
        <w:rPr>
          <w:i/>
        </w:rPr>
        <w:t>For achieving the peak rate benefits brought about the 256QAM DL, it is generally necessary to target lower initial transmission error rates to avoid many retransmissions</w:t>
      </w:r>
      <w:r w:rsidR="00600464">
        <w:rPr>
          <w:i/>
        </w:rPr>
        <w:t>.</w:t>
      </w:r>
    </w:p>
    <w:p w:rsidR="003666F9" w:rsidRDefault="003666F9" w:rsidP="001344E1">
      <w:pPr>
        <w:pStyle w:val="BodyText"/>
        <w:spacing w:after="0"/>
        <w:jc w:val="center"/>
      </w:pPr>
      <w:r>
        <w:rPr>
          <w:noProof/>
        </w:rPr>
        <w:drawing>
          <wp:inline distT="0" distB="0" distL="0" distR="0" wp14:anchorId="5DDCD6AB" wp14:editId="7C244D04">
            <wp:extent cx="3854813"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4813" cy="3017520"/>
                    </a:xfrm>
                    <a:prstGeom prst="rect">
                      <a:avLst/>
                    </a:prstGeom>
                    <a:noFill/>
                    <a:ln>
                      <a:noFill/>
                    </a:ln>
                  </pic:spPr>
                </pic:pic>
              </a:graphicData>
            </a:graphic>
          </wp:inline>
        </w:drawing>
      </w:r>
    </w:p>
    <w:p w:rsidR="002900AE" w:rsidRDefault="002900AE" w:rsidP="002900AE">
      <w:pPr>
        <w:pStyle w:val="Caption"/>
        <w:spacing w:after="240"/>
        <w:jc w:val="center"/>
      </w:pPr>
      <w:bookmarkStart w:id="6" w:name="_Ref387326774"/>
      <w:r>
        <w:t xml:space="preserve">Figure </w:t>
      </w:r>
      <w:fldSimple w:instr=" SEQ Figure \* ARABIC ">
        <w:r w:rsidR="00216EA4">
          <w:rPr>
            <w:noProof/>
          </w:rPr>
          <w:t>2</w:t>
        </w:r>
      </w:fldSimple>
      <w:bookmarkEnd w:id="6"/>
      <w:r>
        <w:t xml:space="preserve"> </w:t>
      </w:r>
      <w:r w:rsidR="00C74A08">
        <w:t>Required SINR for achieving BLER=</w:t>
      </w:r>
      <w:r w:rsidR="00C74A08" w:rsidRPr="00C74A08">
        <w:t>0.1</w:t>
      </w:r>
      <w:r w:rsidR="00C74A08">
        <w:t xml:space="preserve"> with different MCSs</w:t>
      </w:r>
      <w:r>
        <w:t>.</w:t>
      </w:r>
    </w:p>
    <w:p w:rsidR="006F544D" w:rsidRDefault="006F544D" w:rsidP="001344E1">
      <w:pPr>
        <w:pStyle w:val="Heading2"/>
      </w:pPr>
      <w:r>
        <w:t>2</w:t>
      </w:r>
      <w:r w:rsidRPr="001344E1">
        <w:rPr>
          <w:vertAlign w:val="superscript"/>
        </w:rPr>
        <w:t>nd</w:t>
      </w:r>
      <w:r>
        <w:t xml:space="preserve"> transmission</w:t>
      </w:r>
    </w:p>
    <w:p w:rsidR="00A235F8" w:rsidRDefault="00A235F8" w:rsidP="00046CD7">
      <w:pPr>
        <w:pStyle w:val="BodyText"/>
        <w:jc w:val="both"/>
      </w:pPr>
      <w:r>
        <w:t xml:space="preserve">A 20MHz LTE carrier with 256QAM can deliver 96000 coded bits based on 120 RE/PRB configurations or 108800 coded bits based on 136 RE/PRB configurations. </w:t>
      </w:r>
      <w:r w:rsidR="00AE59EB">
        <w:t>T</w:t>
      </w:r>
      <w:r>
        <w:t xml:space="preserve">he soft buffer size </w:t>
      </w:r>
      <w:r w:rsidR="00543E28">
        <w:t xml:space="preserve">according to the cost-effective solution </w:t>
      </w:r>
      <w:r w:rsidR="009764E1">
        <w:t>is</w:t>
      </w:r>
      <w:r>
        <w:t xml:space="preserve"> </w:t>
      </w:r>
      <w:r w:rsidRPr="001344E1">
        <w:rPr>
          <w:i/>
        </w:rPr>
        <w:t>N</w:t>
      </w:r>
      <w:r w:rsidRPr="001344E1">
        <w:rPr>
          <w:vertAlign w:val="subscript"/>
        </w:rPr>
        <w:t>soft</w:t>
      </w:r>
      <w:r w:rsidRPr="00A235F8">
        <w:t xml:space="preserve"> = 1827072×</w:t>
      </w:r>
      <w:r w:rsidRPr="001344E1">
        <w:rPr>
          <w:i/>
        </w:rPr>
        <w:t>L</w:t>
      </w:r>
      <w:r>
        <w:t xml:space="preserve">, where </w:t>
      </w:r>
      <w:r w:rsidRPr="001344E1">
        <w:rPr>
          <w:i/>
        </w:rPr>
        <w:t>L</w:t>
      </w:r>
      <w:r>
        <w:t xml:space="preserve"> is the number of spatial layers</w:t>
      </w:r>
      <w:r w:rsidR="00BC2A47">
        <w:t xml:space="preserve"> mapped by a</w:t>
      </w:r>
      <w:r w:rsidR="00543E28">
        <w:t xml:space="preserve"> transport block</w:t>
      </w:r>
      <w:r>
        <w:t xml:space="preserve">. Therefore, the soft buffer size for a transport block with </w:t>
      </w:r>
      <w:r w:rsidRPr="001344E1">
        <w:rPr>
          <w:i/>
        </w:rPr>
        <w:t>L</w:t>
      </w:r>
      <w:r>
        <w:t xml:space="preserve"> spatial layers is given by</w:t>
      </w:r>
    </w:p>
    <w:p w:rsidR="00A235F8" w:rsidRPr="00A235F8" w:rsidRDefault="00A235F8" w:rsidP="001344E1">
      <w:pPr>
        <w:pStyle w:val="BodyText"/>
        <w:numPr>
          <w:ilvl w:val="0"/>
          <w:numId w:val="8"/>
        </w:numPr>
        <w:spacing w:after="0"/>
        <w:ind w:left="778"/>
        <w:jc w:val="both"/>
      </w:pPr>
      <w:r>
        <w:t xml:space="preserve">If </w:t>
      </w:r>
      <w:r w:rsidRPr="001344E1">
        <w:rPr>
          <w:i/>
        </w:rPr>
        <w:t>K</w:t>
      </w:r>
      <w:r w:rsidRPr="001344E1">
        <w:rPr>
          <w:vertAlign w:val="subscript"/>
        </w:rPr>
        <w:t>MIMO</w:t>
      </w:r>
      <w:r w:rsidRPr="00A235F8">
        <w:t xml:space="preserve"> = 1, </w:t>
      </w:r>
      <w:r w:rsidR="007778CA">
        <w:rPr>
          <w:i/>
        </w:rPr>
        <w:t>n</w:t>
      </w:r>
      <w:r w:rsidR="00216EA4">
        <w:rPr>
          <w:position w:val="-6"/>
          <w:vertAlign w:val="subscript"/>
        </w:rPr>
        <w:t>TB</w:t>
      </w:r>
      <w:r w:rsidRPr="00A235F8">
        <w:t xml:space="preserve"> = 228384</w:t>
      </w:r>
    </w:p>
    <w:p w:rsidR="00273F0F" w:rsidRDefault="00A235F8" w:rsidP="001344E1">
      <w:pPr>
        <w:pStyle w:val="BodyText"/>
        <w:numPr>
          <w:ilvl w:val="0"/>
          <w:numId w:val="8"/>
        </w:numPr>
        <w:jc w:val="both"/>
      </w:pPr>
      <w:r w:rsidRPr="00A235F8">
        <w:t xml:space="preserve">If </w:t>
      </w:r>
      <w:r w:rsidRPr="00543E28">
        <w:rPr>
          <w:i/>
        </w:rPr>
        <w:t>K</w:t>
      </w:r>
      <w:r w:rsidRPr="00543E28">
        <w:rPr>
          <w:vertAlign w:val="subscript"/>
        </w:rPr>
        <w:t>MIMO</w:t>
      </w:r>
      <w:r w:rsidRPr="00A235F8">
        <w:t xml:space="preserve"> = 2, </w:t>
      </w:r>
      <w:r w:rsidR="007778CA">
        <w:rPr>
          <w:i/>
        </w:rPr>
        <w:t>n</w:t>
      </w:r>
      <w:r w:rsidR="00216EA4">
        <w:rPr>
          <w:position w:val="-6"/>
          <w:vertAlign w:val="subscript"/>
        </w:rPr>
        <w:t>TB</w:t>
      </w:r>
      <w:r w:rsidRPr="00A235F8">
        <w:t xml:space="preserve"> = 114192×</w:t>
      </w:r>
      <w:r w:rsidRPr="001344E1">
        <w:rPr>
          <w:i/>
        </w:rPr>
        <w:t>L</w:t>
      </w:r>
    </w:p>
    <w:p w:rsidR="00BF5895" w:rsidRDefault="00813F2F" w:rsidP="00046CD7">
      <w:pPr>
        <w:pStyle w:val="BodyText"/>
        <w:jc w:val="both"/>
      </w:pPr>
      <w:r>
        <w:t xml:space="preserve">Therefore, there is more than enough soft buffer memory to store all received soft channel bits </w:t>
      </w:r>
      <w:r w:rsidR="00BF5895">
        <w:t xml:space="preserve">of the initial transmissions </w:t>
      </w:r>
      <w:r>
        <w:t xml:space="preserve">according to </w:t>
      </w:r>
      <w:r w:rsidR="00AE59EB">
        <w:t xml:space="preserve">the cost-effective UE solution. </w:t>
      </w:r>
      <w:r>
        <w:t xml:space="preserve">Therefore, the link performance </w:t>
      </w:r>
      <w:r w:rsidR="00A54860">
        <w:t xml:space="preserve">of </w:t>
      </w:r>
    </w:p>
    <w:p w:rsidR="00BF5895" w:rsidRDefault="00A54860" w:rsidP="001344E1">
      <w:pPr>
        <w:pStyle w:val="BodyText"/>
        <w:numPr>
          <w:ilvl w:val="0"/>
          <w:numId w:val="10"/>
        </w:numPr>
        <w:jc w:val="both"/>
      </w:pPr>
      <w:r>
        <w:t>2</w:t>
      </w:r>
      <w:r w:rsidRPr="001344E1">
        <w:rPr>
          <w:vertAlign w:val="superscript"/>
        </w:rPr>
        <w:t>nd</w:t>
      </w:r>
      <w:r>
        <w:t xml:space="preserve"> transmissions with any </w:t>
      </w:r>
      <w:r w:rsidR="004F3F73">
        <w:t xml:space="preserve">spatial </w:t>
      </w:r>
      <w:r>
        <w:t xml:space="preserve">rank and </w:t>
      </w:r>
    </w:p>
    <w:p w:rsidR="00BF5895" w:rsidRDefault="00A54860" w:rsidP="001344E1">
      <w:pPr>
        <w:pStyle w:val="BodyText"/>
        <w:numPr>
          <w:ilvl w:val="0"/>
          <w:numId w:val="10"/>
        </w:numPr>
        <w:jc w:val="both"/>
      </w:pPr>
      <w:r>
        <w:t>3</w:t>
      </w:r>
      <w:r w:rsidRPr="001344E1">
        <w:rPr>
          <w:vertAlign w:val="superscript"/>
        </w:rPr>
        <w:t>rd</w:t>
      </w:r>
      <w:r>
        <w:t xml:space="preserve"> transmissions with rank-1 </w:t>
      </w:r>
    </w:p>
    <w:p w:rsidR="00CF5E58" w:rsidRDefault="00AE59EB">
      <w:pPr>
        <w:pStyle w:val="BodyText"/>
        <w:jc w:val="both"/>
      </w:pPr>
      <w:r>
        <w:t>is not affected by the proposal</w:t>
      </w:r>
      <w:r w:rsidR="00BF5895">
        <w:t xml:space="preserve"> and</w:t>
      </w:r>
      <w:r w:rsidR="00A54860">
        <w:t xml:space="preserve"> </w:t>
      </w:r>
      <w:r>
        <w:t xml:space="preserve">the HARQ retransmission gains are </w:t>
      </w:r>
      <w:r w:rsidR="001477CA">
        <w:t xml:space="preserve">fully </w:t>
      </w:r>
      <w:r>
        <w:t xml:space="preserve">preserved by </w:t>
      </w:r>
      <w:r w:rsidR="00BF5895">
        <w:t>proposal.</w:t>
      </w:r>
    </w:p>
    <w:p w:rsidR="00273F0F" w:rsidRDefault="00CF5E58" w:rsidP="00046CD7">
      <w:pPr>
        <w:pStyle w:val="BodyText"/>
        <w:jc w:val="both"/>
      </w:pPr>
      <w:r>
        <w:t xml:space="preserve">In Rel-8 design, rank-1 DL transmissions can operate HARQ based a mother code rate of 1/3 and higher-rank DL transmissions will only operate with mother rate of up to 2/3. For Rel-12 256QAM, the same </w:t>
      </w:r>
      <w:r>
        <w:lastRenderedPageBreak/>
        <w:t xml:space="preserve">mother code rate support for HARQ </w:t>
      </w:r>
      <w:r w:rsidR="004909D3">
        <w:t xml:space="preserve">can be achieved </w:t>
      </w:r>
      <w:r>
        <w:t xml:space="preserve">by eNB providing more coded bits in the rate matching process as </w:t>
      </w:r>
      <w:r w:rsidR="00770D08">
        <w:t>shown</w:t>
      </w:r>
      <w:r>
        <w:t xml:space="preserve"> in the Appendix. </w:t>
      </w:r>
      <w:r w:rsidR="00AE59EB">
        <w:t xml:space="preserve">A set of results using the Cat 4 UE with 256QAM rank-2 transmissions </w:t>
      </w:r>
      <w:r w:rsidR="00DE2B08">
        <w:t xml:space="preserve">as an example is illustrated in </w:t>
      </w:r>
      <w:r w:rsidR="00DE2B08">
        <w:fldChar w:fldCharType="begin"/>
      </w:r>
      <w:r w:rsidR="00DE2B08">
        <w:instrText xml:space="preserve"> REF _Ref387239361 \h </w:instrText>
      </w:r>
      <w:r w:rsidR="00DE2B08">
        <w:fldChar w:fldCharType="separate"/>
      </w:r>
      <w:r w:rsidR="00216EA4">
        <w:t xml:space="preserve">Table </w:t>
      </w:r>
      <w:r w:rsidR="00216EA4">
        <w:rPr>
          <w:noProof/>
        </w:rPr>
        <w:t>3</w:t>
      </w:r>
      <w:r w:rsidR="00DE2B08">
        <w:fldChar w:fldCharType="end"/>
      </w:r>
      <w:r w:rsidR="00DE2B08">
        <w:t>.</w:t>
      </w:r>
      <w:r w:rsidR="00DA4F06">
        <w:t xml:space="preserve"> It can be observed that the 1</w:t>
      </w:r>
      <w:r w:rsidR="00DA4F06" w:rsidRPr="001344E1">
        <w:rPr>
          <w:vertAlign w:val="superscript"/>
        </w:rPr>
        <w:t>st</w:t>
      </w:r>
      <w:r w:rsidR="00DA4F06">
        <w:t xml:space="preserve"> retransmissions provide link performance gains of more than 8 dB over the initial transmissions.</w:t>
      </w:r>
    </w:p>
    <w:p w:rsidR="00813F2F" w:rsidRDefault="00DE2B08" w:rsidP="001344E1">
      <w:pPr>
        <w:pStyle w:val="Caption"/>
        <w:spacing w:before="240" w:after="120"/>
        <w:jc w:val="both"/>
      </w:pPr>
      <w:bookmarkStart w:id="7" w:name="_Ref387239361"/>
      <w:r>
        <w:t xml:space="preserve">Table </w:t>
      </w:r>
      <w:fldSimple w:instr=" SEQ Table \* ARABIC ">
        <w:r w:rsidR="00216EA4">
          <w:rPr>
            <w:noProof/>
          </w:rPr>
          <w:t>3</w:t>
        </w:r>
      </w:fldSimple>
      <w:bookmarkEnd w:id="7"/>
      <w:r>
        <w:t xml:space="preserve"> </w:t>
      </w:r>
      <w:r w:rsidRPr="00DE2B08">
        <w:t xml:space="preserve">Example </w:t>
      </w:r>
      <w:r>
        <w:t xml:space="preserve">HARQ gains </w:t>
      </w:r>
      <w:r w:rsidRPr="00DE2B08">
        <w:t>for Cat-4 UE with rank-2 256QAM PDSCH of two tr</w:t>
      </w:r>
      <w:r w:rsidR="00D11908">
        <w:t>ansmissions vs one transmission</w:t>
      </w:r>
      <w:r w:rsidRPr="00DE2B08">
        <w:t xml:space="preserve"> at 10% </w:t>
      </w:r>
      <w:r>
        <w:t>transport block</w:t>
      </w:r>
      <w:r w:rsidRPr="00DE2B08">
        <w:t xml:space="preserve"> error rates</w:t>
      </w:r>
      <w:r w:rsidR="00B50BA4">
        <w:t>.</w:t>
      </w:r>
    </w:p>
    <w:tbl>
      <w:tblPr>
        <w:tblStyle w:val="TableGrid"/>
        <w:tblW w:w="0" w:type="auto"/>
        <w:tblInd w:w="1908" w:type="dxa"/>
        <w:tblLook w:val="04A0" w:firstRow="1" w:lastRow="0" w:firstColumn="1" w:lastColumn="0" w:noHBand="0" w:noVBand="1"/>
      </w:tblPr>
      <w:tblGrid>
        <w:gridCol w:w="2880"/>
        <w:gridCol w:w="2880"/>
      </w:tblGrid>
      <w:tr w:rsidR="00813F2F" w:rsidTr="001344E1">
        <w:tc>
          <w:tcPr>
            <w:tcW w:w="2880" w:type="dxa"/>
            <w:vAlign w:val="center"/>
          </w:tcPr>
          <w:p w:rsidR="00813F2F" w:rsidRDefault="00813F2F" w:rsidP="001344E1">
            <w:pPr>
              <w:pStyle w:val="BodyText"/>
              <w:spacing w:before="40" w:after="40"/>
              <w:jc w:val="center"/>
            </w:pPr>
            <w:r>
              <w:t>256QAM transport block size</w:t>
            </w:r>
          </w:p>
        </w:tc>
        <w:tc>
          <w:tcPr>
            <w:tcW w:w="2880" w:type="dxa"/>
            <w:vAlign w:val="center"/>
          </w:tcPr>
          <w:p w:rsidR="00813F2F" w:rsidRDefault="00813F2F" w:rsidP="001344E1">
            <w:pPr>
              <w:pStyle w:val="BodyText"/>
              <w:spacing w:before="40" w:after="40"/>
              <w:jc w:val="center"/>
            </w:pPr>
            <w:r>
              <w:t>HARQ gains after 2 transmissions [dB]</w:t>
            </w:r>
          </w:p>
        </w:tc>
      </w:tr>
      <w:tr w:rsidR="00813F2F" w:rsidTr="001344E1">
        <w:tc>
          <w:tcPr>
            <w:tcW w:w="2880" w:type="dxa"/>
            <w:vAlign w:val="center"/>
          </w:tcPr>
          <w:p w:rsidR="00813F2F" w:rsidRDefault="00813F2F" w:rsidP="001344E1">
            <w:pPr>
              <w:pStyle w:val="BodyText"/>
              <w:spacing w:before="40" w:after="40"/>
              <w:jc w:val="center"/>
            </w:pPr>
            <w:r>
              <w:t>97896</w:t>
            </w:r>
            <w:r w:rsidRPr="001344E1">
              <w:rPr>
                <w:vertAlign w:val="superscript"/>
              </w:rPr>
              <w:t>*</w:t>
            </w:r>
          </w:p>
        </w:tc>
        <w:tc>
          <w:tcPr>
            <w:tcW w:w="2880" w:type="dxa"/>
            <w:vAlign w:val="center"/>
          </w:tcPr>
          <w:p w:rsidR="00813F2F" w:rsidRDefault="00813F2F" w:rsidP="001344E1">
            <w:pPr>
              <w:pStyle w:val="BodyText"/>
              <w:spacing w:before="40" w:after="40"/>
              <w:jc w:val="center"/>
            </w:pPr>
            <w:r>
              <w:t>8.4</w:t>
            </w:r>
          </w:p>
        </w:tc>
      </w:tr>
      <w:tr w:rsidR="00813F2F" w:rsidTr="001344E1">
        <w:tc>
          <w:tcPr>
            <w:tcW w:w="2880" w:type="dxa"/>
            <w:vAlign w:val="center"/>
          </w:tcPr>
          <w:p w:rsidR="00813F2F" w:rsidRDefault="00813F2F" w:rsidP="001344E1">
            <w:pPr>
              <w:pStyle w:val="BodyText"/>
              <w:spacing w:before="40" w:after="40"/>
              <w:jc w:val="center"/>
            </w:pPr>
            <w:r>
              <w:t>84760</w:t>
            </w:r>
          </w:p>
        </w:tc>
        <w:tc>
          <w:tcPr>
            <w:tcW w:w="2880" w:type="dxa"/>
            <w:vAlign w:val="center"/>
          </w:tcPr>
          <w:p w:rsidR="00813F2F" w:rsidRDefault="00813F2F" w:rsidP="001344E1">
            <w:pPr>
              <w:pStyle w:val="BodyText"/>
              <w:spacing w:before="40" w:after="40"/>
              <w:jc w:val="center"/>
            </w:pPr>
            <w:r>
              <w:t>9.1</w:t>
            </w:r>
          </w:p>
        </w:tc>
      </w:tr>
      <w:tr w:rsidR="00813F2F" w:rsidTr="001344E1">
        <w:tc>
          <w:tcPr>
            <w:tcW w:w="2880" w:type="dxa"/>
            <w:vAlign w:val="center"/>
          </w:tcPr>
          <w:p w:rsidR="00813F2F" w:rsidRDefault="00813F2F" w:rsidP="001344E1">
            <w:pPr>
              <w:pStyle w:val="BodyText"/>
              <w:spacing w:before="40" w:after="40"/>
              <w:jc w:val="center"/>
            </w:pPr>
            <w:r>
              <w:t>81176</w:t>
            </w:r>
          </w:p>
        </w:tc>
        <w:tc>
          <w:tcPr>
            <w:tcW w:w="2880" w:type="dxa"/>
            <w:vAlign w:val="center"/>
          </w:tcPr>
          <w:p w:rsidR="00813F2F" w:rsidRDefault="00813F2F" w:rsidP="001344E1">
            <w:pPr>
              <w:pStyle w:val="BodyText"/>
              <w:spacing w:before="40" w:after="40"/>
              <w:jc w:val="center"/>
            </w:pPr>
            <w:r>
              <w:t>9.2</w:t>
            </w:r>
          </w:p>
        </w:tc>
      </w:tr>
      <w:tr w:rsidR="00813F2F" w:rsidTr="001344E1">
        <w:tc>
          <w:tcPr>
            <w:tcW w:w="2880" w:type="dxa"/>
            <w:vAlign w:val="center"/>
          </w:tcPr>
          <w:p w:rsidR="00813F2F" w:rsidRDefault="00813F2F" w:rsidP="001344E1">
            <w:pPr>
              <w:pStyle w:val="BodyText"/>
              <w:spacing w:before="40" w:after="40"/>
              <w:jc w:val="center"/>
            </w:pPr>
            <w:r>
              <w:t>78704</w:t>
            </w:r>
          </w:p>
        </w:tc>
        <w:tc>
          <w:tcPr>
            <w:tcW w:w="2880" w:type="dxa"/>
            <w:vAlign w:val="center"/>
          </w:tcPr>
          <w:p w:rsidR="00813F2F" w:rsidRDefault="00813F2F" w:rsidP="001344E1">
            <w:pPr>
              <w:pStyle w:val="BodyText"/>
              <w:spacing w:before="40" w:after="40"/>
              <w:jc w:val="center"/>
            </w:pPr>
            <w:r>
              <w:t>8.6</w:t>
            </w:r>
          </w:p>
        </w:tc>
      </w:tr>
      <w:tr w:rsidR="00813F2F" w:rsidTr="001344E1">
        <w:tc>
          <w:tcPr>
            <w:tcW w:w="2880" w:type="dxa"/>
            <w:vAlign w:val="center"/>
          </w:tcPr>
          <w:p w:rsidR="00813F2F" w:rsidRDefault="00813F2F" w:rsidP="001344E1">
            <w:pPr>
              <w:pStyle w:val="BodyText"/>
              <w:spacing w:before="40" w:after="40"/>
              <w:jc w:val="center"/>
            </w:pPr>
            <w:r>
              <w:t>75376</w:t>
            </w:r>
          </w:p>
        </w:tc>
        <w:tc>
          <w:tcPr>
            <w:tcW w:w="2880" w:type="dxa"/>
            <w:vAlign w:val="center"/>
          </w:tcPr>
          <w:p w:rsidR="00813F2F" w:rsidRDefault="00813F2F" w:rsidP="001344E1">
            <w:pPr>
              <w:pStyle w:val="BodyText"/>
              <w:spacing w:before="40" w:after="40"/>
              <w:jc w:val="center"/>
            </w:pPr>
            <w:r>
              <w:t>8.4</w:t>
            </w:r>
          </w:p>
        </w:tc>
      </w:tr>
    </w:tbl>
    <w:p w:rsidR="004935FB" w:rsidRPr="001344E1" w:rsidRDefault="00B50BA4" w:rsidP="001344E1">
      <w:pPr>
        <w:pStyle w:val="BodyText"/>
        <w:tabs>
          <w:tab w:val="left" w:pos="6030"/>
        </w:tabs>
        <w:spacing w:before="40"/>
        <w:rPr>
          <w:sz w:val="16"/>
          <w:szCs w:val="20"/>
          <w:lang w:val="en-GB"/>
        </w:rPr>
      </w:pPr>
      <w:r>
        <w:rPr>
          <w:sz w:val="16"/>
          <w:szCs w:val="20"/>
          <w:lang w:val="en-GB"/>
        </w:rPr>
        <w:tab/>
      </w:r>
      <w:r w:rsidRPr="001344E1">
        <w:rPr>
          <w:sz w:val="16"/>
          <w:szCs w:val="20"/>
          <w:lang w:val="en-GB"/>
        </w:rPr>
        <w:t>* based on 136 RE/PRB.</w:t>
      </w:r>
    </w:p>
    <w:p w:rsidR="006F544D" w:rsidRDefault="004935FB" w:rsidP="001344E1">
      <w:pPr>
        <w:pStyle w:val="BodyText"/>
        <w:spacing w:before="360" w:after="360"/>
        <w:jc w:val="both"/>
      </w:pPr>
      <w:r w:rsidRPr="009B2DCB">
        <w:rPr>
          <w:i/>
        </w:rPr>
        <w:t xml:space="preserve">Observation </w:t>
      </w:r>
      <w:r w:rsidR="00393F38">
        <w:rPr>
          <w:i/>
        </w:rPr>
        <w:t>5</w:t>
      </w:r>
      <w:r>
        <w:rPr>
          <w:i/>
        </w:rPr>
        <w:t xml:space="preserve"> The cost-</w:t>
      </w:r>
      <w:r w:rsidR="00B70BCD">
        <w:rPr>
          <w:i/>
        </w:rPr>
        <w:t xml:space="preserve">effective solution can buffer all soft channel bits received from the initial transmission. </w:t>
      </w:r>
      <w:r w:rsidR="00A12F8F">
        <w:rPr>
          <w:i/>
        </w:rPr>
        <w:t>Large</w:t>
      </w:r>
      <w:r w:rsidR="00B70BCD">
        <w:rPr>
          <w:i/>
        </w:rPr>
        <w:t xml:space="preserve"> HARQ retransmission link gains </w:t>
      </w:r>
      <w:r w:rsidR="005B27C0">
        <w:rPr>
          <w:i/>
        </w:rPr>
        <w:t xml:space="preserve">(&gt;8 dB) </w:t>
      </w:r>
      <w:r w:rsidR="00A12F8F">
        <w:rPr>
          <w:i/>
        </w:rPr>
        <w:t xml:space="preserve">from </w:t>
      </w:r>
      <w:r w:rsidR="00B70BCD">
        <w:rPr>
          <w:i/>
        </w:rPr>
        <w:t>are fully captured by the cost-effective solution.</w:t>
      </w:r>
      <w:r w:rsidR="0000672E">
        <w:rPr>
          <w:i/>
        </w:rPr>
        <w:t xml:space="preserve"> </w:t>
      </w:r>
    </w:p>
    <w:p w:rsidR="00DA4F06" w:rsidRDefault="006F544D" w:rsidP="001344E1">
      <w:pPr>
        <w:pStyle w:val="Heading2"/>
      </w:pPr>
      <w:r>
        <w:t>More retransmissions</w:t>
      </w:r>
    </w:p>
    <w:p w:rsidR="0000672E" w:rsidRDefault="0000672E" w:rsidP="0000672E">
      <w:pPr>
        <w:pStyle w:val="BodyText"/>
        <w:jc w:val="both"/>
      </w:pPr>
      <w:r w:rsidRPr="001477CA">
        <w:t xml:space="preserve">Larger soft buffer hardware </w:t>
      </w:r>
      <w:r>
        <w:t xml:space="preserve">than the cost-effective solution is </w:t>
      </w:r>
      <w:r w:rsidR="003F7679">
        <w:t>actually used</w:t>
      </w:r>
      <w:r>
        <w:t xml:space="preserve"> only</w:t>
      </w:r>
      <w:r w:rsidR="003F7679">
        <w:t xml:space="preserve"> when</w:t>
      </w:r>
      <w:r>
        <w:t xml:space="preserve"> </w:t>
      </w:r>
    </w:p>
    <w:p w:rsidR="0000672E" w:rsidRDefault="00B527FD" w:rsidP="001344E1">
      <w:pPr>
        <w:pStyle w:val="BodyText"/>
        <w:numPr>
          <w:ilvl w:val="0"/>
          <w:numId w:val="9"/>
        </w:numPr>
        <w:jc w:val="both"/>
      </w:pPr>
      <w:r>
        <w:t>the decoding of a large</w:t>
      </w:r>
      <w:r w:rsidR="0000672E">
        <w:t xml:space="preserve"> rank-1 transport block fails after 3 transmissions or </w:t>
      </w:r>
    </w:p>
    <w:p w:rsidR="0000672E" w:rsidRDefault="0000672E" w:rsidP="001344E1">
      <w:pPr>
        <w:pStyle w:val="BodyText"/>
        <w:numPr>
          <w:ilvl w:val="0"/>
          <w:numId w:val="9"/>
        </w:numPr>
        <w:jc w:val="both"/>
      </w:pPr>
      <w:r>
        <w:t xml:space="preserve">the decoding of a large higher-rank transport block fails after 2 transmissions. </w:t>
      </w:r>
    </w:p>
    <w:p w:rsidR="0000672E" w:rsidRDefault="0000672E">
      <w:pPr>
        <w:pStyle w:val="BodyText"/>
        <w:jc w:val="both"/>
      </w:pPr>
      <w:r>
        <w:t xml:space="preserve">These are unlikely and easily avoidable cases for the 256QAM usable scenarios. </w:t>
      </w:r>
      <w:r w:rsidR="0072775D">
        <w:t xml:space="preserve">For the favorable </w:t>
      </w:r>
      <w:r w:rsidR="00910629">
        <w:t xml:space="preserve">low-mobility </w:t>
      </w:r>
      <w:r w:rsidR="0072775D">
        <w:t>radio conditions with close-by eNB and few, if any, interfering signals, the eNB can be expected to perform better link adaptation. For achieving the peak rate benefits brought about the 256QAM DL, it is generally necessary to target lower initial transmission error rates to avoid many retransmissions, which would completely void the purpose of using the 256QAM DL and with high rank.</w:t>
      </w:r>
      <w:r w:rsidR="00910629">
        <w:t xml:space="preserve"> Note further that the HARQ link gains from the 2</w:t>
      </w:r>
      <w:r w:rsidR="00910629" w:rsidRPr="001344E1">
        <w:rPr>
          <w:vertAlign w:val="superscript"/>
        </w:rPr>
        <w:t>nd</w:t>
      </w:r>
      <w:r w:rsidR="00910629">
        <w:t xml:space="preserve"> transmissions alone are greater than 8 dB. </w:t>
      </w:r>
      <w:r w:rsidRPr="001477CA">
        <w:t xml:space="preserve">Therefore, it is unjustified to increase the </w:t>
      </w:r>
      <w:r>
        <w:t xml:space="preserve">soft buffer </w:t>
      </w:r>
      <w:r w:rsidRPr="001477CA">
        <w:t xml:space="preserve">hardware cost by 33% for very limited use cases. </w:t>
      </w:r>
      <w:r w:rsidR="00910629">
        <w:t>The cost-effective soft buffer solution is preferred to keep Rel-12 LTE products cost-competitive.</w:t>
      </w:r>
    </w:p>
    <w:p w:rsidR="0000672E" w:rsidRDefault="0000672E" w:rsidP="0000672E">
      <w:pPr>
        <w:pStyle w:val="BodyText"/>
        <w:spacing w:before="360" w:after="360"/>
        <w:jc w:val="both"/>
        <w:rPr>
          <w:i/>
        </w:rPr>
      </w:pPr>
      <w:r w:rsidRPr="009B2DCB">
        <w:rPr>
          <w:i/>
        </w:rPr>
        <w:t xml:space="preserve">Observation </w:t>
      </w:r>
      <w:r>
        <w:rPr>
          <w:i/>
        </w:rPr>
        <w:t xml:space="preserve">6 For the </w:t>
      </w:r>
      <w:r w:rsidR="00910629">
        <w:rPr>
          <w:i/>
        </w:rPr>
        <w:t>favorable radio conditions conducive to 256QAM DL transmissions, it is generally easy</w:t>
      </w:r>
      <w:r w:rsidR="0051482C">
        <w:rPr>
          <w:i/>
        </w:rPr>
        <w:t xml:space="preserve"> and necessary</w:t>
      </w:r>
      <w:r w:rsidR="00910629">
        <w:rPr>
          <w:i/>
        </w:rPr>
        <w:t xml:space="preserve"> to avoid many transmissions in order to capture the enhanced peak rate benefits brought about by 256QAM DL. Additional soft buffer hardware can be used only rarely for corner operation cases and it is, therefore, </w:t>
      </w:r>
      <w:r w:rsidR="00910629" w:rsidRPr="0000672E">
        <w:rPr>
          <w:i/>
        </w:rPr>
        <w:t xml:space="preserve">unjustified to increase the soft buffer hardware cost by 33% for </w:t>
      </w:r>
      <w:r w:rsidR="00910629">
        <w:rPr>
          <w:i/>
        </w:rPr>
        <w:t xml:space="preserve">such </w:t>
      </w:r>
      <w:r w:rsidR="00910629" w:rsidRPr="0000672E">
        <w:rPr>
          <w:i/>
        </w:rPr>
        <w:t>very limited use cases</w:t>
      </w:r>
      <w:r w:rsidR="00910629">
        <w:rPr>
          <w:i/>
        </w:rPr>
        <w:t>.</w:t>
      </w:r>
    </w:p>
    <w:p w:rsidR="002443A0" w:rsidRPr="00E70914" w:rsidRDefault="002443A0" w:rsidP="002443A0">
      <w:pPr>
        <w:pStyle w:val="Heading1"/>
        <w:jc w:val="both"/>
      </w:pPr>
      <w:r w:rsidRPr="00E70914">
        <w:t>Conclusions</w:t>
      </w:r>
    </w:p>
    <w:p w:rsidR="002443A0" w:rsidRPr="00E70914" w:rsidRDefault="002443A0" w:rsidP="002443A0">
      <w:pPr>
        <w:pStyle w:val="BodyText"/>
        <w:jc w:val="both"/>
      </w:pPr>
      <w:r w:rsidRPr="00E70914">
        <w:t xml:space="preserve">In this contribution, we </w:t>
      </w:r>
      <w:r>
        <w:t xml:space="preserve">proposed a cost-efficient manner to handle </w:t>
      </w:r>
      <w:r w:rsidRPr="00E70914">
        <w:t xml:space="preserve">256QAM </w:t>
      </w:r>
      <w:r>
        <w:t xml:space="preserve">UE category </w:t>
      </w:r>
      <w:r w:rsidRPr="00E70914">
        <w:t>in small cell scenarios</w:t>
      </w:r>
      <w:r>
        <w:t>.</w:t>
      </w:r>
      <w:r w:rsidRPr="00E70914">
        <w:t xml:space="preserve"> </w:t>
      </w:r>
      <w:r>
        <w:t xml:space="preserve">Based on the discussions, we made below observations and proposals </w:t>
      </w:r>
    </w:p>
    <w:p w:rsidR="002443A0" w:rsidRPr="001344E1" w:rsidRDefault="002443A0" w:rsidP="002443A0">
      <w:pPr>
        <w:pStyle w:val="StatementHeading"/>
        <w:jc w:val="both"/>
        <w:rPr>
          <w:i w:val="0"/>
        </w:rPr>
      </w:pPr>
      <w:r w:rsidRPr="001344E1">
        <w:rPr>
          <w:i w:val="0"/>
        </w:rPr>
        <w:lastRenderedPageBreak/>
        <w:t>Observation</w:t>
      </w:r>
      <w:r w:rsidR="0051482C" w:rsidRPr="001344E1">
        <w:rPr>
          <w:i w:val="0"/>
        </w:rPr>
        <w:t>s</w:t>
      </w:r>
      <w:r w:rsidRPr="001344E1">
        <w:rPr>
          <w:i w:val="0"/>
        </w:rPr>
        <w:t>:</w:t>
      </w:r>
    </w:p>
    <w:p w:rsidR="0051482C" w:rsidRPr="001344E1" w:rsidRDefault="0051482C" w:rsidP="001344E1">
      <w:pPr>
        <w:pStyle w:val="BodyText"/>
        <w:numPr>
          <w:ilvl w:val="0"/>
          <w:numId w:val="5"/>
        </w:numPr>
        <w:jc w:val="both"/>
      </w:pPr>
      <w:r w:rsidRPr="001344E1">
        <w:t>Since Rel-8, the design of the soft buffer memory has always required careful tradeoff between cost and benefits. The soft buffer size should not scale indiscriminatorily to enable cost-effective UE implementation.</w:t>
      </w:r>
    </w:p>
    <w:p w:rsidR="0051482C" w:rsidRPr="001344E1" w:rsidRDefault="0051482C" w:rsidP="001344E1">
      <w:pPr>
        <w:pStyle w:val="BodyText"/>
        <w:numPr>
          <w:ilvl w:val="0"/>
          <w:numId w:val="5"/>
        </w:numPr>
        <w:jc w:val="both"/>
      </w:pPr>
      <w:r w:rsidRPr="001344E1">
        <w:t>It is important to keep Rel-12 LTE cost-competitive by avoiding hardware cost increase unjustified with realistic use cases and benefits.</w:t>
      </w:r>
    </w:p>
    <w:p w:rsidR="0051482C" w:rsidRPr="001344E1" w:rsidRDefault="0051482C" w:rsidP="001344E1">
      <w:pPr>
        <w:pStyle w:val="BodyText"/>
        <w:numPr>
          <w:ilvl w:val="0"/>
          <w:numId w:val="5"/>
        </w:numPr>
        <w:jc w:val="both"/>
      </w:pPr>
      <w:r w:rsidRPr="001344E1">
        <w:t>Introduction of 256QAM DL support in Rel-12 requires UE to have increased computational power to process the received 256QAM modulation symbols and to decode the higher data rates. Cost-effective and faster-to-market solutions for Rel-12 UEs can be enabled by not increasing the soft buffer memory sizes.</w:t>
      </w:r>
    </w:p>
    <w:p w:rsidR="0051482C" w:rsidRPr="0051482C" w:rsidRDefault="0051482C" w:rsidP="001344E1">
      <w:pPr>
        <w:pStyle w:val="BodyText"/>
        <w:numPr>
          <w:ilvl w:val="0"/>
          <w:numId w:val="5"/>
        </w:numPr>
        <w:jc w:val="both"/>
      </w:pPr>
      <w:r w:rsidRPr="001344E1">
        <w:t>256QAM DL transmissions are feasible only in very high SINR scenarios with rank-2 256QAM transmissions operating above 32 dB. The cost-effective solution does not impact initial transmission performance and RRM operations. For achieving the peak rate benefits brought about the 256QAM DL, it is generally necessary to target lower initial transmission error rates to avoid many retransmissions.</w:t>
      </w:r>
    </w:p>
    <w:p w:rsidR="0051482C" w:rsidRPr="0051482C" w:rsidRDefault="0051482C" w:rsidP="001344E1">
      <w:pPr>
        <w:pStyle w:val="BodyText"/>
        <w:numPr>
          <w:ilvl w:val="0"/>
          <w:numId w:val="5"/>
        </w:numPr>
        <w:jc w:val="both"/>
      </w:pPr>
      <w:r w:rsidRPr="001344E1">
        <w:t xml:space="preserve">The cost-effective solution can buffer all soft channel bits received from the initial transmission. Large HARQ retransmission link gains (&gt;8 dB) from are fully captured by the cost-effective solution. </w:t>
      </w:r>
    </w:p>
    <w:p w:rsidR="0051482C" w:rsidRPr="001344E1" w:rsidRDefault="0051482C" w:rsidP="001344E1">
      <w:pPr>
        <w:pStyle w:val="BodyText"/>
        <w:numPr>
          <w:ilvl w:val="0"/>
          <w:numId w:val="5"/>
        </w:numPr>
        <w:jc w:val="both"/>
      </w:pPr>
      <w:r w:rsidRPr="001344E1">
        <w:t>For the favorable radio conditions conducive to 256QAM DL transmissions, it is generally easy and necessary to avoid many transmissions in order to capture the enhanced peak rate benefits brought about by 256QAM DL. Additional soft buffer hardware can be used only rarely for corner operation cases and it is, therefore, unjustified to increase the soft buffer hardware cost by 33% for such very limited use cases.</w:t>
      </w:r>
    </w:p>
    <w:p w:rsidR="002443A0" w:rsidRPr="00E70914" w:rsidRDefault="002443A0" w:rsidP="002443A0">
      <w:pPr>
        <w:pStyle w:val="StatementHeading"/>
        <w:spacing w:before="0" w:beforeAutospacing="0" w:after="120"/>
        <w:jc w:val="both"/>
      </w:pPr>
      <w:r w:rsidRPr="00E70914">
        <w:t xml:space="preserve">Proposal: </w:t>
      </w:r>
    </w:p>
    <w:p w:rsidR="002443A0" w:rsidRPr="00D9260C" w:rsidRDefault="002443A0" w:rsidP="002443A0">
      <w:pPr>
        <w:pStyle w:val="StatementBody"/>
        <w:numPr>
          <w:ilvl w:val="0"/>
          <w:numId w:val="4"/>
        </w:numPr>
        <w:jc w:val="both"/>
        <w:rPr>
          <w:i/>
          <w:lang w:eastAsia="en-US"/>
        </w:rPr>
      </w:pPr>
      <w:r w:rsidRPr="00D9260C">
        <w:rPr>
          <w:i/>
        </w:rPr>
        <w:t>Reuse the existing UE categories and soft buffer memory hardware for DL 256QAM support to speed up adoption and UE implementation of 256QAM DL for LTE</w:t>
      </w:r>
    </w:p>
    <w:p w:rsidR="002443A0" w:rsidRPr="00D9260C" w:rsidRDefault="002443A0" w:rsidP="002443A0">
      <w:pPr>
        <w:pStyle w:val="StatementBody"/>
        <w:numPr>
          <w:ilvl w:val="1"/>
          <w:numId w:val="4"/>
        </w:numPr>
        <w:jc w:val="both"/>
        <w:rPr>
          <w:i/>
          <w:lang w:eastAsia="en-US"/>
        </w:rPr>
      </w:pPr>
      <w:r w:rsidRPr="00D9260C">
        <w:rPr>
          <w:i/>
          <w:lang w:eastAsia="en-US"/>
        </w:rPr>
        <w:t>Update two fields in UE category “Maximum number of DL-SCH transport block bits received within a TTI” and “Maximum number of bits of a DL-SCH transport block received within a TTI” to support DL 256QAM</w:t>
      </w:r>
    </w:p>
    <w:p w:rsidR="002443A0" w:rsidRPr="00D9260C" w:rsidRDefault="002443A0" w:rsidP="002443A0">
      <w:pPr>
        <w:pStyle w:val="StatementBody"/>
        <w:numPr>
          <w:ilvl w:val="1"/>
          <w:numId w:val="4"/>
        </w:numPr>
        <w:jc w:val="both"/>
        <w:rPr>
          <w:i/>
          <w:lang w:eastAsia="en-US"/>
        </w:rPr>
      </w:pPr>
      <w:r w:rsidRPr="00D9260C">
        <w:rPr>
          <w:i/>
          <w:lang w:eastAsia="en-US"/>
        </w:rPr>
        <w:t>Keep the “Total number of soft channel bits” in UE category.</w:t>
      </w:r>
    </w:p>
    <w:p w:rsidR="002443A0" w:rsidRDefault="002443A0" w:rsidP="002443A0">
      <w:pPr>
        <w:pStyle w:val="StatementBody"/>
        <w:numPr>
          <w:ilvl w:val="1"/>
          <w:numId w:val="4"/>
        </w:numPr>
        <w:jc w:val="both"/>
        <w:rPr>
          <w:i/>
          <w:lang w:eastAsia="en-US"/>
        </w:rPr>
      </w:pPr>
      <w:r w:rsidRPr="00D9260C">
        <w:rPr>
          <w:i/>
          <w:lang w:eastAsia="en-US"/>
        </w:rPr>
        <w:t>Use one UE capability bit to signal the new processing capabilities.</w:t>
      </w:r>
    </w:p>
    <w:p w:rsidR="006B0837" w:rsidRPr="00D9260C" w:rsidRDefault="006B0837" w:rsidP="002443A0">
      <w:pPr>
        <w:pStyle w:val="StatementBody"/>
        <w:numPr>
          <w:ilvl w:val="1"/>
          <w:numId w:val="4"/>
        </w:numPr>
        <w:jc w:val="both"/>
        <w:rPr>
          <w:i/>
          <w:lang w:eastAsia="en-US"/>
        </w:rPr>
      </w:pPr>
      <w:r>
        <w:rPr>
          <w:i/>
          <w:lang w:eastAsia="en-US"/>
        </w:rPr>
        <w:t xml:space="preserve">Adopt the candidate </w:t>
      </w:r>
      <w:r w:rsidR="00094096">
        <w:rPr>
          <w:i/>
          <w:lang w:eastAsia="en-US"/>
        </w:rPr>
        <w:t xml:space="preserve">RAN1 </w:t>
      </w:r>
      <w:r>
        <w:rPr>
          <w:i/>
          <w:lang w:eastAsia="en-US"/>
        </w:rPr>
        <w:t>specs changes in the Appendix</w:t>
      </w:r>
    </w:p>
    <w:p w:rsidR="002443A0" w:rsidRPr="00E70914" w:rsidRDefault="002443A0" w:rsidP="002443A0">
      <w:pPr>
        <w:pStyle w:val="Heading1"/>
        <w:jc w:val="both"/>
      </w:pPr>
      <w:r w:rsidRPr="00E70914">
        <w:t>References</w:t>
      </w:r>
    </w:p>
    <w:p w:rsidR="002443A0" w:rsidRDefault="002443A0" w:rsidP="002443A0">
      <w:pPr>
        <w:pStyle w:val="Reference"/>
      </w:pPr>
      <w:bookmarkStart w:id="8" w:name="_Ref377392850"/>
      <w:bookmarkStart w:id="9" w:name="_Ref378930721"/>
      <w:r>
        <w:t>R</w:t>
      </w:r>
      <w:r w:rsidR="0014401D">
        <w:t xml:space="preserve">AN1 #76b </w:t>
      </w:r>
      <w:bookmarkEnd w:id="8"/>
      <w:bookmarkEnd w:id="9"/>
      <w:r w:rsidR="0014401D">
        <w:t>Chairman’s note</w:t>
      </w:r>
    </w:p>
    <w:p w:rsidR="0014401D" w:rsidRDefault="0014401D" w:rsidP="0014401D">
      <w:pPr>
        <w:pStyle w:val="Reference"/>
      </w:pPr>
      <w:bookmarkStart w:id="10" w:name="_Ref387224944"/>
      <w:r>
        <w:t xml:space="preserve">R1-141879 </w:t>
      </w:r>
      <w:r w:rsidRPr="0014401D">
        <w:t>WF on 256QAM UE category handling</w:t>
      </w:r>
      <w:r w:rsidRPr="0014401D">
        <w:tab/>
        <w:t>Ericsson, CMCC, CATR, Huawei, HiSilicon, Samsung, Blackberry, Fujitsu, III, FiberHome, CATT, Coolpad, China Unicom</w:t>
      </w:r>
      <w:bookmarkEnd w:id="10"/>
    </w:p>
    <w:p w:rsidR="002443A0" w:rsidRDefault="002443A0" w:rsidP="002443A0">
      <w:pPr>
        <w:pStyle w:val="Reference"/>
      </w:pPr>
      <w:bookmarkStart w:id="11" w:name="_Ref358722604"/>
      <w:r w:rsidRPr="00FD0F34">
        <w:t>3GPP TS 36</w:t>
      </w:r>
      <w:r>
        <w:t>.306</w:t>
      </w:r>
      <w:r w:rsidRPr="00FD0F34">
        <w:t xml:space="preserve"> V11.1.0</w:t>
      </w:r>
      <w:r>
        <w:t xml:space="preserve"> “3rd Generation Partnership Project; Technical Specification Group Radio Access Network; Evolved Universal Terrestrial Radio Access (E-UTRA)</w:t>
      </w:r>
      <w:bookmarkEnd w:id="11"/>
      <w:r>
        <w:t>”</w:t>
      </w:r>
    </w:p>
    <w:p w:rsidR="00EB5BF0" w:rsidRDefault="00EB5BF0" w:rsidP="00EB5BF0">
      <w:pPr>
        <w:pStyle w:val="Reference"/>
      </w:pPr>
      <w:bookmarkStart w:id="12" w:name="_Ref378942261"/>
      <w:r w:rsidRPr="00D9260C">
        <w:t>R1-</w:t>
      </w:r>
      <w:r w:rsidRPr="00320950">
        <w:t>14</w:t>
      </w:r>
      <w:r>
        <w:t>2376, “TBS table design for downlink 256QAM,” Ericsson</w:t>
      </w:r>
    </w:p>
    <w:p w:rsidR="00EB5BF0" w:rsidRDefault="00EB5BF0" w:rsidP="00EB5BF0">
      <w:pPr>
        <w:pStyle w:val="Reference"/>
      </w:pPr>
      <w:bookmarkStart w:id="13" w:name="_Ref387417187"/>
      <w:r>
        <w:t>R1-142375, “CQI and MCS table design for downlink 256QAM”, Ericsson</w:t>
      </w:r>
      <w:bookmarkEnd w:id="13"/>
    </w:p>
    <w:bookmarkEnd w:id="12"/>
    <w:p w:rsidR="0015732F" w:rsidRDefault="0015732F"/>
    <w:p w:rsidR="00EB5BF0" w:rsidRDefault="00EB5BF0">
      <w:pPr>
        <w:spacing w:after="200" w:line="276" w:lineRule="auto"/>
        <w:rPr>
          <w:rFonts w:ascii="Helvetica" w:eastAsia="MS Mincho" w:hAnsi="Helvetica" w:cs="Arial"/>
          <w:b/>
          <w:bCs/>
          <w:kern w:val="32"/>
          <w:sz w:val="28"/>
          <w:szCs w:val="32"/>
        </w:rPr>
      </w:pPr>
      <w:r>
        <w:br w:type="page"/>
      </w:r>
    </w:p>
    <w:p w:rsidR="00813F2F" w:rsidRDefault="00D9260C" w:rsidP="00BD18B9">
      <w:pPr>
        <w:pStyle w:val="Heading1"/>
        <w:jc w:val="both"/>
      </w:pPr>
      <w:r>
        <w:lastRenderedPageBreak/>
        <w:t xml:space="preserve">Appendix – </w:t>
      </w:r>
      <w:r w:rsidR="00813F2F">
        <w:t xml:space="preserve">Candidate </w:t>
      </w:r>
      <w:r w:rsidR="00DD0733">
        <w:t xml:space="preserve">RAN1 </w:t>
      </w:r>
      <w:r w:rsidR="00813F2F">
        <w:t xml:space="preserve">Specs </w:t>
      </w:r>
      <w:r>
        <w:t xml:space="preserve">Changes </w:t>
      </w:r>
    </w:p>
    <w:p w:rsidR="00A34536" w:rsidRPr="006F544D" w:rsidRDefault="00A34536" w:rsidP="001344E1">
      <w:pPr>
        <w:pStyle w:val="BodyText"/>
      </w:pPr>
      <w:r w:rsidRPr="001344E1">
        <w:rPr>
          <w:b/>
        </w:rPr>
        <w:t>For section 5.1.4.1.2 of TS 36.212</w:t>
      </w:r>
    </w:p>
    <w:p w:rsidR="00A34536" w:rsidRDefault="00A34536" w:rsidP="001344E1">
      <w:pPr>
        <w:spacing w:after="180"/>
        <w:ind w:left="720"/>
        <w:rPr>
          <w:sz w:val="20"/>
          <w:szCs w:val="20"/>
          <w:lang w:val="en-GB"/>
        </w:rPr>
      </w:pPr>
      <w:r w:rsidRPr="00B661E1">
        <w:rPr>
          <w:i/>
          <w:sz w:val="20"/>
          <w:szCs w:val="20"/>
          <w:lang w:val="en-GB"/>
        </w:rPr>
        <w:t>N</w:t>
      </w:r>
      <w:r w:rsidRPr="00B661E1">
        <w:rPr>
          <w:sz w:val="20"/>
          <w:szCs w:val="20"/>
          <w:vertAlign w:val="subscript"/>
          <w:lang w:val="en-GB"/>
        </w:rPr>
        <w:t>IR</w:t>
      </w:r>
      <w:r w:rsidRPr="00B661E1">
        <w:rPr>
          <w:sz w:val="20"/>
          <w:szCs w:val="20"/>
          <w:lang w:val="en-GB"/>
        </w:rPr>
        <w:t xml:space="preserve"> is equal to:</w:t>
      </w:r>
    </w:p>
    <w:p w:rsidR="00A34536" w:rsidRDefault="00A34536" w:rsidP="001344E1">
      <w:pPr>
        <w:spacing w:after="180"/>
        <w:ind w:left="720" w:firstLine="720"/>
        <w:rPr>
          <w:sz w:val="20"/>
          <w:szCs w:val="20"/>
          <w:lang w:val="en-GB"/>
        </w:rPr>
      </w:pPr>
      <w:r w:rsidRPr="00B661E1">
        <w:rPr>
          <w:position w:val="-34"/>
          <w:sz w:val="20"/>
          <w:szCs w:val="20"/>
          <w:lang w:val="en-GB"/>
        </w:rPr>
        <w:object w:dxaOrig="423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39.75pt" o:ole="">
            <v:imagedata r:id="rId8" o:title=""/>
          </v:shape>
          <o:OLEObject Type="Embed" ProgID="Equation.3" ShapeID="_x0000_i1025" DrawAspect="Content" ObjectID="_1461166022" r:id="rId9"/>
        </w:object>
      </w:r>
    </w:p>
    <w:p w:rsidR="00A34536" w:rsidRDefault="00A34536" w:rsidP="001344E1">
      <w:pPr>
        <w:spacing w:after="180"/>
        <w:ind w:left="720"/>
        <w:rPr>
          <w:sz w:val="20"/>
          <w:szCs w:val="20"/>
          <w:lang w:val="en-GB"/>
        </w:rPr>
      </w:pPr>
      <w:r>
        <w:rPr>
          <w:sz w:val="20"/>
          <w:szCs w:val="20"/>
          <w:lang w:val="en-GB"/>
        </w:rPr>
        <w:t>if the DL cell is configured to support 256QAM, and otherwise is equal to</w:t>
      </w:r>
    </w:p>
    <w:p w:rsidR="00A34536" w:rsidRPr="00B661E1" w:rsidRDefault="00A34536" w:rsidP="001344E1">
      <w:pPr>
        <w:spacing w:after="180"/>
        <w:ind w:left="720" w:firstLine="720"/>
        <w:rPr>
          <w:sz w:val="20"/>
          <w:szCs w:val="20"/>
          <w:lang w:val="en-GB"/>
        </w:rPr>
      </w:pPr>
      <w:r w:rsidRPr="00B661E1">
        <w:rPr>
          <w:position w:val="-34"/>
          <w:sz w:val="20"/>
          <w:szCs w:val="20"/>
          <w:lang w:val="en-GB"/>
        </w:rPr>
        <w:object w:dxaOrig="4220" w:dyaOrig="800">
          <v:shape id="_x0000_i1026" type="#_x0000_t75" style="width:210.75pt;height:39.75pt" o:ole="">
            <v:imagedata r:id="rId10" o:title=""/>
          </v:shape>
          <o:OLEObject Type="Embed" ProgID="Equation.3" ShapeID="_x0000_i1026" DrawAspect="Content" ObjectID="_1461166023" r:id="rId11"/>
        </w:object>
      </w:r>
    </w:p>
    <w:p w:rsidR="00A34536" w:rsidRPr="006F544D" w:rsidRDefault="00A34536" w:rsidP="001344E1">
      <w:pPr>
        <w:pStyle w:val="BodyText"/>
      </w:pPr>
      <w:r w:rsidRPr="001344E1">
        <w:rPr>
          <w:b/>
        </w:rPr>
        <w:t>For section 7.1.8 of TS 36.213</w:t>
      </w:r>
    </w:p>
    <w:p w:rsidR="00A34536" w:rsidRDefault="003900C1" w:rsidP="001344E1">
      <w:pPr>
        <w:pStyle w:val="BodyText"/>
        <w:ind w:left="567"/>
      </w:pPr>
      <w:r>
        <w:rPr>
          <w:lang w:val="en-GB"/>
        </w:rPr>
        <w:t xml:space="preserve">This section is also applicable to </w:t>
      </w:r>
      <w:r w:rsidR="00A34536" w:rsidRPr="00A34536">
        <w:rPr>
          <w:lang w:val="en-GB"/>
        </w:rPr>
        <w:t>a DL cell configured to support 256QAM</w:t>
      </w:r>
      <w:r>
        <w:rPr>
          <w:lang w:val="en-GB"/>
        </w:rPr>
        <w:t xml:space="preserve"> (to allow </w:t>
      </w:r>
      <w:r w:rsidR="00A34536" w:rsidRPr="00A34536">
        <w:rPr>
          <w:lang w:val="en-GB"/>
        </w:rPr>
        <w:t>the UE to discard received soft bits exceeding its buffer size</w:t>
      </w:r>
      <w:r>
        <w:rPr>
          <w:lang w:val="en-GB"/>
        </w:rPr>
        <w:t>)</w:t>
      </w:r>
      <w:r w:rsidR="00A34536">
        <w:rPr>
          <w:lang w:val="en-GB"/>
        </w:rPr>
        <w:t>.</w:t>
      </w:r>
    </w:p>
    <w:p w:rsidR="00813F2F" w:rsidRPr="00813F2F" w:rsidRDefault="00813F2F" w:rsidP="001344E1">
      <w:pPr>
        <w:pStyle w:val="BodyText"/>
        <w:rPr>
          <w:lang w:val="en-GB"/>
        </w:rPr>
      </w:pPr>
    </w:p>
    <w:sectPr w:rsidR="00813F2F" w:rsidRPr="00813F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5"/>
  </w:num>
  <w:num w:numId="6">
    <w:abstractNumId w:val="7"/>
  </w:num>
  <w:num w:numId="7">
    <w:abstractNumId w:val="6"/>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25356"/>
    <w:rsid w:val="000267B4"/>
    <w:rsid w:val="00046CD7"/>
    <w:rsid w:val="000470C5"/>
    <w:rsid w:val="00094096"/>
    <w:rsid w:val="000C6BAD"/>
    <w:rsid w:val="00132C22"/>
    <w:rsid w:val="001344E1"/>
    <w:rsid w:val="0014401D"/>
    <w:rsid w:val="001477CA"/>
    <w:rsid w:val="0015732F"/>
    <w:rsid w:val="001A1FD1"/>
    <w:rsid w:val="001D0668"/>
    <w:rsid w:val="001E1170"/>
    <w:rsid w:val="001F3B43"/>
    <w:rsid w:val="00216EA4"/>
    <w:rsid w:val="00226330"/>
    <w:rsid w:val="002443A0"/>
    <w:rsid w:val="00273F0F"/>
    <w:rsid w:val="002900AE"/>
    <w:rsid w:val="002D4655"/>
    <w:rsid w:val="00315917"/>
    <w:rsid w:val="00320F89"/>
    <w:rsid w:val="003332F3"/>
    <w:rsid w:val="00345559"/>
    <w:rsid w:val="003666F9"/>
    <w:rsid w:val="003900C1"/>
    <w:rsid w:val="00393F38"/>
    <w:rsid w:val="003E5BDE"/>
    <w:rsid w:val="003F7679"/>
    <w:rsid w:val="004603AF"/>
    <w:rsid w:val="004858E4"/>
    <w:rsid w:val="004909D3"/>
    <w:rsid w:val="0049209A"/>
    <w:rsid w:val="004935FB"/>
    <w:rsid w:val="004E158C"/>
    <w:rsid w:val="004F3F73"/>
    <w:rsid w:val="00506A6E"/>
    <w:rsid w:val="00511CC2"/>
    <w:rsid w:val="00513103"/>
    <w:rsid w:val="0051482C"/>
    <w:rsid w:val="00543E28"/>
    <w:rsid w:val="00594573"/>
    <w:rsid w:val="005B27C0"/>
    <w:rsid w:val="005C5F43"/>
    <w:rsid w:val="005D4F86"/>
    <w:rsid w:val="005E57D0"/>
    <w:rsid w:val="00600464"/>
    <w:rsid w:val="006B0837"/>
    <w:rsid w:val="006F22EA"/>
    <w:rsid w:val="006F544D"/>
    <w:rsid w:val="00703951"/>
    <w:rsid w:val="0072775D"/>
    <w:rsid w:val="00770D08"/>
    <w:rsid w:val="007778CA"/>
    <w:rsid w:val="007A19DD"/>
    <w:rsid w:val="007B6A80"/>
    <w:rsid w:val="007E4D40"/>
    <w:rsid w:val="007F04FD"/>
    <w:rsid w:val="007F344D"/>
    <w:rsid w:val="008056E3"/>
    <w:rsid w:val="0081098A"/>
    <w:rsid w:val="00813F2F"/>
    <w:rsid w:val="00864655"/>
    <w:rsid w:val="008A47C5"/>
    <w:rsid w:val="008E78FB"/>
    <w:rsid w:val="00910629"/>
    <w:rsid w:val="009335C3"/>
    <w:rsid w:val="00934C4C"/>
    <w:rsid w:val="00940DFB"/>
    <w:rsid w:val="0095212E"/>
    <w:rsid w:val="009764E1"/>
    <w:rsid w:val="00983434"/>
    <w:rsid w:val="009B3249"/>
    <w:rsid w:val="00A11A66"/>
    <w:rsid w:val="00A12F8F"/>
    <w:rsid w:val="00A235F8"/>
    <w:rsid w:val="00A34536"/>
    <w:rsid w:val="00A54860"/>
    <w:rsid w:val="00A562B7"/>
    <w:rsid w:val="00A808CF"/>
    <w:rsid w:val="00A87F16"/>
    <w:rsid w:val="00AD17FA"/>
    <w:rsid w:val="00AE59EB"/>
    <w:rsid w:val="00AF6456"/>
    <w:rsid w:val="00B11970"/>
    <w:rsid w:val="00B1343D"/>
    <w:rsid w:val="00B33466"/>
    <w:rsid w:val="00B50BA4"/>
    <w:rsid w:val="00B527FD"/>
    <w:rsid w:val="00B55301"/>
    <w:rsid w:val="00B661E1"/>
    <w:rsid w:val="00B70BCD"/>
    <w:rsid w:val="00B75C21"/>
    <w:rsid w:val="00B76ED7"/>
    <w:rsid w:val="00BC2A47"/>
    <w:rsid w:val="00BD18B9"/>
    <w:rsid w:val="00BE10FC"/>
    <w:rsid w:val="00BF5895"/>
    <w:rsid w:val="00C74A08"/>
    <w:rsid w:val="00CC1C57"/>
    <w:rsid w:val="00CE3F47"/>
    <w:rsid w:val="00CF5E58"/>
    <w:rsid w:val="00D11908"/>
    <w:rsid w:val="00D23AFA"/>
    <w:rsid w:val="00D37A9A"/>
    <w:rsid w:val="00D42A52"/>
    <w:rsid w:val="00D60E79"/>
    <w:rsid w:val="00D70BCA"/>
    <w:rsid w:val="00D9260C"/>
    <w:rsid w:val="00DA4F06"/>
    <w:rsid w:val="00DB17FC"/>
    <w:rsid w:val="00DC0182"/>
    <w:rsid w:val="00DD0733"/>
    <w:rsid w:val="00DD763E"/>
    <w:rsid w:val="00DE2B08"/>
    <w:rsid w:val="00E52DA4"/>
    <w:rsid w:val="00E876B5"/>
    <w:rsid w:val="00EA02AD"/>
    <w:rsid w:val="00EB5BF0"/>
    <w:rsid w:val="00F255C2"/>
    <w:rsid w:val="00F34185"/>
    <w:rsid w:val="00F6593F"/>
    <w:rsid w:val="00F82A91"/>
    <w:rsid w:val="00FA7484"/>
    <w:rsid w:val="00FC1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2945</Words>
  <Characters>16788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2014-05-10T01:41:00Z</dcterms:created>
  <dcterms:modified xsi:type="dcterms:W3CDTF">2014-05-10T01:41:00Z</dcterms:modified>
</cp:coreProperties>
</file>