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CE16A8" w14:textId="617146F2" w:rsidR="00AB57B9" w:rsidRPr="008D5786" w:rsidRDefault="00AB57B9" w:rsidP="00AB57B9">
      <w:pPr>
        <w:pStyle w:val="Header"/>
        <w:tabs>
          <w:tab w:val="right" w:pos="8280"/>
          <w:tab w:val="right" w:pos="9781"/>
        </w:tabs>
        <w:ind w:right="-58"/>
        <w:rPr>
          <w:b w:val="0"/>
          <w:bCs w:val="0"/>
          <w:sz w:val="24"/>
        </w:rPr>
      </w:pPr>
      <w:bookmarkStart w:id="0" w:name="OLE_LINK40"/>
      <w:bookmarkStart w:id="1" w:name="OLE_LINK73"/>
      <w:bookmarkStart w:id="2" w:name="OLE_LINK46"/>
      <w:bookmarkStart w:id="3" w:name="OLE_LINK47"/>
      <w:bookmarkStart w:id="4" w:name="_GoBack"/>
      <w:bookmarkEnd w:id="4"/>
      <w:r w:rsidRPr="008D5786">
        <w:rPr>
          <w:b w:val="0"/>
          <w:sz w:val="24"/>
        </w:rPr>
        <w:t>3GPP TSG RAN WG1 Meeting #76bis</w:t>
      </w:r>
      <w:r w:rsidRPr="008D5786">
        <w:rPr>
          <w:b w:val="0"/>
          <w:sz w:val="24"/>
        </w:rPr>
        <w:tab/>
      </w:r>
      <w:r>
        <w:rPr>
          <w:b w:val="0"/>
          <w:sz w:val="24"/>
        </w:rPr>
        <w:tab/>
        <w:t xml:space="preserve"> </w:t>
      </w:r>
      <w:r w:rsidR="0084385D" w:rsidRPr="0084385D">
        <w:rPr>
          <w:b w:val="0"/>
          <w:sz w:val="24"/>
        </w:rPr>
        <w:t>R1-141713</w:t>
      </w:r>
    </w:p>
    <w:p w14:paraId="71CE16A9" w14:textId="77777777" w:rsidR="00AB57B9" w:rsidRDefault="00AB57B9" w:rsidP="00AB57B9">
      <w:pPr>
        <w:pStyle w:val="Header"/>
        <w:tabs>
          <w:tab w:val="right" w:pos="8280"/>
          <w:tab w:val="right" w:pos="9781"/>
        </w:tabs>
        <w:ind w:right="-58"/>
        <w:rPr>
          <w:b w:val="0"/>
          <w:bCs w:val="0"/>
          <w:sz w:val="24"/>
        </w:rPr>
      </w:pPr>
      <w:r w:rsidRPr="008D5786">
        <w:rPr>
          <w:b w:val="0"/>
          <w:sz w:val="24"/>
        </w:rPr>
        <w:t>Shenzhen, China, 31st March – 4th April 2014</w:t>
      </w:r>
    </w:p>
    <w:p w14:paraId="71CE16AA" w14:textId="77777777" w:rsidR="00A811D8" w:rsidRPr="00FC66EF" w:rsidRDefault="00A811D8" w:rsidP="00A811D8">
      <w:pPr>
        <w:pStyle w:val="Header"/>
        <w:tabs>
          <w:tab w:val="right" w:pos="8280"/>
          <w:tab w:val="right" w:pos="9781"/>
        </w:tabs>
        <w:ind w:right="-58"/>
        <w:rPr>
          <w:b w:val="0"/>
          <w:bCs w:val="0"/>
          <w:sz w:val="24"/>
        </w:rPr>
      </w:pPr>
    </w:p>
    <w:bookmarkEnd w:id="0"/>
    <w:p w14:paraId="71CE16AB" w14:textId="77777777" w:rsidR="00A811D8" w:rsidRPr="00B6394F" w:rsidRDefault="00A811D8" w:rsidP="00A811D8">
      <w:pPr>
        <w:ind w:left="1985" w:hanging="1985"/>
        <w:rPr>
          <w:rFonts w:cs="Arial"/>
          <w:sz w:val="24"/>
          <w:szCs w:val="24"/>
        </w:rPr>
      </w:pPr>
      <w:r w:rsidRPr="00B6394F">
        <w:rPr>
          <w:rFonts w:cs="Arial"/>
          <w:b/>
          <w:sz w:val="24"/>
          <w:szCs w:val="24"/>
        </w:rPr>
        <w:t>Source:</w:t>
      </w:r>
      <w:r w:rsidRPr="00B6394F">
        <w:rPr>
          <w:rFonts w:cs="Arial"/>
          <w:b/>
          <w:sz w:val="24"/>
          <w:szCs w:val="24"/>
        </w:rPr>
        <w:tab/>
      </w:r>
      <w:r w:rsidRPr="00B6394F">
        <w:rPr>
          <w:rFonts w:cs="Arial"/>
          <w:sz w:val="24"/>
          <w:szCs w:val="24"/>
        </w:rPr>
        <w:t>QUALCOMM Incorporated</w:t>
      </w:r>
    </w:p>
    <w:p w14:paraId="71CE16AC" w14:textId="77777777" w:rsidR="00A811D8" w:rsidRPr="007635DC" w:rsidRDefault="00A811D8" w:rsidP="00A811D8">
      <w:pPr>
        <w:ind w:left="1985" w:hanging="1985"/>
        <w:rPr>
          <w:rFonts w:cs="Arial"/>
          <w:b/>
          <w:sz w:val="24"/>
          <w:szCs w:val="24"/>
        </w:rPr>
      </w:pPr>
      <w:r w:rsidRPr="007635DC">
        <w:rPr>
          <w:rFonts w:cs="Arial"/>
          <w:b/>
          <w:sz w:val="24"/>
          <w:szCs w:val="24"/>
        </w:rPr>
        <w:t>Title:</w:t>
      </w:r>
      <w:r w:rsidRPr="007635DC">
        <w:rPr>
          <w:rFonts w:cs="Arial"/>
          <w:b/>
          <w:sz w:val="24"/>
          <w:szCs w:val="24"/>
        </w:rPr>
        <w:tab/>
      </w:r>
      <w:r w:rsidR="00AB57B9" w:rsidRPr="00AB57B9">
        <w:rPr>
          <w:sz w:val="24"/>
          <w:szCs w:val="24"/>
        </w:rPr>
        <w:t>Details of DTX/DRX Improvements</w:t>
      </w:r>
    </w:p>
    <w:p w14:paraId="71CE16AD" w14:textId="77777777" w:rsidR="00A811D8" w:rsidRPr="00B6394F" w:rsidRDefault="00A811D8" w:rsidP="00A811D8">
      <w:pPr>
        <w:tabs>
          <w:tab w:val="left" w:pos="284"/>
          <w:tab w:val="left" w:pos="568"/>
          <w:tab w:val="left" w:pos="852"/>
          <w:tab w:val="left" w:pos="1136"/>
          <w:tab w:val="left" w:pos="1420"/>
          <w:tab w:val="left" w:pos="1704"/>
          <w:tab w:val="left" w:pos="1988"/>
          <w:tab w:val="left" w:pos="2272"/>
          <w:tab w:val="left" w:pos="5896"/>
        </w:tabs>
        <w:ind w:left="1985" w:hanging="1985"/>
        <w:rPr>
          <w:rFonts w:cs="Arial"/>
          <w:bCs/>
          <w:color w:val="FF0000"/>
          <w:sz w:val="24"/>
          <w:szCs w:val="24"/>
        </w:rPr>
      </w:pPr>
      <w:r w:rsidRPr="00B6394F">
        <w:rPr>
          <w:rFonts w:cs="Arial"/>
          <w:b/>
          <w:sz w:val="24"/>
          <w:szCs w:val="24"/>
        </w:rPr>
        <w:t>Agenda item:</w:t>
      </w:r>
      <w:r w:rsidRPr="00B6394F">
        <w:rPr>
          <w:rFonts w:cs="Arial"/>
          <w:b/>
          <w:sz w:val="24"/>
          <w:szCs w:val="24"/>
        </w:rPr>
        <w:tab/>
      </w:r>
      <w:r>
        <w:rPr>
          <w:rFonts w:cs="Arial"/>
          <w:sz w:val="24"/>
          <w:szCs w:val="24"/>
          <w:lang w:eastAsia="ko-KR"/>
        </w:rPr>
        <w:tab/>
      </w:r>
      <w:r w:rsidRPr="00A811D8">
        <w:rPr>
          <w:rFonts w:cs="Arial"/>
          <w:sz w:val="24"/>
          <w:szCs w:val="24"/>
          <w:lang w:eastAsia="ko-KR"/>
        </w:rPr>
        <w:t>6.4.1.1</w:t>
      </w:r>
    </w:p>
    <w:p w14:paraId="71CE16AE" w14:textId="77777777" w:rsidR="00A811D8" w:rsidRPr="00B6394F" w:rsidRDefault="00A811D8" w:rsidP="00A811D8">
      <w:pPr>
        <w:ind w:left="1985" w:hanging="1985"/>
        <w:rPr>
          <w:rFonts w:cs="Arial"/>
          <w:b/>
        </w:rPr>
      </w:pPr>
      <w:r w:rsidRPr="00B6394F">
        <w:rPr>
          <w:rFonts w:cs="Arial"/>
          <w:b/>
          <w:sz w:val="24"/>
          <w:szCs w:val="24"/>
        </w:rPr>
        <w:t>Document for:</w:t>
      </w:r>
      <w:r w:rsidRPr="00B6394F">
        <w:rPr>
          <w:rFonts w:cs="Arial"/>
          <w:b/>
          <w:sz w:val="24"/>
          <w:szCs w:val="24"/>
        </w:rPr>
        <w:tab/>
      </w:r>
      <w:r w:rsidRPr="00A811D8">
        <w:rPr>
          <w:rFonts w:cs="Arial"/>
          <w:sz w:val="24"/>
          <w:szCs w:val="24"/>
        </w:rPr>
        <w:t>Discussion/Decision</w:t>
      </w:r>
    </w:p>
    <w:bookmarkEnd w:id="1"/>
    <w:bookmarkEnd w:id="2"/>
    <w:bookmarkEnd w:id="3"/>
    <w:p w14:paraId="71CE16AF" w14:textId="77777777" w:rsidR="00E90E49" w:rsidRPr="00F6302A" w:rsidRDefault="000744A3" w:rsidP="000744A3">
      <w:pPr>
        <w:pStyle w:val="Heading1"/>
        <w:numPr>
          <w:ilvl w:val="0"/>
          <w:numId w:val="0"/>
        </w:numPr>
        <w:rPr>
          <w:lang w:val="en-US"/>
        </w:rPr>
      </w:pPr>
      <w:r>
        <w:rPr>
          <w:lang w:val="en-US"/>
        </w:rPr>
        <w:t>1</w:t>
      </w:r>
      <w:r>
        <w:rPr>
          <w:lang w:val="en-US"/>
        </w:rPr>
        <w:tab/>
      </w:r>
      <w:r w:rsidR="00E90E49" w:rsidRPr="00F6302A">
        <w:rPr>
          <w:lang w:val="en-US"/>
        </w:rPr>
        <w:t>Introduction</w:t>
      </w:r>
    </w:p>
    <w:p w14:paraId="71CE16B0" w14:textId="77777777" w:rsidR="00440BAC" w:rsidRPr="00A811D8" w:rsidRDefault="002011EF" w:rsidP="00DB77A9">
      <w:pPr>
        <w:pStyle w:val="BodyText"/>
        <w:rPr>
          <w:rFonts w:ascii="Times New Roman" w:hAnsi="Times New Roman"/>
          <w:lang w:val="en-US"/>
        </w:rPr>
      </w:pPr>
      <w:r w:rsidRPr="00A811D8">
        <w:rPr>
          <w:rFonts w:ascii="Times New Roman" w:hAnsi="Times New Roman"/>
        </w:rPr>
        <w:t>During RAN</w:t>
      </w:r>
      <w:r w:rsidR="00EA2CE5" w:rsidRPr="00A811D8">
        <w:rPr>
          <w:rFonts w:ascii="Times New Roman" w:hAnsi="Times New Roman"/>
        </w:rPr>
        <w:t>#</w:t>
      </w:r>
      <w:r w:rsidRPr="00A811D8">
        <w:rPr>
          <w:rFonts w:ascii="Times New Roman" w:hAnsi="Times New Roman"/>
        </w:rPr>
        <w:t>6</w:t>
      </w:r>
      <w:r w:rsidR="002C4E9C" w:rsidRPr="00A811D8">
        <w:rPr>
          <w:rFonts w:ascii="Times New Roman" w:hAnsi="Times New Roman"/>
        </w:rPr>
        <w:t>2</w:t>
      </w:r>
      <w:r w:rsidR="00EA2CE5" w:rsidRPr="00A811D8">
        <w:rPr>
          <w:rFonts w:ascii="Times New Roman" w:hAnsi="Times New Roman"/>
        </w:rPr>
        <w:t xml:space="preserve">, </w:t>
      </w:r>
      <w:r w:rsidRPr="00A811D8">
        <w:rPr>
          <w:rFonts w:ascii="Times New Roman" w:hAnsi="Times New Roman"/>
        </w:rPr>
        <w:t xml:space="preserve">a Work Item on Further EUL enhancements was agreed. One of the objectives listed under the WID </w:t>
      </w:r>
      <w:r w:rsidR="009E440A" w:rsidRPr="00A811D8">
        <w:rPr>
          <w:rFonts w:ascii="Times New Roman" w:hAnsi="Times New Roman"/>
        </w:rPr>
        <w:fldChar w:fldCharType="begin"/>
      </w:r>
      <w:r w:rsidR="009E440A" w:rsidRPr="00A811D8">
        <w:rPr>
          <w:rFonts w:ascii="Times New Roman" w:hAnsi="Times New Roman"/>
        </w:rPr>
        <w:instrText xml:space="preserve"> REF _Ref377719135 \r </w:instrText>
      </w:r>
      <w:r w:rsidR="00A811D8">
        <w:rPr>
          <w:rFonts w:ascii="Times New Roman" w:hAnsi="Times New Roman"/>
        </w:rPr>
        <w:instrText xml:space="preserve"> \* MERGEFORMAT </w:instrText>
      </w:r>
      <w:r w:rsidR="009E440A" w:rsidRPr="00A811D8">
        <w:rPr>
          <w:rFonts w:ascii="Times New Roman" w:hAnsi="Times New Roman"/>
        </w:rPr>
        <w:fldChar w:fldCharType="separate"/>
      </w:r>
      <w:r w:rsidR="009E440A" w:rsidRPr="00A811D8">
        <w:rPr>
          <w:rFonts w:ascii="Times New Roman" w:hAnsi="Times New Roman"/>
        </w:rPr>
        <w:t>[1]</w:t>
      </w:r>
      <w:r w:rsidR="009E440A" w:rsidRPr="00A811D8">
        <w:rPr>
          <w:rFonts w:ascii="Times New Roman" w:hAnsi="Times New Roman"/>
        </w:rPr>
        <w:fldChar w:fldCharType="end"/>
      </w:r>
      <w:r w:rsidRPr="00A811D8">
        <w:rPr>
          <w:rFonts w:ascii="Times New Roman" w:hAnsi="Times New Roman"/>
        </w:rPr>
        <w:t xml:space="preserve"> is to </w:t>
      </w:r>
      <w:r w:rsidR="00AD0546" w:rsidRPr="00A811D8">
        <w:rPr>
          <w:rFonts w:ascii="Times New Roman" w:hAnsi="Times New Roman"/>
        </w:rPr>
        <w:t xml:space="preserve">introduce enhancements for DTX/DRX </w:t>
      </w:r>
      <w:r w:rsidR="00DB77A9">
        <w:rPr>
          <w:rFonts w:ascii="Times New Roman" w:hAnsi="Times New Roman"/>
        </w:rPr>
        <w:t>operation. In this contribution, we attempt to resolve the open issues pertaining to DTX operation on the secondary uplink carrier as well as DRX operation for primary and secondary carriers in single and dual band operation.</w:t>
      </w:r>
    </w:p>
    <w:p w14:paraId="71CE16B1" w14:textId="77777777" w:rsidR="003D4459" w:rsidRPr="00E30842" w:rsidRDefault="000744A3" w:rsidP="00E30842">
      <w:pPr>
        <w:pStyle w:val="Heading1"/>
        <w:numPr>
          <w:ilvl w:val="0"/>
          <w:numId w:val="0"/>
        </w:numPr>
        <w:rPr>
          <w:lang w:val="en-US"/>
        </w:rPr>
      </w:pPr>
      <w:bookmarkStart w:id="5" w:name="_Ref189046994"/>
      <w:r>
        <w:rPr>
          <w:lang w:val="en-US"/>
        </w:rPr>
        <w:t>2</w:t>
      </w:r>
      <w:r>
        <w:rPr>
          <w:lang w:val="en-US"/>
        </w:rPr>
        <w:tab/>
      </w:r>
      <w:bookmarkEnd w:id="5"/>
      <w:r w:rsidR="00182C3C">
        <w:rPr>
          <w:lang w:val="en-US"/>
        </w:rPr>
        <w:t>DTX/DRX Enhancements</w:t>
      </w:r>
    </w:p>
    <w:p w14:paraId="71CE16B2" w14:textId="77777777" w:rsidR="00EF75E3" w:rsidRPr="00E30842" w:rsidRDefault="00EF75E3" w:rsidP="00EF75E3">
      <w:pPr>
        <w:pStyle w:val="Heading2"/>
        <w:numPr>
          <w:ilvl w:val="0"/>
          <w:numId w:val="0"/>
        </w:numPr>
        <w:rPr>
          <w:lang w:val="en-US"/>
        </w:rPr>
      </w:pPr>
      <w:r>
        <w:rPr>
          <w:lang w:val="en-US"/>
        </w:rPr>
        <w:t>2.1</w:t>
      </w:r>
      <w:r>
        <w:rPr>
          <w:lang w:val="en-US"/>
        </w:rPr>
        <w:tab/>
        <w:t>DTX Enhancements in DC-HSUPA</w:t>
      </w:r>
    </w:p>
    <w:p w14:paraId="71CE16B3" w14:textId="77777777" w:rsidR="001A7C70" w:rsidRDefault="001A7C70" w:rsidP="00CB7CEA">
      <w:pPr>
        <w:pStyle w:val="BodyText"/>
        <w:rPr>
          <w:rFonts w:ascii="Times New Roman" w:hAnsi="Times New Roman"/>
        </w:rPr>
      </w:pPr>
      <w:r>
        <w:rPr>
          <w:rFonts w:ascii="Times New Roman" w:hAnsi="Times New Roman"/>
        </w:rPr>
        <w:t>It was agreed in the previous RAN1 meeting that the DTX cycle length and inactivity thresholds would be configured independently for the two carriers. Further, in order to facilitate TDM operation with minimal interference, longer DTX cycles are to be considered.</w:t>
      </w:r>
    </w:p>
    <w:p w14:paraId="71CE16B4" w14:textId="77777777" w:rsidR="001A7C70" w:rsidRDefault="001A7C70" w:rsidP="00CB7CEA">
      <w:pPr>
        <w:pStyle w:val="BodyText"/>
        <w:rPr>
          <w:rFonts w:ascii="Times New Roman" w:hAnsi="Times New Roman"/>
        </w:rPr>
      </w:pPr>
      <w:r>
        <w:rPr>
          <w:rFonts w:ascii="Times New Roman" w:hAnsi="Times New Roman"/>
        </w:rPr>
        <w:t xml:space="preserve">Based on data obtained from field measurement results in various operator networks, it is considered that the following values </w:t>
      </w:r>
      <w:r>
        <w:rPr>
          <w:rFonts w:ascii="Times New Roman" w:hAnsi="Times New Roman"/>
        </w:rPr>
        <w:tab/>
        <w:t xml:space="preserve">DTX cycles for the secondary carrier would be beneficial both in terms of battery life and the reduction of uplink interference. </w:t>
      </w:r>
    </w:p>
    <w:p w14:paraId="71CE16B5" w14:textId="77777777" w:rsidR="00B34F7C" w:rsidRPr="00B47D37" w:rsidRDefault="00B34F7C" w:rsidP="00B34F7C">
      <w:pPr>
        <w:pStyle w:val="Caption"/>
        <w:rPr>
          <w:rFonts w:ascii="Times New Roman" w:hAnsi="Times New Roman"/>
        </w:rPr>
      </w:pPr>
      <w:r w:rsidRPr="00B47D37">
        <w:rPr>
          <w:rFonts w:ascii="Times New Roman" w:hAnsi="Times New Roman"/>
        </w:rPr>
        <w:t>Table 1: Extended DTX Cycle 2 parameters for the secondary carrier</w:t>
      </w:r>
    </w:p>
    <w:tbl>
      <w:tblPr>
        <w:tblStyle w:val="TableGrid"/>
        <w:tblW w:w="0" w:type="auto"/>
        <w:jc w:val="center"/>
        <w:tblLook w:val="04A0" w:firstRow="1" w:lastRow="0" w:firstColumn="1" w:lastColumn="0" w:noHBand="0" w:noVBand="1"/>
      </w:tblPr>
      <w:tblGrid>
        <w:gridCol w:w="4104"/>
        <w:gridCol w:w="4105"/>
      </w:tblGrid>
      <w:tr w:rsidR="00B34F7C" w14:paraId="71CE16B8" w14:textId="77777777" w:rsidTr="00DB77A9">
        <w:trPr>
          <w:trHeight w:val="341"/>
          <w:jc w:val="center"/>
        </w:trPr>
        <w:tc>
          <w:tcPr>
            <w:tcW w:w="4104" w:type="dxa"/>
            <w:vAlign w:val="center"/>
          </w:tcPr>
          <w:p w14:paraId="71CE16B6" w14:textId="77777777" w:rsidR="00B34F7C" w:rsidRPr="00B34F7C" w:rsidRDefault="00B34F7C" w:rsidP="00DB77A9">
            <w:pPr>
              <w:pStyle w:val="BodyText"/>
              <w:jc w:val="center"/>
              <w:rPr>
                <w:rFonts w:ascii="Times New Roman" w:hAnsi="Times New Roman"/>
                <w:b/>
              </w:rPr>
            </w:pPr>
            <w:r w:rsidRPr="00B34F7C">
              <w:rPr>
                <w:rFonts w:ascii="Times New Roman" w:hAnsi="Times New Roman"/>
                <w:b/>
              </w:rPr>
              <w:t>Parameter</w:t>
            </w:r>
          </w:p>
        </w:tc>
        <w:tc>
          <w:tcPr>
            <w:tcW w:w="4105" w:type="dxa"/>
            <w:vAlign w:val="center"/>
          </w:tcPr>
          <w:p w14:paraId="71CE16B7" w14:textId="77777777" w:rsidR="00B34F7C" w:rsidRPr="00B34F7C" w:rsidRDefault="00B34F7C" w:rsidP="00DB77A9">
            <w:pPr>
              <w:pStyle w:val="BodyText"/>
              <w:jc w:val="center"/>
              <w:rPr>
                <w:rFonts w:ascii="Times New Roman" w:hAnsi="Times New Roman"/>
                <w:b/>
              </w:rPr>
            </w:pPr>
            <w:r w:rsidRPr="00B34F7C">
              <w:rPr>
                <w:rFonts w:ascii="Times New Roman" w:hAnsi="Times New Roman"/>
                <w:b/>
              </w:rPr>
              <w:t>Configur</w:t>
            </w:r>
            <w:r>
              <w:rPr>
                <w:rFonts w:ascii="Times New Roman" w:hAnsi="Times New Roman"/>
                <w:b/>
              </w:rPr>
              <w:t>able</w:t>
            </w:r>
            <w:r w:rsidRPr="00B34F7C">
              <w:rPr>
                <w:rFonts w:ascii="Times New Roman" w:hAnsi="Times New Roman"/>
                <w:b/>
              </w:rPr>
              <w:t xml:space="preserve"> values in subframes</w:t>
            </w:r>
          </w:p>
        </w:tc>
      </w:tr>
      <w:tr w:rsidR="001A7C70" w14:paraId="71CE16BC" w14:textId="77777777" w:rsidTr="00DB77A9">
        <w:trPr>
          <w:trHeight w:val="681"/>
          <w:jc w:val="center"/>
        </w:trPr>
        <w:tc>
          <w:tcPr>
            <w:tcW w:w="4104" w:type="dxa"/>
            <w:vAlign w:val="center"/>
          </w:tcPr>
          <w:p w14:paraId="71CE16B9" w14:textId="77777777" w:rsidR="001A7C70" w:rsidRDefault="001A7C70" w:rsidP="00DB77A9">
            <w:pPr>
              <w:pStyle w:val="BodyText"/>
              <w:jc w:val="left"/>
              <w:rPr>
                <w:rFonts w:ascii="Times New Roman" w:hAnsi="Times New Roman"/>
              </w:rPr>
            </w:pPr>
            <w:r>
              <w:rPr>
                <w:rFonts w:ascii="Times New Roman" w:hAnsi="Times New Roman"/>
              </w:rPr>
              <w:t>Extended DTX cycle 2 values for the secondary carrier</w:t>
            </w:r>
          </w:p>
        </w:tc>
        <w:tc>
          <w:tcPr>
            <w:tcW w:w="4105" w:type="dxa"/>
            <w:vAlign w:val="center"/>
          </w:tcPr>
          <w:p w14:paraId="71CE16BA" w14:textId="77777777" w:rsidR="001A7C70" w:rsidRDefault="00B34F7C" w:rsidP="00DB77A9">
            <w:pPr>
              <w:pStyle w:val="BodyText"/>
              <w:jc w:val="left"/>
              <w:rPr>
                <w:rFonts w:ascii="Times New Roman" w:hAnsi="Times New Roman"/>
              </w:rPr>
            </w:pPr>
            <w:r>
              <w:rPr>
                <w:rFonts w:ascii="Times New Roman" w:hAnsi="Times New Roman"/>
              </w:rPr>
              <w:t xml:space="preserve">2ms TTI: </w:t>
            </w:r>
            <w:r w:rsidR="001A7C70">
              <w:rPr>
                <w:rFonts w:ascii="Times New Roman" w:hAnsi="Times New Roman"/>
              </w:rPr>
              <w:t xml:space="preserve">320, 640, </w:t>
            </w:r>
            <w:r>
              <w:rPr>
                <w:rFonts w:ascii="Times New Roman" w:hAnsi="Times New Roman"/>
              </w:rPr>
              <w:t>1280</w:t>
            </w:r>
          </w:p>
          <w:p w14:paraId="71CE16BB" w14:textId="77777777" w:rsidR="00B34F7C" w:rsidRDefault="00B34F7C" w:rsidP="00DB77A9">
            <w:pPr>
              <w:pStyle w:val="BodyText"/>
              <w:jc w:val="left"/>
              <w:rPr>
                <w:rFonts w:ascii="Times New Roman" w:hAnsi="Times New Roman"/>
              </w:rPr>
            </w:pPr>
            <w:r>
              <w:rPr>
                <w:rFonts w:ascii="Times New Roman" w:hAnsi="Times New Roman"/>
              </w:rPr>
              <w:t>10ms TTI: 320</w:t>
            </w:r>
          </w:p>
        </w:tc>
      </w:tr>
    </w:tbl>
    <w:p w14:paraId="71CE16BD" w14:textId="77777777" w:rsidR="001A7C70" w:rsidRDefault="001A7C70" w:rsidP="00CB7CEA">
      <w:pPr>
        <w:pStyle w:val="BodyText"/>
        <w:rPr>
          <w:rFonts w:ascii="Times New Roman" w:hAnsi="Times New Roman"/>
        </w:rPr>
      </w:pPr>
    </w:p>
    <w:p w14:paraId="71CE16BE" w14:textId="77777777" w:rsidR="001A7C70" w:rsidRDefault="00B34F7C" w:rsidP="00CB7CEA">
      <w:pPr>
        <w:pStyle w:val="BodyText"/>
        <w:rPr>
          <w:rFonts w:ascii="Times New Roman" w:hAnsi="Times New Roman"/>
        </w:rPr>
      </w:pPr>
      <w:r>
        <w:rPr>
          <w:rFonts w:ascii="Times New Roman" w:hAnsi="Times New Roman"/>
        </w:rPr>
        <w:t xml:space="preserve">It should be noted that such large DTX cycle 2 values are to be considered only if it is considered that Sync A procedure is not necessary when the secondary carriers comes out of DTX. Current specifications indicate that when the secondary carrier is activated through an order, the Sync A procedure is followed with the initial power set to a value offset from that of the primary carrier. </w:t>
      </w:r>
      <w:r w:rsidR="009F204E">
        <w:rPr>
          <w:rFonts w:ascii="Times New Roman" w:hAnsi="Times New Roman"/>
        </w:rPr>
        <w:t>If Sync A procedure is to be followed each time the secondary carrier emerges out of DTX, then it is considered that any gains that may be obtained by extension of the DTX may be lost.</w:t>
      </w:r>
    </w:p>
    <w:p w14:paraId="71CE16BF" w14:textId="77777777" w:rsidR="009F204E" w:rsidRDefault="00065B29" w:rsidP="00CB7CEA">
      <w:pPr>
        <w:pStyle w:val="BodyText"/>
        <w:rPr>
          <w:rFonts w:ascii="Times New Roman" w:hAnsi="Times New Roman"/>
        </w:rPr>
      </w:pPr>
      <w:r>
        <w:rPr>
          <w:rFonts w:ascii="Times New Roman" w:hAnsi="Times New Roman"/>
        </w:rPr>
        <w:t>Additionally, w</w:t>
      </w:r>
      <w:r w:rsidR="009F204E">
        <w:rPr>
          <w:rFonts w:ascii="Times New Roman" w:hAnsi="Times New Roman"/>
        </w:rPr>
        <w:t xml:space="preserve">hen long DTX cycles are configured, it can be expected that the power control loop is no longer stable. Therefore, </w:t>
      </w:r>
      <w:r>
        <w:rPr>
          <w:rFonts w:ascii="Times New Roman" w:hAnsi="Times New Roman"/>
        </w:rPr>
        <w:t>power control inefficiencies need to be resolved by the use of preambles or other mechanisms when DTX bursts occur. Otherwise, the link efficiency impact due to the loss of adequate p</w:t>
      </w:r>
      <w:r w:rsidR="00260F8A">
        <w:rPr>
          <w:rFonts w:ascii="Times New Roman" w:hAnsi="Times New Roman"/>
        </w:rPr>
        <w:t>ower control may be severe [6].</w:t>
      </w:r>
    </w:p>
    <w:p w14:paraId="71CE16C0" w14:textId="77777777" w:rsidR="00260F8A" w:rsidRDefault="00260F8A" w:rsidP="00CB7CEA">
      <w:pPr>
        <w:pStyle w:val="BodyText"/>
        <w:rPr>
          <w:rFonts w:ascii="Times New Roman" w:hAnsi="Times New Roman"/>
        </w:rPr>
      </w:pPr>
      <w:r w:rsidRPr="00260F8A">
        <w:rPr>
          <w:rFonts w:ascii="Times New Roman" w:hAnsi="Times New Roman"/>
          <w:b/>
        </w:rPr>
        <w:t>Proposal 1:</w:t>
      </w:r>
      <w:r>
        <w:rPr>
          <w:rFonts w:ascii="Times New Roman" w:hAnsi="Times New Roman"/>
        </w:rPr>
        <w:t xml:space="preserve"> Adopt the extended DTX cycle 2 parameters in Table 1, if Sync A procedure is not required and if power control issues are adequately addressed.</w:t>
      </w:r>
    </w:p>
    <w:p w14:paraId="71CE16C1" w14:textId="77777777" w:rsidR="007833DF" w:rsidRPr="00A811D8" w:rsidRDefault="007833DF" w:rsidP="007235C8">
      <w:pPr>
        <w:pStyle w:val="BodyText"/>
        <w:rPr>
          <w:rFonts w:ascii="Times New Roman" w:hAnsi="Times New Roman"/>
          <w:b/>
        </w:rPr>
      </w:pPr>
    </w:p>
    <w:p w14:paraId="71CE16C2" w14:textId="77777777" w:rsidR="00182C3C" w:rsidRDefault="00260F8A" w:rsidP="00260F8A">
      <w:pPr>
        <w:pStyle w:val="Heading2"/>
        <w:numPr>
          <w:ilvl w:val="1"/>
          <w:numId w:val="30"/>
        </w:numPr>
        <w:rPr>
          <w:lang w:val="en-US"/>
        </w:rPr>
      </w:pPr>
      <w:r>
        <w:rPr>
          <w:lang w:val="en-US"/>
        </w:rPr>
        <w:t xml:space="preserve">     </w:t>
      </w:r>
      <w:r w:rsidR="00182C3C">
        <w:rPr>
          <w:lang w:val="en-US"/>
        </w:rPr>
        <w:t xml:space="preserve">DRX Enhancements </w:t>
      </w:r>
    </w:p>
    <w:p w14:paraId="71CE16C3" w14:textId="77777777" w:rsidR="00DF095B" w:rsidRDefault="00260F8A" w:rsidP="00260F8A">
      <w:pPr>
        <w:pStyle w:val="Heading3"/>
        <w:numPr>
          <w:ilvl w:val="2"/>
          <w:numId w:val="30"/>
        </w:numPr>
        <w:rPr>
          <w:lang w:val="en-US"/>
        </w:rPr>
      </w:pPr>
      <w:r>
        <w:rPr>
          <w:lang w:val="en-US"/>
        </w:rPr>
        <w:t xml:space="preserve">    </w:t>
      </w:r>
      <w:r w:rsidR="00DF095B">
        <w:rPr>
          <w:lang w:val="en-US"/>
        </w:rPr>
        <w:t>DRX Enhancements in Secondary carriers</w:t>
      </w:r>
    </w:p>
    <w:p w14:paraId="71CE16C4" w14:textId="77777777" w:rsidR="00260F8A" w:rsidRDefault="00260F8A" w:rsidP="00260F8A">
      <w:pPr>
        <w:rPr>
          <w:rFonts w:ascii="Times New Roman" w:hAnsi="Times New Roman"/>
          <w:lang w:val="en-US"/>
        </w:rPr>
      </w:pPr>
      <w:r w:rsidRPr="00260F8A">
        <w:rPr>
          <w:rFonts w:ascii="Times New Roman" w:hAnsi="Times New Roman"/>
          <w:lang w:val="en-US"/>
        </w:rPr>
        <w:t xml:space="preserve">At the </w:t>
      </w:r>
      <w:r>
        <w:rPr>
          <w:rFonts w:ascii="Times New Roman" w:hAnsi="Times New Roman"/>
          <w:lang w:val="en-US"/>
        </w:rPr>
        <w:t xml:space="preserve">previous RAN1 meeting, proposals were presented for improving DRX performance for secondary carriers both in the same band </w:t>
      </w:r>
      <w:r w:rsidR="001B49D1">
        <w:rPr>
          <w:rFonts w:ascii="Times New Roman" w:hAnsi="Times New Roman"/>
          <w:lang w:val="en-US"/>
        </w:rPr>
        <w:t xml:space="preserve">[7] </w:t>
      </w:r>
      <w:r>
        <w:rPr>
          <w:rFonts w:ascii="Times New Roman" w:hAnsi="Times New Roman"/>
          <w:lang w:val="en-US"/>
        </w:rPr>
        <w:t xml:space="preserve">and in dual band operation. </w:t>
      </w:r>
    </w:p>
    <w:p w14:paraId="71CE16C5" w14:textId="77777777" w:rsidR="001B49D1" w:rsidRPr="00A811D8" w:rsidRDefault="001B49D1" w:rsidP="001B49D1">
      <w:pPr>
        <w:rPr>
          <w:rFonts w:ascii="Times New Roman" w:hAnsi="Times New Roman"/>
        </w:rPr>
      </w:pPr>
      <w:r>
        <w:rPr>
          <w:rFonts w:ascii="Times New Roman" w:hAnsi="Times New Roman"/>
        </w:rPr>
        <w:t xml:space="preserve">In dual band operation, </w:t>
      </w:r>
      <w:r w:rsidRPr="00A811D8">
        <w:rPr>
          <w:rFonts w:ascii="Times New Roman" w:hAnsi="Times New Roman"/>
        </w:rPr>
        <w:t xml:space="preserve">the UE has two receive chains </w:t>
      </w:r>
      <w:r>
        <w:rPr>
          <w:rFonts w:ascii="Times New Roman" w:hAnsi="Times New Roman"/>
        </w:rPr>
        <w:t>and therefore</w:t>
      </w:r>
      <w:r w:rsidRPr="00A811D8">
        <w:rPr>
          <w:rFonts w:ascii="Times New Roman" w:hAnsi="Times New Roman"/>
        </w:rPr>
        <w:t>, shutting down the second receive chain would yield appreciable battery savings when data is not being received.</w:t>
      </w:r>
    </w:p>
    <w:p w14:paraId="71CE16C6" w14:textId="77777777" w:rsidR="001B49D1" w:rsidRPr="00A811D8" w:rsidRDefault="001B49D1" w:rsidP="001B49D1">
      <w:pPr>
        <w:rPr>
          <w:rFonts w:ascii="Times New Roman" w:hAnsi="Times New Roman"/>
        </w:rPr>
      </w:pPr>
      <w:r w:rsidRPr="00A811D8">
        <w:rPr>
          <w:rFonts w:ascii="Times New Roman" w:hAnsi="Times New Roman"/>
        </w:rPr>
        <w:lastRenderedPageBreak/>
        <w:t xml:space="preserve">In the current CPC procedures, the UE enters DRX state upon expiry of the Inactivity_Threshold_for_UE_DRX_cycle timer and no data has been received during that time. In </w:t>
      </w:r>
      <w:r w:rsidRPr="00A811D8">
        <w:rPr>
          <w:rFonts w:ascii="Times New Roman" w:hAnsi="Times New Roman"/>
        </w:rPr>
        <w:fldChar w:fldCharType="begin"/>
      </w:r>
      <w:r w:rsidRPr="00A811D8">
        <w:rPr>
          <w:rFonts w:ascii="Times New Roman" w:hAnsi="Times New Roman"/>
        </w:rPr>
        <w:instrText xml:space="preserve"> REF _Ref378864810 \r </w:instrText>
      </w:r>
      <w:r>
        <w:rPr>
          <w:rFonts w:ascii="Times New Roman" w:hAnsi="Times New Roman"/>
        </w:rPr>
        <w:instrText xml:space="preserve"> \* MERGEFORMAT </w:instrText>
      </w:r>
      <w:r w:rsidRPr="00A811D8">
        <w:rPr>
          <w:rFonts w:ascii="Times New Roman" w:hAnsi="Times New Roman"/>
        </w:rPr>
        <w:fldChar w:fldCharType="separate"/>
      </w:r>
      <w:r w:rsidRPr="00A811D8">
        <w:rPr>
          <w:rFonts w:ascii="Times New Roman" w:hAnsi="Times New Roman"/>
        </w:rPr>
        <w:t>[5]</w:t>
      </w:r>
      <w:r w:rsidRPr="00A811D8">
        <w:rPr>
          <w:rFonts w:ascii="Times New Roman" w:hAnsi="Times New Roman"/>
        </w:rPr>
        <w:fldChar w:fldCharType="end"/>
      </w:r>
      <w:r w:rsidRPr="00A811D8">
        <w:rPr>
          <w:rFonts w:ascii="Times New Roman" w:hAnsi="Times New Roman"/>
        </w:rPr>
        <w:t>, a DRX based deactivation scheme was proposed in order to obtain battery savings for dual-band HSDPA operation. The proposed scheme there is outlined below</w:t>
      </w:r>
      <w:r>
        <w:rPr>
          <w:rFonts w:ascii="Times New Roman" w:hAnsi="Times New Roman"/>
        </w:rPr>
        <w:t>:</w:t>
      </w:r>
    </w:p>
    <w:p w14:paraId="71CE16C7" w14:textId="77777777" w:rsidR="001B49D1" w:rsidRPr="00A811D8" w:rsidRDefault="001B49D1" w:rsidP="001B49D1">
      <w:pPr>
        <w:numPr>
          <w:ilvl w:val="0"/>
          <w:numId w:val="26"/>
        </w:numPr>
        <w:spacing w:after="180"/>
        <w:jc w:val="left"/>
        <w:textAlignment w:val="auto"/>
        <w:rPr>
          <w:rFonts w:ascii="Times New Roman" w:hAnsi="Times New Roman"/>
        </w:rPr>
      </w:pPr>
      <w:r w:rsidRPr="00A811D8">
        <w:rPr>
          <w:rFonts w:ascii="Times New Roman" w:hAnsi="Times New Roman"/>
        </w:rPr>
        <w:t>The secondary carrier</w:t>
      </w:r>
      <w:r>
        <w:rPr>
          <w:rFonts w:ascii="Times New Roman" w:hAnsi="Times New Roman"/>
        </w:rPr>
        <w:t>s</w:t>
      </w:r>
      <w:r w:rsidRPr="00A811D8">
        <w:rPr>
          <w:rFonts w:ascii="Times New Roman" w:hAnsi="Times New Roman"/>
        </w:rPr>
        <w:t xml:space="preserve"> </w:t>
      </w:r>
      <w:r>
        <w:rPr>
          <w:rFonts w:ascii="Times New Roman" w:hAnsi="Times New Roman"/>
        </w:rPr>
        <w:t>are</w:t>
      </w:r>
      <w:r w:rsidRPr="00A811D8">
        <w:rPr>
          <w:rFonts w:ascii="Times New Roman" w:hAnsi="Times New Roman"/>
        </w:rPr>
        <w:t xml:space="preserve"> de-activated as soon as the UE enters DRX state. Therefore, the UE would follow the DRX cycle only on the primary carrier. </w:t>
      </w:r>
      <w:r w:rsidRPr="00A811D8">
        <w:rPr>
          <w:rFonts w:ascii="Times New Roman" w:hAnsi="Times New Roman"/>
        </w:rPr>
        <w:fldChar w:fldCharType="begin"/>
      </w:r>
      <w:r w:rsidRPr="00A811D8">
        <w:rPr>
          <w:rFonts w:ascii="Times New Roman" w:hAnsi="Times New Roman"/>
        </w:rPr>
        <w:instrText xml:space="preserve"> REF _Ref378863806 </w:instrText>
      </w:r>
      <w:r>
        <w:rPr>
          <w:rFonts w:ascii="Times New Roman" w:hAnsi="Times New Roman"/>
        </w:rPr>
        <w:instrText xml:space="preserve"> \* MERGEFORMAT </w:instrText>
      </w:r>
      <w:r w:rsidRPr="00A811D8">
        <w:rPr>
          <w:rFonts w:ascii="Times New Roman" w:hAnsi="Times New Roman"/>
        </w:rPr>
        <w:fldChar w:fldCharType="separate"/>
      </w:r>
      <w:r w:rsidRPr="00A811D8">
        <w:rPr>
          <w:rFonts w:ascii="Times New Roman" w:hAnsi="Times New Roman"/>
        </w:rPr>
        <w:t xml:space="preserve">Figure </w:t>
      </w:r>
      <w:r w:rsidRPr="00A811D8">
        <w:rPr>
          <w:rFonts w:ascii="Times New Roman" w:hAnsi="Times New Roman"/>
          <w:noProof/>
        </w:rPr>
        <w:t>1</w:t>
      </w:r>
      <w:r w:rsidRPr="00A811D8">
        <w:rPr>
          <w:rFonts w:ascii="Times New Roman" w:hAnsi="Times New Roman"/>
        </w:rPr>
        <w:fldChar w:fldCharType="end"/>
      </w:r>
      <w:r w:rsidRPr="00A811D8">
        <w:rPr>
          <w:rFonts w:ascii="Times New Roman" w:hAnsi="Times New Roman"/>
        </w:rPr>
        <w:t xml:space="preserve"> illustrates this operation. Note that, in the case of MC-HSDPA, all the secondary carriers in the second band (band not containing the primary carrier) are de-activated.</w:t>
      </w:r>
    </w:p>
    <w:p w14:paraId="71CE16C8" w14:textId="77777777" w:rsidR="001B49D1" w:rsidRDefault="001B49D1" w:rsidP="001B49D1"/>
    <w:p w14:paraId="71CE16C9" w14:textId="77777777" w:rsidR="001B49D1" w:rsidRDefault="00DB189B" w:rsidP="001B49D1">
      <w:pPr>
        <w:keepNext/>
      </w:pPr>
      <w:r>
        <w:rPr>
          <w:noProof/>
          <w:lang w:val="en-US" w:eastAsia="en-US"/>
        </w:rPr>
        <w:drawing>
          <wp:inline distT="0" distB="0" distL="0" distR="0" wp14:anchorId="71CE1758" wp14:editId="71CE1759">
            <wp:extent cx="6134100" cy="1606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4100" cy="1606550"/>
                    </a:xfrm>
                    <a:prstGeom prst="rect">
                      <a:avLst/>
                    </a:prstGeom>
                    <a:noFill/>
                    <a:ln>
                      <a:noFill/>
                    </a:ln>
                  </pic:spPr>
                </pic:pic>
              </a:graphicData>
            </a:graphic>
          </wp:inline>
        </w:drawing>
      </w:r>
    </w:p>
    <w:p w14:paraId="71CE16CA" w14:textId="77777777" w:rsidR="001B49D1" w:rsidRPr="00B47D37" w:rsidRDefault="001B49D1" w:rsidP="001B49D1">
      <w:pPr>
        <w:pStyle w:val="Caption"/>
        <w:rPr>
          <w:rFonts w:ascii="Times New Roman" w:hAnsi="Times New Roman"/>
        </w:rPr>
      </w:pPr>
      <w:bookmarkStart w:id="6" w:name="_Ref378863806"/>
      <w:r w:rsidRPr="00B47D37">
        <w:rPr>
          <w:rFonts w:ascii="Times New Roman" w:hAnsi="Times New Roman"/>
        </w:rPr>
        <w:t xml:space="preserve">Figure </w:t>
      </w:r>
      <w:r w:rsidRPr="00B47D37">
        <w:rPr>
          <w:rFonts w:ascii="Times New Roman" w:hAnsi="Times New Roman"/>
        </w:rPr>
        <w:fldChar w:fldCharType="begin"/>
      </w:r>
      <w:r w:rsidRPr="00B47D37">
        <w:rPr>
          <w:rFonts w:ascii="Times New Roman" w:hAnsi="Times New Roman"/>
        </w:rPr>
        <w:instrText xml:space="preserve"> SEQ Figure \* ARABIC </w:instrText>
      </w:r>
      <w:r w:rsidRPr="00B47D37">
        <w:rPr>
          <w:rFonts w:ascii="Times New Roman" w:hAnsi="Times New Roman"/>
        </w:rPr>
        <w:fldChar w:fldCharType="separate"/>
      </w:r>
      <w:r w:rsidRPr="00B47D37">
        <w:rPr>
          <w:rFonts w:ascii="Times New Roman" w:hAnsi="Times New Roman"/>
          <w:noProof/>
        </w:rPr>
        <w:t>1</w:t>
      </w:r>
      <w:r w:rsidRPr="00B47D37">
        <w:rPr>
          <w:rFonts w:ascii="Times New Roman" w:hAnsi="Times New Roman"/>
        </w:rPr>
        <w:fldChar w:fldCharType="end"/>
      </w:r>
      <w:bookmarkEnd w:id="6"/>
      <w:r w:rsidRPr="00B47D37">
        <w:rPr>
          <w:rFonts w:ascii="Times New Roman" w:hAnsi="Times New Roman"/>
        </w:rPr>
        <w:t>: Block diagram depicting the DRX based deactivation of a secondary carrier. It is assumed that the secondary carrier is situated in a different band</w:t>
      </w:r>
    </w:p>
    <w:p w14:paraId="71CE16CB" w14:textId="77777777" w:rsidR="001B49D1" w:rsidRPr="00A811D8" w:rsidRDefault="001B49D1" w:rsidP="001B49D1">
      <w:pPr>
        <w:numPr>
          <w:ilvl w:val="0"/>
          <w:numId w:val="26"/>
        </w:numPr>
        <w:spacing w:after="180"/>
        <w:jc w:val="left"/>
        <w:textAlignment w:val="auto"/>
        <w:rPr>
          <w:rFonts w:ascii="Times New Roman" w:hAnsi="Times New Roman"/>
        </w:rPr>
      </w:pPr>
      <w:r w:rsidRPr="00A811D8">
        <w:rPr>
          <w:rFonts w:ascii="Times New Roman" w:hAnsi="Times New Roman"/>
        </w:rPr>
        <w:t xml:space="preserve">Upon reception of data on the primary carrier (or on any of the carriers in the same band in the case of MC-HSDPA), the UE exits DRX mode and re-starts the Inactivity_Threshold_for_UE_DRX_cycle timer. </w:t>
      </w:r>
    </w:p>
    <w:p w14:paraId="71CE16CC" w14:textId="77777777" w:rsidR="001B49D1" w:rsidRPr="00A811D8" w:rsidRDefault="001B49D1" w:rsidP="001B49D1">
      <w:pPr>
        <w:numPr>
          <w:ilvl w:val="0"/>
          <w:numId w:val="26"/>
        </w:numPr>
        <w:spacing w:after="180"/>
        <w:jc w:val="left"/>
        <w:textAlignment w:val="auto"/>
        <w:rPr>
          <w:rFonts w:ascii="Times New Roman" w:hAnsi="Times New Roman"/>
        </w:rPr>
      </w:pPr>
      <w:r w:rsidRPr="00A811D8">
        <w:rPr>
          <w:rFonts w:ascii="Times New Roman" w:hAnsi="Times New Roman"/>
        </w:rPr>
        <w:t xml:space="preserve">The secondary carrier would also be activated upon data reception unless it has been explicitly de-activated by an HS-SCCH order. In the case of MC-HSDPA, all the carriers on the second band are activated except the ones that have been explicitly de-activated by an HS-SCCH order. </w:t>
      </w:r>
    </w:p>
    <w:p w14:paraId="71CE16CD" w14:textId="77777777" w:rsidR="001B49D1" w:rsidRPr="00A811D8" w:rsidRDefault="001B49D1" w:rsidP="001B49D1">
      <w:pPr>
        <w:numPr>
          <w:ilvl w:val="0"/>
          <w:numId w:val="26"/>
        </w:numPr>
        <w:spacing w:after="180"/>
        <w:jc w:val="left"/>
        <w:textAlignment w:val="auto"/>
        <w:rPr>
          <w:rFonts w:ascii="Times New Roman" w:hAnsi="Times New Roman"/>
        </w:rPr>
      </w:pPr>
      <w:r w:rsidRPr="00A811D8">
        <w:rPr>
          <w:rFonts w:ascii="Times New Roman" w:hAnsi="Times New Roman"/>
        </w:rPr>
        <w:t xml:space="preserve">The activation time for the secondary carrier is considered to be similar to the activation time experienced by the UE upon reception of an HS-SCCH order. </w:t>
      </w:r>
    </w:p>
    <w:p w14:paraId="71CE16CE" w14:textId="77777777" w:rsidR="001B49D1" w:rsidRPr="00A811D8" w:rsidRDefault="001B49D1" w:rsidP="001B49D1">
      <w:pPr>
        <w:numPr>
          <w:ilvl w:val="0"/>
          <w:numId w:val="26"/>
        </w:numPr>
        <w:spacing w:after="180"/>
        <w:jc w:val="left"/>
        <w:textAlignment w:val="auto"/>
        <w:rPr>
          <w:rFonts w:ascii="Times New Roman" w:hAnsi="Times New Roman"/>
        </w:rPr>
      </w:pPr>
      <w:r w:rsidRPr="00A811D8">
        <w:rPr>
          <w:rFonts w:ascii="Times New Roman" w:hAnsi="Times New Roman"/>
        </w:rPr>
        <w:t>The NodeB could begin scheduling data on the secondary carrier after a pre-specified activation time. Alternatively, the NodeB could wait for the reception of CQI reports on the secondary carrier to schedule transmissions on that carrier.</w:t>
      </w:r>
    </w:p>
    <w:p w14:paraId="71CE16CF" w14:textId="77777777" w:rsidR="001B49D1" w:rsidRDefault="009D0FBE" w:rsidP="001B49D1">
      <w:pPr>
        <w:spacing w:after="180"/>
        <w:jc w:val="left"/>
        <w:textAlignment w:val="auto"/>
        <w:rPr>
          <w:rFonts w:ascii="Times New Roman" w:hAnsi="Times New Roman"/>
        </w:rPr>
      </w:pPr>
      <w:r>
        <w:rPr>
          <w:rFonts w:ascii="Times New Roman" w:hAnsi="Times New Roman"/>
        </w:rPr>
        <w:t>T</w:t>
      </w:r>
      <w:r w:rsidR="001B49D1" w:rsidRPr="00A811D8">
        <w:rPr>
          <w:rFonts w:ascii="Times New Roman" w:hAnsi="Times New Roman"/>
        </w:rPr>
        <w:t xml:space="preserve">he above scheme is an enhancement to DRX operation in dual-band DC and MC-HSDPA which helps with UE battery savings. </w:t>
      </w:r>
      <w:r>
        <w:rPr>
          <w:rFonts w:ascii="Times New Roman" w:hAnsi="Times New Roman"/>
        </w:rPr>
        <w:t>F</w:t>
      </w:r>
      <w:r w:rsidR="001B49D1" w:rsidRPr="00A811D8">
        <w:rPr>
          <w:rFonts w:ascii="Times New Roman" w:hAnsi="Times New Roman"/>
        </w:rPr>
        <w:t>urther analysis of battery savings as well as interaction with HS-SCCH orders, CQI reports, call-flow analysis and error events</w:t>
      </w:r>
      <w:r>
        <w:rPr>
          <w:rFonts w:ascii="Times New Roman" w:hAnsi="Times New Roman"/>
        </w:rPr>
        <w:t xml:space="preserve"> can be found in</w:t>
      </w:r>
      <w:r w:rsidR="001B49D1" w:rsidRPr="00A811D8">
        <w:rPr>
          <w:rFonts w:ascii="Times New Roman" w:hAnsi="Times New Roman"/>
        </w:rPr>
        <w:t xml:space="preserve"> </w:t>
      </w:r>
      <w:r w:rsidR="001B49D1" w:rsidRPr="00A811D8">
        <w:rPr>
          <w:rFonts w:ascii="Times New Roman" w:hAnsi="Times New Roman"/>
        </w:rPr>
        <w:fldChar w:fldCharType="begin"/>
      </w:r>
      <w:r w:rsidR="001B49D1" w:rsidRPr="00A811D8">
        <w:rPr>
          <w:rFonts w:ascii="Times New Roman" w:hAnsi="Times New Roman"/>
        </w:rPr>
        <w:instrText xml:space="preserve"> REF _Ref378864810 \r </w:instrText>
      </w:r>
      <w:r w:rsidR="001B49D1">
        <w:rPr>
          <w:rFonts w:ascii="Times New Roman" w:hAnsi="Times New Roman"/>
        </w:rPr>
        <w:instrText xml:space="preserve"> \* MERGEFORMAT </w:instrText>
      </w:r>
      <w:r w:rsidR="001B49D1" w:rsidRPr="00A811D8">
        <w:rPr>
          <w:rFonts w:ascii="Times New Roman" w:hAnsi="Times New Roman"/>
        </w:rPr>
        <w:fldChar w:fldCharType="separate"/>
      </w:r>
      <w:r w:rsidR="001B49D1" w:rsidRPr="00A811D8">
        <w:rPr>
          <w:rFonts w:ascii="Times New Roman" w:hAnsi="Times New Roman"/>
        </w:rPr>
        <w:t>[5]</w:t>
      </w:r>
      <w:r w:rsidR="001B49D1" w:rsidRPr="00A811D8">
        <w:rPr>
          <w:rFonts w:ascii="Times New Roman" w:hAnsi="Times New Roman"/>
        </w:rPr>
        <w:fldChar w:fldCharType="end"/>
      </w:r>
      <w:r w:rsidR="001B49D1" w:rsidRPr="00A811D8">
        <w:rPr>
          <w:rFonts w:ascii="Times New Roman" w:hAnsi="Times New Roman"/>
        </w:rPr>
        <w:t xml:space="preserve">. </w:t>
      </w:r>
    </w:p>
    <w:p w14:paraId="71CE16D0" w14:textId="77777777" w:rsidR="009D0FBE" w:rsidRPr="00A811D8" w:rsidRDefault="009D0FBE" w:rsidP="001B49D1">
      <w:pPr>
        <w:spacing w:after="180"/>
        <w:jc w:val="left"/>
        <w:textAlignment w:val="auto"/>
        <w:rPr>
          <w:rFonts w:ascii="Times New Roman" w:hAnsi="Times New Roman"/>
        </w:rPr>
      </w:pPr>
      <w:r>
        <w:rPr>
          <w:rFonts w:ascii="Times New Roman" w:hAnsi="Times New Roman"/>
        </w:rPr>
        <w:t>In addition to dual band operation, autonomous deactivation of the secondary carrier could also be useful for the secondary carriers in multi carrier HSDPA. When there is no data activity on the downlink, deactivation of the secondary carrier would help the UE in not having to monitor the HS-SCCH, AGCH and other control channels which would also have battery life benefits. Therefore, the scheme presented above should also be extended to multicarrier operation in the same band.</w:t>
      </w:r>
    </w:p>
    <w:p w14:paraId="71CE16D1" w14:textId="77777777" w:rsidR="001B49D1" w:rsidRDefault="001B49D1" w:rsidP="001B49D1">
      <w:pPr>
        <w:tabs>
          <w:tab w:val="left" w:pos="4306"/>
        </w:tabs>
        <w:rPr>
          <w:b/>
        </w:rPr>
      </w:pPr>
      <w:r w:rsidRPr="00A811D8">
        <w:rPr>
          <w:rFonts w:ascii="Times New Roman" w:hAnsi="Times New Roman"/>
          <w:b/>
        </w:rPr>
        <w:t xml:space="preserve">Proposal </w:t>
      </w:r>
      <w:r w:rsidR="009D0FBE">
        <w:rPr>
          <w:rFonts w:ascii="Times New Roman" w:hAnsi="Times New Roman"/>
          <w:b/>
        </w:rPr>
        <w:t>2</w:t>
      </w:r>
      <w:r w:rsidRPr="00A811D8">
        <w:rPr>
          <w:rFonts w:ascii="Times New Roman" w:hAnsi="Times New Roman"/>
          <w:b/>
        </w:rPr>
        <w:t xml:space="preserve">: </w:t>
      </w:r>
      <w:r w:rsidR="009D0FBE" w:rsidRPr="00B47D37">
        <w:rPr>
          <w:rFonts w:ascii="Times New Roman" w:hAnsi="Times New Roman"/>
        </w:rPr>
        <w:t>Adopt t</w:t>
      </w:r>
      <w:r w:rsidRPr="00B47D37">
        <w:rPr>
          <w:rFonts w:ascii="Times New Roman" w:hAnsi="Times New Roman"/>
        </w:rPr>
        <w:t>imer based de-activation of secondary carrier</w:t>
      </w:r>
      <w:r w:rsidR="009D0FBE" w:rsidRPr="00B47D37">
        <w:rPr>
          <w:rFonts w:ascii="Times New Roman" w:hAnsi="Times New Roman"/>
        </w:rPr>
        <w:t>s</w:t>
      </w:r>
      <w:r w:rsidRPr="00B47D37">
        <w:rPr>
          <w:rFonts w:ascii="Times New Roman" w:hAnsi="Times New Roman"/>
        </w:rPr>
        <w:t xml:space="preserve"> in </w:t>
      </w:r>
      <w:r w:rsidR="009D0FBE" w:rsidRPr="00B47D37">
        <w:rPr>
          <w:rFonts w:ascii="Times New Roman" w:hAnsi="Times New Roman"/>
        </w:rPr>
        <w:t>single and d</w:t>
      </w:r>
      <w:r w:rsidRPr="00B47D37">
        <w:rPr>
          <w:rFonts w:ascii="Times New Roman" w:hAnsi="Times New Roman"/>
        </w:rPr>
        <w:t>ual-Band HSDPA</w:t>
      </w:r>
    </w:p>
    <w:p w14:paraId="71CE16D2" w14:textId="77777777" w:rsidR="001B49D1" w:rsidRPr="00260F8A" w:rsidRDefault="001B49D1" w:rsidP="00260F8A">
      <w:pPr>
        <w:rPr>
          <w:rFonts w:ascii="Times New Roman" w:hAnsi="Times New Roman"/>
          <w:lang w:val="en-US"/>
        </w:rPr>
      </w:pPr>
    </w:p>
    <w:p w14:paraId="71CE16D3" w14:textId="77777777" w:rsidR="00260F8A" w:rsidRDefault="00260F8A" w:rsidP="00260F8A">
      <w:pPr>
        <w:pStyle w:val="Heading3"/>
        <w:numPr>
          <w:ilvl w:val="2"/>
          <w:numId w:val="30"/>
        </w:numPr>
        <w:rPr>
          <w:lang w:val="en-US"/>
        </w:rPr>
      </w:pPr>
      <w:r>
        <w:rPr>
          <w:lang w:val="en-US"/>
        </w:rPr>
        <w:t xml:space="preserve">    DRX Enhancements in a Single Carrier</w:t>
      </w:r>
    </w:p>
    <w:p w14:paraId="71CE16D4" w14:textId="77777777" w:rsidR="00DB189B" w:rsidRDefault="009D0FBE" w:rsidP="009D0FBE">
      <w:pPr>
        <w:rPr>
          <w:rFonts w:ascii="Times New Roman" w:hAnsi="Times New Roman"/>
          <w:lang w:val="en-US"/>
        </w:rPr>
      </w:pPr>
      <w:r w:rsidRPr="009D0FBE">
        <w:rPr>
          <w:rFonts w:ascii="Times New Roman" w:hAnsi="Times New Roman"/>
          <w:lang w:val="en-US"/>
        </w:rPr>
        <w:t>Enhancements</w:t>
      </w:r>
      <w:r>
        <w:rPr>
          <w:rFonts w:ascii="Times New Roman" w:hAnsi="Times New Roman"/>
          <w:lang w:val="en-US"/>
        </w:rPr>
        <w:t xml:space="preserve"> to DRX operation were also proposed for single carrier operation [8]. The benefit of extending the DRX scheme to be aligned with the DTX cycles is the additional battery savings that can be obtained by not </w:t>
      </w:r>
      <w:r w:rsidR="00DB189B">
        <w:rPr>
          <w:rFonts w:ascii="Times New Roman" w:hAnsi="Times New Roman"/>
          <w:lang w:val="en-US"/>
        </w:rPr>
        <w:t xml:space="preserve">turning on the receiver when there is no downlink or uplink activity or in bursty traffic conditions. The concerns raised about this scheme were that there would be SRB traffic ongoing which might incur delays and any battery life benefits would be limited because the UE could be moved to CELL_FACH or CELL_PCH. </w:t>
      </w:r>
    </w:p>
    <w:p w14:paraId="71CE16D5" w14:textId="77777777" w:rsidR="009D0FBE" w:rsidRDefault="00DB189B" w:rsidP="009D0FBE">
      <w:pPr>
        <w:rPr>
          <w:rFonts w:ascii="Times New Roman" w:hAnsi="Times New Roman"/>
          <w:lang w:val="en-US"/>
        </w:rPr>
      </w:pPr>
      <w:r>
        <w:rPr>
          <w:rFonts w:ascii="Times New Roman" w:hAnsi="Times New Roman"/>
          <w:lang w:val="en-US"/>
        </w:rPr>
        <w:t>Figure 2 shows the logs of SRB traffic for pedestrian and vehicular traffic from different networks.</w:t>
      </w:r>
    </w:p>
    <w:p w14:paraId="71CE16D6" w14:textId="77777777" w:rsidR="00B47D37" w:rsidRDefault="00790B95" w:rsidP="00B47D37">
      <w:pPr>
        <w:jc w:val="center"/>
        <w:rPr>
          <w:rFonts w:ascii="Times New Roman" w:hAnsi="Times New Roman"/>
          <w:lang w:val="en-US"/>
        </w:rPr>
      </w:pPr>
      <w:r>
        <w:rPr>
          <w:rFonts w:ascii="Times New Roman" w:hAnsi="Times New Roman"/>
          <w:lang w:val="en-US"/>
        </w:rPr>
        <w:lastRenderedPageBreak/>
        <w:pict w14:anchorId="71CE1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73.5pt">
            <v:imagedata r:id="rId14" o:title="DL Timediff_WTparkinglot (2)"/>
          </v:shape>
        </w:pict>
      </w:r>
    </w:p>
    <w:p w14:paraId="71CE16D7" w14:textId="77777777" w:rsidR="00DB189B" w:rsidRDefault="00790B95" w:rsidP="00B47D37">
      <w:pPr>
        <w:jc w:val="center"/>
        <w:rPr>
          <w:rFonts w:ascii="Times New Roman" w:hAnsi="Times New Roman"/>
          <w:lang w:val="en-US"/>
        </w:rPr>
      </w:pPr>
      <w:r>
        <w:rPr>
          <w:rFonts w:ascii="Times New Roman" w:hAnsi="Times New Roman"/>
          <w:lang w:val="en-US"/>
        </w:rPr>
        <w:pict w14:anchorId="71CE175B">
          <v:shape id="_x0000_i1026" type="#_x0000_t75" style="width:367pt;height:273.5pt">
            <v:imagedata r:id="rId15" o:title="UL Timediff_WTparkinglot (2)"/>
          </v:shape>
        </w:pict>
      </w:r>
    </w:p>
    <w:p w14:paraId="71CE16D8" w14:textId="77777777" w:rsidR="00B47D37" w:rsidRPr="00B47D37" w:rsidRDefault="00B47D37" w:rsidP="00B47D37">
      <w:pPr>
        <w:pStyle w:val="Caption"/>
        <w:rPr>
          <w:rFonts w:ascii="Times New Roman" w:hAnsi="Times New Roman"/>
          <w:lang w:val="en-US"/>
        </w:rPr>
      </w:pPr>
      <w:r w:rsidRPr="00B47D37">
        <w:rPr>
          <w:rFonts w:ascii="Times New Roman" w:hAnsi="Times New Roman"/>
        </w:rPr>
        <w:t>Figure</w:t>
      </w:r>
      <w:r>
        <w:rPr>
          <w:rFonts w:ascii="Times New Roman" w:hAnsi="Times New Roman"/>
        </w:rPr>
        <w:t xml:space="preserve"> 2</w:t>
      </w:r>
      <w:r w:rsidRPr="00B47D37">
        <w:rPr>
          <w:rFonts w:ascii="Times New Roman" w:hAnsi="Times New Roman"/>
        </w:rPr>
        <w:t xml:space="preserve">: </w:t>
      </w:r>
      <w:r>
        <w:rPr>
          <w:rFonts w:ascii="Times New Roman" w:hAnsi="Times New Roman"/>
        </w:rPr>
        <w:t>Empirical CDFs of the time difference between SRB traffic in a Pedestrian channel scenario</w:t>
      </w:r>
    </w:p>
    <w:p w14:paraId="71CE16D9" w14:textId="77777777" w:rsidR="00B47D37" w:rsidRDefault="00575162" w:rsidP="00B47D37">
      <w:pPr>
        <w:jc w:val="center"/>
        <w:rPr>
          <w:rFonts w:ascii="Times New Roman" w:hAnsi="Times New Roman"/>
          <w:lang w:val="en-US"/>
        </w:rPr>
      </w:pPr>
      <w:r>
        <w:rPr>
          <w:rFonts w:ascii="Times New Roman" w:hAnsi="Times New Roman"/>
          <w:noProof/>
          <w:lang w:val="en-US" w:eastAsia="en-US"/>
        </w:rPr>
        <w:lastRenderedPageBreak/>
        <w:drawing>
          <wp:inline distT="0" distB="0" distL="0" distR="0" wp14:anchorId="71CE175C" wp14:editId="71CE175D">
            <wp:extent cx="4511040" cy="3383280"/>
            <wp:effectExtent l="0" t="0" r="3810" b="7620"/>
            <wp:docPr id="2" name="Picture 2" descr="C:\Users\arjunb\AppData\Local\Microsoft\Windows\Temporary Internet Files\Content.Outlook\0XQ7NH7R\DL Timediff downtown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arjunb\AppData\Local\Microsoft\Windows\Temporary Internet Files\Content.Outlook\0XQ7NH7R\DL Timediff downtown (2).jpe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11040" cy="3383280"/>
                    </a:xfrm>
                    <a:prstGeom prst="rect">
                      <a:avLst/>
                    </a:prstGeom>
                    <a:noFill/>
                    <a:ln>
                      <a:noFill/>
                    </a:ln>
                  </pic:spPr>
                </pic:pic>
              </a:graphicData>
            </a:graphic>
          </wp:inline>
        </w:drawing>
      </w:r>
    </w:p>
    <w:p w14:paraId="71CE16DA" w14:textId="77777777" w:rsidR="00575162" w:rsidRDefault="00575162" w:rsidP="00B47D37">
      <w:pPr>
        <w:jc w:val="center"/>
        <w:rPr>
          <w:rFonts w:ascii="Times New Roman" w:hAnsi="Times New Roman"/>
          <w:lang w:val="en-US"/>
        </w:rPr>
      </w:pPr>
      <w:r>
        <w:rPr>
          <w:rFonts w:ascii="Times New Roman" w:hAnsi="Times New Roman"/>
          <w:noProof/>
          <w:lang w:val="en-US" w:eastAsia="en-US"/>
        </w:rPr>
        <w:drawing>
          <wp:inline distT="0" distB="0" distL="0" distR="0" wp14:anchorId="71CE175E" wp14:editId="71CE175F">
            <wp:extent cx="4511040" cy="3383280"/>
            <wp:effectExtent l="0" t="0" r="3810" b="7620"/>
            <wp:docPr id="4" name="Picture 4" descr="C:\Users\arjunb\AppData\Local\Microsoft\Windows\Temporary Internet Files\Content.Outlook\0XQ7NH7R\UL Timediff Freeway.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arjunb\AppData\Local\Microsoft\Windows\Temporary Internet Files\Content.Outlook\0XQ7NH7R\UL Timediff Freeway.jpe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11040" cy="3383280"/>
                    </a:xfrm>
                    <a:prstGeom prst="rect">
                      <a:avLst/>
                    </a:prstGeom>
                    <a:noFill/>
                    <a:ln>
                      <a:noFill/>
                    </a:ln>
                  </pic:spPr>
                </pic:pic>
              </a:graphicData>
            </a:graphic>
          </wp:inline>
        </w:drawing>
      </w:r>
    </w:p>
    <w:p w14:paraId="71CE16DB" w14:textId="77777777" w:rsidR="00575162" w:rsidRDefault="00575162" w:rsidP="00B47D37">
      <w:pPr>
        <w:jc w:val="center"/>
        <w:rPr>
          <w:rFonts w:ascii="Times New Roman" w:hAnsi="Times New Roman"/>
        </w:rPr>
      </w:pPr>
      <w:r w:rsidRPr="00575162">
        <w:rPr>
          <w:rFonts w:ascii="Times New Roman" w:hAnsi="Times New Roman"/>
          <w:b/>
        </w:rPr>
        <w:t>Figure 3:</w:t>
      </w:r>
      <w:r w:rsidRPr="00B47D37">
        <w:rPr>
          <w:rFonts w:ascii="Times New Roman" w:hAnsi="Times New Roman"/>
        </w:rPr>
        <w:t xml:space="preserve"> </w:t>
      </w:r>
      <w:r>
        <w:rPr>
          <w:rFonts w:ascii="Times New Roman" w:hAnsi="Times New Roman"/>
        </w:rPr>
        <w:t xml:space="preserve">Empirical CDFs of the time difference between SRB traffic in a Vehicular channel scenario </w:t>
      </w:r>
    </w:p>
    <w:p w14:paraId="71CE16DC" w14:textId="77777777" w:rsidR="00575162" w:rsidRDefault="00575162" w:rsidP="00575162">
      <w:pPr>
        <w:rPr>
          <w:rFonts w:ascii="Times New Roman" w:hAnsi="Times New Roman"/>
        </w:rPr>
      </w:pPr>
      <w:r>
        <w:rPr>
          <w:rFonts w:ascii="Times New Roman" w:hAnsi="Times New Roman"/>
        </w:rPr>
        <w:t xml:space="preserve">It can be seen from Figures 2 and 3 that a substantial portion of the messages (over 90% in pedestrian and around 60% in vehicular channel conditions) arrive after a 200ms time interval. Therefore, the existing maximum DRX cycle of 40ms seems excessively restrictive. If this were to be increased, there would certainly be additional battery life benefits that could be obtained. </w:t>
      </w:r>
    </w:p>
    <w:p w14:paraId="71CE16DD" w14:textId="77777777" w:rsidR="00575162" w:rsidRDefault="00575162" w:rsidP="00575162">
      <w:pPr>
        <w:rPr>
          <w:rFonts w:ascii="Times New Roman" w:hAnsi="Times New Roman"/>
        </w:rPr>
      </w:pPr>
      <w:r>
        <w:rPr>
          <w:rFonts w:ascii="Times New Roman" w:hAnsi="Times New Roman"/>
        </w:rPr>
        <w:t>It should also be noted that typically downlink messages are triggered by uplink events or uplink traffic. Therefore, the UE would come out of CPC in most cases for the data transmission on the downlink. Due to this, it is considered that increasing the DRX cycle on the downlink poses minimal risk to SRB messaging.</w:t>
      </w:r>
    </w:p>
    <w:p w14:paraId="71CE1739" w14:textId="7CDBB4F9" w:rsidR="00575162" w:rsidRDefault="00575162" w:rsidP="0084385D">
      <w:pPr>
        <w:jc w:val="left"/>
        <w:rPr>
          <w:rFonts w:ascii="Times New Roman" w:hAnsi="Times New Roman"/>
          <w:lang w:val="en-US"/>
        </w:rPr>
      </w:pPr>
      <w:r>
        <w:rPr>
          <w:rFonts w:ascii="Times New Roman" w:hAnsi="Times New Roman"/>
        </w:rPr>
        <w:t xml:space="preserve">The impact on battery life requires consideration of the duration of time that the UE would be in CELL_DCH state. </w:t>
      </w:r>
      <w:r w:rsidR="0084385D">
        <w:rPr>
          <w:rFonts w:ascii="Times New Roman" w:hAnsi="Times New Roman"/>
        </w:rPr>
        <w:t xml:space="preserve">Based on field data obtained from different networks, the configuration of the transition timer (from CELL_DCH to CELL_FACH or CELL_PCH) ranged from 2s to 14s. In all networks sampled, the time taken to transition to a different state was </w:t>
      </w:r>
      <w:r w:rsidR="0084385D">
        <w:rPr>
          <w:rFonts w:ascii="Times New Roman" w:hAnsi="Times New Roman"/>
          <w:lang w:val="en-US"/>
        </w:rPr>
        <w:t>of</w:t>
      </w:r>
      <w:r w:rsidR="009F6F6A">
        <w:rPr>
          <w:rFonts w:ascii="Times New Roman" w:hAnsi="Times New Roman"/>
          <w:lang w:val="en-US"/>
        </w:rPr>
        <w:t xml:space="preserve"> the order of multiples of seconds. Therefore, any battery life savings that can be obtained while still in CELL_DCH state would certainly be beneficial to the UE’s battery life. </w:t>
      </w:r>
    </w:p>
    <w:p w14:paraId="71CE173A" w14:textId="77777777" w:rsidR="00DB77A9" w:rsidRPr="00DB77A9" w:rsidRDefault="00DB77A9" w:rsidP="00DB77A9">
      <w:pPr>
        <w:rPr>
          <w:rFonts w:ascii="Times New Roman" w:hAnsi="Times New Roman"/>
          <w:lang w:val="en-US"/>
        </w:rPr>
      </w:pPr>
      <w:r>
        <w:rPr>
          <w:rFonts w:ascii="Times New Roman" w:hAnsi="Times New Roman"/>
          <w:lang w:val="en-US"/>
        </w:rPr>
        <w:lastRenderedPageBreak/>
        <w:t>The values for the DRX cycle 2 proposed in [8] also seem to fit the messaging profile shown in the figures above. The table presented in [8] is reproduced below.</w:t>
      </w:r>
    </w:p>
    <w:p w14:paraId="71CE173B" w14:textId="77777777" w:rsidR="00DB77A9" w:rsidRPr="00DB77A9" w:rsidRDefault="00DB77A9" w:rsidP="00DB77A9">
      <w:pPr>
        <w:pStyle w:val="Caption"/>
        <w:rPr>
          <w:rFonts w:ascii="Times New Roman" w:hAnsi="Times New Roman"/>
        </w:rPr>
      </w:pPr>
      <w:r>
        <w:rPr>
          <w:rFonts w:ascii="Times New Roman" w:hAnsi="Times New Roman"/>
        </w:rPr>
        <w:t>Table 3:</w:t>
      </w:r>
      <w:r w:rsidRPr="00DB77A9">
        <w:rPr>
          <w:rFonts w:ascii="Times New Roman" w:hAnsi="Times New Roman"/>
        </w:rPr>
        <w:t xml:space="preserve"> Summary of the DRX parameters to be included as enhancements for the single and primary carriers</w:t>
      </w:r>
    </w:p>
    <w:tbl>
      <w:tblPr>
        <w:tblW w:w="0" w:type="auto"/>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5116"/>
      </w:tblGrid>
      <w:tr w:rsidR="00DB77A9" w:rsidRPr="00DB77A9" w14:paraId="71CE173E" w14:textId="77777777" w:rsidTr="00DB77A9">
        <w:trPr>
          <w:trHeight w:val="214"/>
          <w:jc w:val="center"/>
        </w:trPr>
        <w:tc>
          <w:tcPr>
            <w:tcW w:w="3071" w:type="dxa"/>
            <w:shd w:val="clear" w:color="auto" w:fill="auto"/>
          </w:tcPr>
          <w:p w14:paraId="71CE173C" w14:textId="77777777" w:rsidR="00DB77A9" w:rsidRPr="00DB77A9" w:rsidRDefault="00DB77A9" w:rsidP="00DC56AC">
            <w:pPr>
              <w:jc w:val="center"/>
              <w:rPr>
                <w:rFonts w:asciiTheme="minorHAnsi" w:hAnsiTheme="minorHAnsi" w:cs="Arial"/>
                <w:b/>
              </w:rPr>
            </w:pPr>
            <w:r w:rsidRPr="00DB77A9">
              <w:rPr>
                <w:rFonts w:asciiTheme="minorHAnsi" w:hAnsiTheme="minorHAnsi" w:cs="Arial"/>
                <w:b/>
              </w:rPr>
              <w:t>Parameter</w:t>
            </w:r>
          </w:p>
        </w:tc>
        <w:tc>
          <w:tcPr>
            <w:tcW w:w="5116" w:type="dxa"/>
            <w:shd w:val="clear" w:color="auto" w:fill="auto"/>
          </w:tcPr>
          <w:p w14:paraId="71CE173D" w14:textId="77777777" w:rsidR="00DB77A9" w:rsidRPr="00DB77A9" w:rsidRDefault="00DB77A9" w:rsidP="00DC56AC">
            <w:pPr>
              <w:jc w:val="center"/>
              <w:rPr>
                <w:rFonts w:asciiTheme="minorHAnsi" w:hAnsiTheme="minorHAnsi" w:cs="Arial"/>
                <w:b/>
              </w:rPr>
            </w:pPr>
            <w:r w:rsidRPr="00DB77A9">
              <w:rPr>
                <w:rFonts w:asciiTheme="minorHAnsi" w:hAnsiTheme="minorHAnsi" w:cs="Arial"/>
                <w:b/>
              </w:rPr>
              <w:t>Configurable Values</w:t>
            </w:r>
          </w:p>
        </w:tc>
      </w:tr>
      <w:tr w:rsidR="00DB77A9" w:rsidRPr="00DB77A9" w14:paraId="71CE1741" w14:textId="77777777" w:rsidTr="00DB77A9">
        <w:trPr>
          <w:trHeight w:val="214"/>
          <w:jc w:val="center"/>
        </w:trPr>
        <w:tc>
          <w:tcPr>
            <w:tcW w:w="3071" w:type="dxa"/>
            <w:shd w:val="clear" w:color="auto" w:fill="auto"/>
          </w:tcPr>
          <w:p w14:paraId="71CE173F" w14:textId="77777777" w:rsidR="00DB77A9" w:rsidRPr="00DB77A9" w:rsidRDefault="00DB77A9" w:rsidP="00DC56AC">
            <w:pPr>
              <w:jc w:val="center"/>
              <w:rPr>
                <w:rFonts w:asciiTheme="minorHAnsi" w:hAnsiTheme="minorHAnsi" w:cs="Arial"/>
                <w:b/>
                <w:noProof/>
                <w:lang w:val="en-US" w:eastAsia="en-US"/>
              </w:rPr>
            </w:pPr>
            <w:r w:rsidRPr="00DB77A9">
              <w:rPr>
                <w:rFonts w:asciiTheme="minorHAnsi" w:hAnsiTheme="minorHAnsi" w:cs="Arial"/>
                <w:b/>
                <w:noProof/>
                <w:lang w:val="en-US" w:eastAsia="en-US"/>
              </w:rPr>
              <w:t>Inactivity Threshold for UE DRX cycle 2</w:t>
            </w:r>
          </w:p>
        </w:tc>
        <w:tc>
          <w:tcPr>
            <w:tcW w:w="5116" w:type="dxa"/>
            <w:shd w:val="clear" w:color="auto" w:fill="auto"/>
          </w:tcPr>
          <w:p w14:paraId="71CE1740" w14:textId="77777777" w:rsidR="00DB77A9" w:rsidRPr="00DB77A9" w:rsidRDefault="00DB77A9" w:rsidP="00DC56AC">
            <w:pPr>
              <w:jc w:val="center"/>
              <w:rPr>
                <w:rFonts w:asciiTheme="minorHAnsi" w:hAnsiTheme="minorHAnsi" w:cs="Arial"/>
              </w:rPr>
            </w:pPr>
            <w:r w:rsidRPr="00DB77A9">
              <w:rPr>
                <w:rFonts w:asciiTheme="minorHAnsi" w:hAnsiTheme="minorHAnsi" w:cs="Arial"/>
              </w:rPr>
              <w:t>{1, 4, 8, 16, 32, 64, 128, 256} E-DCH TTIs</w:t>
            </w:r>
          </w:p>
        </w:tc>
      </w:tr>
      <w:tr w:rsidR="00DB77A9" w:rsidRPr="00DB77A9" w14:paraId="71CE1744" w14:textId="77777777" w:rsidTr="00DB77A9">
        <w:trPr>
          <w:trHeight w:val="214"/>
          <w:jc w:val="center"/>
        </w:trPr>
        <w:tc>
          <w:tcPr>
            <w:tcW w:w="3071" w:type="dxa"/>
            <w:shd w:val="clear" w:color="auto" w:fill="auto"/>
          </w:tcPr>
          <w:p w14:paraId="71CE1742" w14:textId="77777777" w:rsidR="00DB77A9" w:rsidRPr="00DB77A9" w:rsidRDefault="00DB77A9" w:rsidP="00DC56AC">
            <w:pPr>
              <w:jc w:val="center"/>
              <w:rPr>
                <w:rFonts w:asciiTheme="minorHAnsi" w:hAnsiTheme="minorHAnsi" w:cs="Arial"/>
                <w:b/>
              </w:rPr>
            </w:pPr>
            <w:r w:rsidRPr="00DB77A9">
              <w:rPr>
                <w:rFonts w:asciiTheme="minorHAnsi" w:hAnsiTheme="minorHAnsi" w:cs="Arial"/>
                <w:b/>
              </w:rPr>
              <w:t>UE DRX cycle 2</w:t>
            </w:r>
          </w:p>
        </w:tc>
        <w:tc>
          <w:tcPr>
            <w:tcW w:w="5116" w:type="dxa"/>
            <w:shd w:val="clear" w:color="auto" w:fill="auto"/>
          </w:tcPr>
          <w:p w14:paraId="71CE1743" w14:textId="77777777" w:rsidR="00DB77A9" w:rsidRPr="00DB77A9" w:rsidRDefault="00DB77A9" w:rsidP="00DC56AC">
            <w:pPr>
              <w:jc w:val="center"/>
              <w:rPr>
                <w:rFonts w:asciiTheme="minorHAnsi" w:hAnsiTheme="minorHAnsi" w:cs="Arial"/>
              </w:rPr>
            </w:pPr>
            <w:r w:rsidRPr="00DB77A9">
              <w:rPr>
                <w:rFonts w:asciiTheme="minorHAnsi" w:hAnsiTheme="minorHAnsi" w:cs="Arial"/>
              </w:rPr>
              <w:t>{4, 5, 8, 10, 16, 20, 32, 40, 64, 80} subframes for 2ms TTI</w:t>
            </w:r>
          </w:p>
        </w:tc>
      </w:tr>
    </w:tbl>
    <w:p w14:paraId="71CE1745" w14:textId="77777777" w:rsidR="00DB77A9" w:rsidRDefault="00DB77A9" w:rsidP="00DB77A9">
      <w:pPr>
        <w:rPr>
          <w:rFonts w:cs="Arial"/>
        </w:rPr>
      </w:pPr>
    </w:p>
    <w:p w14:paraId="71CE1746" w14:textId="77777777" w:rsidR="00DB77A9" w:rsidRDefault="00DB77A9" w:rsidP="00DB77A9">
      <w:pPr>
        <w:rPr>
          <w:rFonts w:ascii="Times New Roman" w:hAnsi="Times New Roman"/>
        </w:rPr>
      </w:pPr>
      <w:r>
        <w:rPr>
          <w:rFonts w:ascii="Times New Roman" w:hAnsi="Times New Roman"/>
        </w:rPr>
        <w:t>The maximum DRX cycle 2 that can be configured is 160ms which is quite less than the average time difference for messages. Therefore, it is proposed that Table 3 is adopted for enhancing DRX for single carrier operation.</w:t>
      </w:r>
    </w:p>
    <w:p w14:paraId="71CE1747" w14:textId="77777777" w:rsidR="00DB77A9" w:rsidRPr="00DB77A9" w:rsidRDefault="00DB77A9" w:rsidP="00DB77A9">
      <w:pPr>
        <w:rPr>
          <w:rFonts w:ascii="Times New Roman" w:hAnsi="Times New Roman"/>
        </w:rPr>
      </w:pPr>
      <w:r w:rsidRPr="00DB77A9">
        <w:rPr>
          <w:rFonts w:ascii="Times New Roman" w:hAnsi="Times New Roman"/>
          <w:b/>
        </w:rPr>
        <w:t>Proposal 3:</w:t>
      </w:r>
      <w:r>
        <w:rPr>
          <w:rFonts w:ascii="Times New Roman" w:hAnsi="Times New Roman"/>
        </w:rPr>
        <w:t xml:space="preserve"> Adopt DRX cycle 2 and an inactivity threshold for cycle 2 operation and the corresponding values shown in Table 3 for single carrier.</w:t>
      </w:r>
    </w:p>
    <w:p w14:paraId="71CE1748" w14:textId="77777777" w:rsidR="00DB77A9" w:rsidRPr="009D0FBE" w:rsidRDefault="00DB77A9" w:rsidP="00575162">
      <w:pPr>
        <w:rPr>
          <w:rFonts w:ascii="Times New Roman" w:hAnsi="Times New Roman"/>
          <w:lang w:val="en-US"/>
        </w:rPr>
      </w:pPr>
    </w:p>
    <w:p w14:paraId="71CE1749" w14:textId="77777777" w:rsidR="00C01F33" w:rsidRPr="00F6302A" w:rsidRDefault="000744A3" w:rsidP="000744A3">
      <w:pPr>
        <w:pStyle w:val="Heading1"/>
        <w:numPr>
          <w:ilvl w:val="0"/>
          <w:numId w:val="0"/>
        </w:numPr>
        <w:rPr>
          <w:lang w:val="en-US"/>
        </w:rPr>
      </w:pPr>
      <w:r>
        <w:rPr>
          <w:lang w:val="en-US"/>
        </w:rPr>
        <w:t>3</w:t>
      </w:r>
      <w:r>
        <w:rPr>
          <w:lang w:val="en-US"/>
        </w:rPr>
        <w:tab/>
      </w:r>
      <w:r w:rsidR="00C01F33" w:rsidRPr="00F6302A">
        <w:rPr>
          <w:lang w:val="en-US"/>
        </w:rPr>
        <w:t>Conclusion</w:t>
      </w:r>
    </w:p>
    <w:p w14:paraId="71CE174A" w14:textId="77777777" w:rsidR="00DB77A9" w:rsidRPr="00A811D8" w:rsidRDefault="00CB7CEA" w:rsidP="008D75C5">
      <w:pPr>
        <w:pStyle w:val="BodyText"/>
        <w:rPr>
          <w:rFonts w:ascii="Times New Roman" w:hAnsi="Times New Roman"/>
        </w:rPr>
      </w:pPr>
      <w:r w:rsidRPr="00A811D8">
        <w:rPr>
          <w:rFonts w:ascii="Times New Roman" w:hAnsi="Times New Roman"/>
        </w:rPr>
        <w:t xml:space="preserve">In this contribution, we have discussed </w:t>
      </w:r>
      <w:r w:rsidR="00377CC9" w:rsidRPr="00A811D8">
        <w:rPr>
          <w:rFonts w:ascii="Times New Roman" w:hAnsi="Times New Roman"/>
        </w:rPr>
        <w:t xml:space="preserve">some enhancements to DTX/DRX operation </w:t>
      </w:r>
      <w:r w:rsidR="009B0ECF" w:rsidRPr="00A811D8">
        <w:rPr>
          <w:rFonts w:ascii="Times New Roman" w:hAnsi="Times New Roman"/>
        </w:rPr>
        <w:t>to enable higher rates and provide further battery savings</w:t>
      </w:r>
      <w:r w:rsidRPr="00A811D8">
        <w:rPr>
          <w:rFonts w:ascii="Times New Roman" w:hAnsi="Times New Roman"/>
        </w:rPr>
        <w:t xml:space="preserve">. The following </w:t>
      </w:r>
      <w:r w:rsidR="009B0ECF" w:rsidRPr="00A811D8">
        <w:rPr>
          <w:rFonts w:ascii="Times New Roman" w:hAnsi="Times New Roman"/>
        </w:rPr>
        <w:t>has been proposed</w:t>
      </w:r>
      <w:r w:rsidR="00DB77A9">
        <w:rPr>
          <w:rFonts w:ascii="Times New Roman" w:hAnsi="Times New Roman"/>
        </w:rPr>
        <w:t>:</w:t>
      </w:r>
    </w:p>
    <w:p w14:paraId="71CE174B" w14:textId="77777777" w:rsidR="00DB77A9" w:rsidRDefault="00DB77A9" w:rsidP="00DB77A9">
      <w:pPr>
        <w:pStyle w:val="BodyText"/>
        <w:rPr>
          <w:rFonts w:ascii="Times New Roman" w:hAnsi="Times New Roman"/>
        </w:rPr>
      </w:pPr>
      <w:bookmarkStart w:id="7" w:name="_In-sequence_SDU_delivery"/>
      <w:bookmarkEnd w:id="7"/>
      <w:r w:rsidRPr="00260F8A">
        <w:rPr>
          <w:rFonts w:ascii="Times New Roman" w:hAnsi="Times New Roman"/>
          <w:b/>
        </w:rPr>
        <w:t>Proposal 1:</w:t>
      </w:r>
      <w:r>
        <w:rPr>
          <w:rFonts w:ascii="Times New Roman" w:hAnsi="Times New Roman"/>
        </w:rPr>
        <w:t xml:space="preserve"> Adopt the extended DTX cycle 2 parameters in Table 1, if Sync A procedure is not required and if power control issues are adequately addressed.</w:t>
      </w:r>
    </w:p>
    <w:p w14:paraId="71CE174C" w14:textId="77777777" w:rsidR="00DB77A9" w:rsidRDefault="00DB77A9" w:rsidP="00DB77A9">
      <w:pPr>
        <w:tabs>
          <w:tab w:val="left" w:pos="4306"/>
        </w:tabs>
        <w:rPr>
          <w:b/>
        </w:rPr>
      </w:pPr>
      <w:r w:rsidRPr="00A811D8">
        <w:rPr>
          <w:rFonts w:ascii="Times New Roman" w:hAnsi="Times New Roman"/>
          <w:b/>
        </w:rPr>
        <w:t xml:space="preserve">Proposal </w:t>
      </w:r>
      <w:r>
        <w:rPr>
          <w:rFonts w:ascii="Times New Roman" w:hAnsi="Times New Roman"/>
          <w:b/>
        </w:rPr>
        <w:t>2</w:t>
      </w:r>
      <w:r w:rsidRPr="00A811D8">
        <w:rPr>
          <w:rFonts w:ascii="Times New Roman" w:hAnsi="Times New Roman"/>
          <w:b/>
        </w:rPr>
        <w:t xml:space="preserve">: </w:t>
      </w:r>
      <w:r w:rsidRPr="00B47D37">
        <w:rPr>
          <w:rFonts w:ascii="Times New Roman" w:hAnsi="Times New Roman"/>
        </w:rPr>
        <w:t>Adopt timer based de-activation of secondary carriers in single and dual-Band HSDPA</w:t>
      </w:r>
    </w:p>
    <w:p w14:paraId="71CE174D" w14:textId="77777777" w:rsidR="00DB77A9" w:rsidRDefault="00DB77A9" w:rsidP="00DB77A9">
      <w:pPr>
        <w:rPr>
          <w:rFonts w:ascii="Times New Roman" w:hAnsi="Times New Roman"/>
        </w:rPr>
      </w:pPr>
      <w:r w:rsidRPr="00DB77A9">
        <w:rPr>
          <w:rFonts w:ascii="Times New Roman" w:hAnsi="Times New Roman"/>
          <w:b/>
        </w:rPr>
        <w:t>Proposal 3:</w:t>
      </w:r>
      <w:r>
        <w:rPr>
          <w:rFonts w:ascii="Times New Roman" w:hAnsi="Times New Roman"/>
        </w:rPr>
        <w:t xml:space="preserve"> Adopt DRX cycle 2 and an inactivity threshold for cycle 2 operation and the corresponding values shown in Table 3 for single carrier.</w:t>
      </w:r>
    </w:p>
    <w:p w14:paraId="71CE174E" w14:textId="77777777" w:rsidR="00DB77A9" w:rsidRPr="00DB77A9" w:rsidRDefault="00DB77A9" w:rsidP="00DB77A9">
      <w:pPr>
        <w:rPr>
          <w:rFonts w:ascii="Times New Roman" w:hAnsi="Times New Roman"/>
        </w:rPr>
      </w:pPr>
    </w:p>
    <w:p w14:paraId="71CE174F" w14:textId="77777777" w:rsidR="00F507D1" w:rsidRPr="00F6302A" w:rsidRDefault="000744A3" w:rsidP="000744A3">
      <w:pPr>
        <w:pStyle w:val="Heading1"/>
        <w:numPr>
          <w:ilvl w:val="0"/>
          <w:numId w:val="0"/>
        </w:numPr>
        <w:rPr>
          <w:lang w:val="en-US"/>
        </w:rPr>
      </w:pPr>
      <w:r>
        <w:rPr>
          <w:lang w:val="en-US"/>
        </w:rPr>
        <w:t>4</w:t>
      </w:r>
      <w:r>
        <w:rPr>
          <w:lang w:val="en-US"/>
        </w:rPr>
        <w:tab/>
      </w:r>
      <w:r w:rsidR="00F507D1" w:rsidRPr="00F6302A">
        <w:rPr>
          <w:lang w:val="en-US"/>
        </w:rPr>
        <w:t>References</w:t>
      </w:r>
    </w:p>
    <w:p w14:paraId="71CE1750" w14:textId="77777777" w:rsidR="002011EF" w:rsidRPr="0084385D" w:rsidRDefault="002011EF" w:rsidP="00A811D8">
      <w:pPr>
        <w:pStyle w:val="Reference"/>
        <w:jc w:val="left"/>
        <w:rPr>
          <w:rFonts w:ascii="Times New Roman" w:hAnsi="Times New Roman"/>
        </w:rPr>
      </w:pPr>
      <w:bookmarkStart w:id="8" w:name="_Ref377719135"/>
      <w:bookmarkStart w:id="9" w:name="_Ref363715463"/>
      <w:r w:rsidRPr="0084385D">
        <w:rPr>
          <w:rFonts w:ascii="Times New Roman" w:hAnsi="Times New Roman"/>
        </w:rPr>
        <w:t>RP-132078, Further EUL Enhancements Work Item Description</w:t>
      </w:r>
      <w:bookmarkEnd w:id="8"/>
    </w:p>
    <w:p w14:paraId="71CE1751" w14:textId="77777777" w:rsidR="003A7EF3" w:rsidRPr="0084385D" w:rsidRDefault="008D75C5" w:rsidP="00A811D8">
      <w:pPr>
        <w:pStyle w:val="Reference"/>
        <w:jc w:val="left"/>
        <w:rPr>
          <w:rFonts w:ascii="Times New Roman" w:hAnsi="Times New Roman"/>
        </w:rPr>
      </w:pPr>
      <w:bookmarkStart w:id="10" w:name="_Ref377719146"/>
      <w:r w:rsidRPr="0084385D">
        <w:rPr>
          <w:rFonts w:ascii="Times New Roman" w:hAnsi="Times New Roman"/>
        </w:rPr>
        <w:t>TR25.700, “Study on Further EUL enhancements”</w:t>
      </w:r>
      <w:bookmarkEnd w:id="9"/>
      <w:bookmarkEnd w:id="10"/>
    </w:p>
    <w:p w14:paraId="71CE1752" w14:textId="77777777" w:rsidR="00F324F8" w:rsidRPr="0084385D" w:rsidRDefault="00F324F8" w:rsidP="00A811D8">
      <w:pPr>
        <w:pStyle w:val="Reference"/>
        <w:jc w:val="left"/>
        <w:rPr>
          <w:rFonts w:ascii="Times New Roman" w:hAnsi="Times New Roman"/>
          <w:sz w:val="18"/>
        </w:rPr>
      </w:pPr>
      <w:bookmarkStart w:id="11" w:name="_Ref378864616"/>
      <w:r w:rsidRPr="0084385D">
        <w:rPr>
          <w:rFonts w:ascii="Times New Roman" w:hAnsi="Times New Roman"/>
        </w:rPr>
        <w:t>R1-081891, “UE Implementation Impact due to DC-HSDPA”, Qualcomm Europe</w:t>
      </w:r>
      <w:bookmarkEnd w:id="11"/>
    </w:p>
    <w:p w14:paraId="71CE1753" w14:textId="77777777" w:rsidR="00F324F8" w:rsidRPr="0084385D" w:rsidRDefault="00F324F8" w:rsidP="00A811D8">
      <w:pPr>
        <w:pStyle w:val="Reference"/>
        <w:jc w:val="left"/>
        <w:rPr>
          <w:rFonts w:ascii="Times New Roman" w:hAnsi="Times New Roman"/>
          <w:sz w:val="18"/>
        </w:rPr>
      </w:pPr>
      <w:bookmarkStart w:id="12" w:name="_Ref378864653"/>
      <w:r w:rsidRPr="0084385D">
        <w:rPr>
          <w:rFonts w:ascii="Times New Roman" w:hAnsi="Times New Roman"/>
        </w:rPr>
        <w:t>R1-090036, “UE Implementation Impact due to Inter-Band Multi-Carrier HSDPA Operation”, Qualcomm Europe</w:t>
      </w:r>
      <w:bookmarkEnd w:id="12"/>
    </w:p>
    <w:p w14:paraId="71CE1754" w14:textId="77777777" w:rsidR="00F324F8" w:rsidRPr="0084385D" w:rsidRDefault="00F324F8" w:rsidP="00A811D8">
      <w:pPr>
        <w:pStyle w:val="Reference"/>
        <w:jc w:val="left"/>
        <w:rPr>
          <w:rFonts w:ascii="Times New Roman" w:hAnsi="Times New Roman"/>
          <w:sz w:val="18"/>
        </w:rPr>
      </w:pPr>
      <w:bookmarkStart w:id="13" w:name="_Ref378864810"/>
      <w:r w:rsidRPr="0084385D">
        <w:rPr>
          <w:rFonts w:ascii="Times New Roman" w:hAnsi="Times New Roman"/>
        </w:rPr>
        <w:t>R1-101325, “Timer based de-activation of secondary carrier in Dual-Band DC-HSDPA”, Qualcomm Incorporated</w:t>
      </w:r>
      <w:bookmarkEnd w:id="13"/>
    </w:p>
    <w:p w14:paraId="71CE1755" w14:textId="5B3F10AC" w:rsidR="00260F8A" w:rsidRPr="0084385D" w:rsidRDefault="0084385D" w:rsidP="0084385D">
      <w:pPr>
        <w:pStyle w:val="Reference"/>
        <w:rPr>
          <w:rFonts w:ascii="Times New Roman" w:hAnsi="Times New Roman"/>
        </w:rPr>
      </w:pPr>
      <w:r w:rsidRPr="0084385D">
        <w:rPr>
          <w:rFonts w:ascii="Times New Roman" w:hAnsi="Times New Roman"/>
        </w:rPr>
        <w:t>R1-141714</w:t>
      </w:r>
      <w:r w:rsidR="00260F8A" w:rsidRPr="0084385D">
        <w:rPr>
          <w:rFonts w:ascii="Times New Roman" w:hAnsi="Times New Roman"/>
        </w:rPr>
        <w:t>, “Power Control Performance due to Long DTX/DRX Cycles”, Qualcomm Incorporated</w:t>
      </w:r>
    </w:p>
    <w:p w14:paraId="71CE1756" w14:textId="77777777" w:rsidR="00260F8A" w:rsidRPr="0084385D" w:rsidRDefault="00260F8A" w:rsidP="00260F8A">
      <w:pPr>
        <w:pStyle w:val="Reference"/>
        <w:rPr>
          <w:rFonts w:ascii="Times New Roman" w:hAnsi="Times New Roman"/>
        </w:rPr>
      </w:pPr>
      <w:r w:rsidRPr="0084385D">
        <w:rPr>
          <w:rFonts w:ascii="Times New Roman" w:hAnsi="Times New Roman"/>
        </w:rPr>
        <w:t>R1-140807, “On Decoupling the DRX/DTX Parameters for Secondary Carriers”, Ericsson</w:t>
      </w:r>
    </w:p>
    <w:p w14:paraId="71CE1757" w14:textId="77777777" w:rsidR="00260F8A" w:rsidRPr="0084385D" w:rsidRDefault="009D0FBE" w:rsidP="00DB77A9">
      <w:pPr>
        <w:pStyle w:val="Reference"/>
        <w:rPr>
          <w:rFonts w:ascii="Times New Roman" w:hAnsi="Times New Roman"/>
        </w:rPr>
      </w:pPr>
      <w:r w:rsidRPr="0084385D">
        <w:rPr>
          <w:rFonts w:ascii="Times New Roman" w:hAnsi="Times New Roman"/>
        </w:rPr>
        <w:t>R1-140808, “On Increasing the DRX Cycle for Single and Primary Carriers”, Ericsson</w:t>
      </w:r>
    </w:p>
    <w:sectPr w:rsidR="00260F8A" w:rsidRPr="0084385D">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E1762" w14:textId="77777777" w:rsidR="003E1B82" w:rsidRDefault="003E1B82">
      <w:r>
        <w:separator/>
      </w:r>
    </w:p>
  </w:endnote>
  <w:endnote w:type="continuationSeparator" w:id="0">
    <w:p w14:paraId="71CE1763" w14:textId="77777777" w:rsidR="003E1B82" w:rsidRDefault="003E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E1765" w14:textId="77777777" w:rsidR="003600A3" w:rsidRDefault="003600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0B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0B9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E1760" w14:textId="77777777" w:rsidR="003E1B82" w:rsidRDefault="003E1B82">
      <w:r>
        <w:separator/>
      </w:r>
    </w:p>
  </w:footnote>
  <w:footnote w:type="continuationSeparator" w:id="0">
    <w:p w14:paraId="71CE1761" w14:textId="77777777" w:rsidR="003E1B82" w:rsidRDefault="003E1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E1764" w14:textId="77777777" w:rsidR="003600A3" w:rsidRDefault="003600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657E01"/>
    <w:multiLevelType w:val="hybridMultilevel"/>
    <w:tmpl w:val="A8A2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260C99"/>
    <w:multiLevelType w:val="multilevel"/>
    <w:tmpl w:val="14FA2C14"/>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B950B9E"/>
    <w:multiLevelType w:val="multilevel"/>
    <w:tmpl w:val="B386C9B2"/>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5854C83"/>
    <w:multiLevelType w:val="hybridMultilevel"/>
    <w:tmpl w:val="1F12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FC1849"/>
    <w:multiLevelType w:val="hybridMultilevel"/>
    <w:tmpl w:val="CC8CA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577AFE"/>
    <w:multiLevelType w:val="hybridMultilevel"/>
    <w:tmpl w:val="A124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04B58AB"/>
    <w:multiLevelType w:val="multilevel"/>
    <w:tmpl w:val="B81EC6A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53C7F60"/>
    <w:multiLevelType w:val="hybridMultilevel"/>
    <w:tmpl w:val="9CE23758"/>
    <w:lvl w:ilvl="0" w:tplc="1CA695A2">
      <w:start w:val="2"/>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3">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C19414E"/>
    <w:multiLevelType w:val="multilevel"/>
    <w:tmpl w:val="290AC90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34468B"/>
    <w:multiLevelType w:val="hybridMultilevel"/>
    <w:tmpl w:val="22B85B4C"/>
    <w:lvl w:ilvl="0" w:tplc="F4E8F818">
      <w:start w:val="1"/>
      <w:numFmt w:val="bullet"/>
      <w:lvlText w:val="•"/>
      <w:lvlJc w:val="left"/>
      <w:pPr>
        <w:tabs>
          <w:tab w:val="num" w:pos="720"/>
        </w:tabs>
        <w:ind w:left="720" w:hanging="360"/>
      </w:pPr>
      <w:rPr>
        <w:rFonts w:ascii="Arial" w:hAnsi="Arial" w:hint="default"/>
      </w:rPr>
    </w:lvl>
    <w:lvl w:ilvl="1" w:tplc="7D5CC832" w:tentative="1">
      <w:start w:val="1"/>
      <w:numFmt w:val="bullet"/>
      <w:lvlText w:val="•"/>
      <w:lvlJc w:val="left"/>
      <w:pPr>
        <w:tabs>
          <w:tab w:val="num" w:pos="1440"/>
        </w:tabs>
        <w:ind w:left="1440" w:hanging="360"/>
      </w:pPr>
      <w:rPr>
        <w:rFonts w:ascii="Arial" w:hAnsi="Arial" w:hint="default"/>
      </w:rPr>
    </w:lvl>
    <w:lvl w:ilvl="2" w:tplc="A9862978" w:tentative="1">
      <w:start w:val="1"/>
      <w:numFmt w:val="bullet"/>
      <w:lvlText w:val="•"/>
      <w:lvlJc w:val="left"/>
      <w:pPr>
        <w:tabs>
          <w:tab w:val="num" w:pos="2160"/>
        </w:tabs>
        <w:ind w:left="2160" w:hanging="360"/>
      </w:pPr>
      <w:rPr>
        <w:rFonts w:ascii="Arial" w:hAnsi="Arial" w:hint="default"/>
      </w:rPr>
    </w:lvl>
    <w:lvl w:ilvl="3" w:tplc="340E7458" w:tentative="1">
      <w:start w:val="1"/>
      <w:numFmt w:val="bullet"/>
      <w:lvlText w:val="•"/>
      <w:lvlJc w:val="left"/>
      <w:pPr>
        <w:tabs>
          <w:tab w:val="num" w:pos="2880"/>
        </w:tabs>
        <w:ind w:left="2880" w:hanging="360"/>
      </w:pPr>
      <w:rPr>
        <w:rFonts w:ascii="Arial" w:hAnsi="Arial" w:hint="default"/>
      </w:rPr>
    </w:lvl>
    <w:lvl w:ilvl="4" w:tplc="AF06E752" w:tentative="1">
      <w:start w:val="1"/>
      <w:numFmt w:val="bullet"/>
      <w:lvlText w:val="•"/>
      <w:lvlJc w:val="left"/>
      <w:pPr>
        <w:tabs>
          <w:tab w:val="num" w:pos="3600"/>
        </w:tabs>
        <w:ind w:left="3600" w:hanging="360"/>
      </w:pPr>
      <w:rPr>
        <w:rFonts w:ascii="Arial" w:hAnsi="Arial" w:hint="default"/>
      </w:rPr>
    </w:lvl>
    <w:lvl w:ilvl="5" w:tplc="F29E4034" w:tentative="1">
      <w:start w:val="1"/>
      <w:numFmt w:val="bullet"/>
      <w:lvlText w:val="•"/>
      <w:lvlJc w:val="left"/>
      <w:pPr>
        <w:tabs>
          <w:tab w:val="num" w:pos="4320"/>
        </w:tabs>
        <w:ind w:left="4320" w:hanging="360"/>
      </w:pPr>
      <w:rPr>
        <w:rFonts w:ascii="Arial" w:hAnsi="Arial" w:hint="default"/>
      </w:rPr>
    </w:lvl>
    <w:lvl w:ilvl="6" w:tplc="62D04B60" w:tentative="1">
      <w:start w:val="1"/>
      <w:numFmt w:val="bullet"/>
      <w:lvlText w:val="•"/>
      <w:lvlJc w:val="left"/>
      <w:pPr>
        <w:tabs>
          <w:tab w:val="num" w:pos="5040"/>
        </w:tabs>
        <w:ind w:left="5040" w:hanging="360"/>
      </w:pPr>
      <w:rPr>
        <w:rFonts w:ascii="Arial" w:hAnsi="Arial" w:hint="default"/>
      </w:rPr>
    </w:lvl>
    <w:lvl w:ilvl="7" w:tplc="1070EC82" w:tentative="1">
      <w:start w:val="1"/>
      <w:numFmt w:val="bullet"/>
      <w:lvlText w:val="•"/>
      <w:lvlJc w:val="left"/>
      <w:pPr>
        <w:tabs>
          <w:tab w:val="num" w:pos="5760"/>
        </w:tabs>
        <w:ind w:left="5760" w:hanging="360"/>
      </w:pPr>
      <w:rPr>
        <w:rFonts w:ascii="Arial" w:hAnsi="Arial" w:hint="default"/>
      </w:rPr>
    </w:lvl>
    <w:lvl w:ilvl="8" w:tplc="EDE86C50" w:tentative="1">
      <w:start w:val="1"/>
      <w:numFmt w:val="bullet"/>
      <w:lvlText w:val="•"/>
      <w:lvlJc w:val="left"/>
      <w:pPr>
        <w:tabs>
          <w:tab w:val="num" w:pos="6480"/>
        </w:tabs>
        <w:ind w:left="6480" w:hanging="360"/>
      </w:pPr>
      <w:rPr>
        <w:rFonts w:ascii="Arial" w:hAnsi="Arial"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637D1D"/>
    <w:multiLevelType w:val="hybridMultilevel"/>
    <w:tmpl w:val="FD52F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9D3FE1"/>
    <w:multiLevelType w:val="multilevel"/>
    <w:tmpl w:val="CF7A3600"/>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6F393A6D"/>
    <w:multiLevelType w:val="multilevel"/>
    <w:tmpl w:val="52ACF82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EE436A0"/>
    <w:multiLevelType w:val="hybridMultilevel"/>
    <w:tmpl w:val="0400B6B0"/>
    <w:lvl w:ilvl="0" w:tplc="1CA695A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F2B5680"/>
    <w:multiLevelType w:val="hybridMultilevel"/>
    <w:tmpl w:val="4E1A9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3"/>
  </w:num>
  <w:num w:numId="4">
    <w:abstractNumId w:val="14"/>
  </w:num>
  <w:num w:numId="5">
    <w:abstractNumId w:val="10"/>
  </w:num>
  <w:num w:numId="6">
    <w:abstractNumId w:val="16"/>
  </w:num>
  <w:num w:numId="7">
    <w:abstractNumId w:val="20"/>
  </w:num>
  <w:num w:numId="8">
    <w:abstractNumId w:val="11"/>
  </w:num>
  <w:num w:numId="9">
    <w:abstractNumId w:val="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3"/>
  </w:num>
  <w:num w:numId="13">
    <w:abstractNumId w:val="5"/>
  </w:num>
  <w:num w:numId="14">
    <w:abstractNumId w:val="24"/>
  </w:num>
  <w:num w:numId="15">
    <w:abstractNumId w:val="2"/>
  </w:num>
  <w:num w:numId="16">
    <w:abstractNumId w:val="1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4"/>
  </w:num>
  <w:num w:numId="20">
    <w:abstractNumId w:val="3"/>
  </w:num>
  <w:num w:numId="21">
    <w:abstractNumId w:val="9"/>
  </w:num>
  <w:num w:numId="22">
    <w:abstractNumId w:val="1"/>
  </w:num>
  <w:num w:numId="23">
    <w:abstractNumId w:val="6"/>
  </w:num>
  <w:num w:numId="24">
    <w:abstractNumId w:val="19"/>
  </w:num>
  <w:num w:numId="25">
    <w:abstractNumId w:val="17"/>
  </w:num>
  <w:num w:numId="26">
    <w:abstractNumId w:val="7"/>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5"/>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171"/>
    <w:rsid w:val="000006E1"/>
    <w:rsid w:val="00002A37"/>
    <w:rsid w:val="00003E48"/>
    <w:rsid w:val="00004817"/>
    <w:rsid w:val="00006446"/>
    <w:rsid w:val="00006896"/>
    <w:rsid w:val="00007CDC"/>
    <w:rsid w:val="00011B28"/>
    <w:rsid w:val="00015D15"/>
    <w:rsid w:val="00021D40"/>
    <w:rsid w:val="0002564D"/>
    <w:rsid w:val="00025ECA"/>
    <w:rsid w:val="000325B8"/>
    <w:rsid w:val="0003477A"/>
    <w:rsid w:val="00034C15"/>
    <w:rsid w:val="00035945"/>
    <w:rsid w:val="00036BA1"/>
    <w:rsid w:val="000422E2"/>
    <w:rsid w:val="00042F22"/>
    <w:rsid w:val="00043A7D"/>
    <w:rsid w:val="00043A81"/>
    <w:rsid w:val="000444EF"/>
    <w:rsid w:val="0004473F"/>
    <w:rsid w:val="00050332"/>
    <w:rsid w:val="00050CFD"/>
    <w:rsid w:val="00052A07"/>
    <w:rsid w:val="000534E3"/>
    <w:rsid w:val="0005606A"/>
    <w:rsid w:val="00057117"/>
    <w:rsid w:val="000616E7"/>
    <w:rsid w:val="00061E56"/>
    <w:rsid w:val="0006487E"/>
    <w:rsid w:val="00065B29"/>
    <w:rsid w:val="00065E1A"/>
    <w:rsid w:val="000744A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AE3"/>
    <w:rsid w:val="000B2719"/>
    <w:rsid w:val="000B3A8F"/>
    <w:rsid w:val="000B4AB9"/>
    <w:rsid w:val="000B58C3"/>
    <w:rsid w:val="000B61E9"/>
    <w:rsid w:val="000C1068"/>
    <w:rsid w:val="000C165A"/>
    <w:rsid w:val="000C2E19"/>
    <w:rsid w:val="000C3015"/>
    <w:rsid w:val="000C3253"/>
    <w:rsid w:val="000D0D07"/>
    <w:rsid w:val="000D4797"/>
    <w:rsid w:val="000E0527"/>
    <w:rsid w:val="000E06DA"/>
    <w:rsid w:val="000E1E92"/>
    <w:rsid w:val="000E203F"/>
    <w:rsid w:val="000E52FC"/>
    <w:rsid w:val="000F06D6"/>
    <w:rsid w:val="000F0EB1"/>
    <w:rsid w:val="000F1106"/>
    <w:rsid w:val="000F3BE9"/>
    <w:rsid w:val="000F3F6C"/>
    <w:rsid w:val="000F6904"/>
    <w:rsid w:val="000F6DF3"/>
    <w:rsid w:val="001005FF"/>
    <w:rsid w:val="00100942"/>
    <w:rsid w:val="001062FB"/>
    <w:rsid w:val="001063E6"/>
    <w:rsid w:val="00113CF4"/>
    <w:rsid w:val="001153EA"/>
    <w:rsid w:val="00115643"/>
    <w:rsid w:val="00116765"/>
    <w:rsid w:val="00120F10"/>
    <w:rsid w:val="001219F5"/>
    <w:rsid w:val="00121A20"/>
    <w:rsid w:val="0012377F"/>
    <w:rsid w:val="00124314"/>
    <w:rsid w:val="00126B4A"/>
    <w:rsid w:val="00132FD0"/>
    <w:rsid w:val="001344C0"/>
    <w:rsid w:val="001346FA"/>
    <w:rsid w:val="00135252"/>
    <w:rsid w:val="00135F98"/>
    <w:rsid w:val="00137AB5"/>
    <w:rsid w:val="00137F0B"/>
    <w:rsid w:val="00142163"/>
    <w:rsid w:val="0014744E"/>
    <w:rsid w:val="00151E23"/>
    <w:rsid w:val="001526E0"/>
    <w:rsid w:val="001551B5"/>
    <w:rsid w:val="001659C1"/>
    <w:rsid w:val="00167208"/>
    <w:rsid w:val="00172163"/>
    <w:rsid w:val="00173A8E"/>
    <w:rsid w:val="00175B97"/>
    <w:rsid w:val="00176171"/>
    <w:rsid w:val="001776AB"/>
    <w:rsid w:val="00177CF0"/>
    <w:rsid w:val="0018050A"/>
    <w:rsid w:val="0018143F"/>
    <w:rsid w:val="00182C3C"/>
    <w:rsid w:val="00190AC1"/>
    <w:rsid w:val="0019341A"/>
    <w:rsid w:val="00197DF9"/>
    <w:rsid w:val="001A1987"/>
    <w:rsid w:val="001A2564"/>
    <w:rsid w:val="001A6173"/>
    <w:rsid w:val="001A6CBA"/>
    <w:rsid w:val="001A7C70"/>
    <w:rsid w:val="001B0D97"/>
    <w:rsid w:val="001B2B69"/>
    <w:rsid w:val="001B32B2"/>
    <w:rsid w:val="001B49D1"/>
    <w:rsid w:val="001B5A5D"/>
    <w:rsid w:val="001B5E77"/>
    <w:rsid w:val="001C1CE5"/>
    <w:rsid w:val="001C3D2A"/>
    <w:rsid w:val="001D51BA"/>
    <w:rsid w:val="001D6342"/>
    <w:rsid w:val="001D6D53"/>
    <w:rsid w:val="001E114F"/>
    <w:rsid w:val="001E58E2"/>
    <w:rsid w:val="001E7AED"/>
    <w:rsid w:val="001F3916"/>
    <w:rsid w:val="001F54C5"/>
    <w:rsid w:val="001F662C"/>
    <w:rsid w:val="001F7074"/>
    <w:rsid w:val="00200490"/>
    <w:rsid w:val="002011EF"/>
    <w:rsid w:val="00201F3A"/>
    <w:rsid w:val="00202684"/>
    <w:rsid w:val="00203F96"/>
    <w:rsid w:val="002069B2"/>
    <w:rsid w:val="0020781F"/>
    <w:rsid w:val="00207FA3"/>
    <w:rsid w:val="00214DA8"/>
    <w:rsid w:val="00215423"/>
    <w:rsid w:val="002158FA"/>
    <w:rsid w:val="00220600"/>
    <w:rsid w:val="002224DB"/>
    <w:rsid w:val="00223FCB"/>
    <w:rsid w:val="002252C3"/>
    <w:rsid w:val="00225C54"/>
    <w:rsid w:val="00227AE2"/>
    <w:rsid w:val="00230765"/>
    <w:rsid w:val="002319E4"/>
    <w:rsid w:val="00235632"/>
    <w:rsid w:val="00235872"/>
    <w:rsid w:val="00241559"/>
    <w:rsid w:val="002435B3"/>
    <w:rsid w:val="002458EB"/>
    <w:rsid w:val="002500C8"/>
    <w:rsid w:val="00257543"/>
    <w:rsid w:val="00260F8A"/>
    <w:rsid w:val="002617E7"/>
    <w:rsid w:val="00264228"/>
    <w:rsid w:val="00264334"/>
    <w:rsid w:val="0026473E"/>
    <w:rsid w:val="00265992"/>
    <w:rsid w:val="00266214"/>
    <w:rsid w:val="00267C83"/>
    <w:rsid w:val="0027144F"/>
    <w:rsid w:val="00271F3A"/>
    <w:rsid w:val="00272DE7"/>
    <w:rsid w:val="00273278"/>
    <w:rsid w:val="002737F4"/>
    <w:rsid w:val="00274613"/>
    <w:rsid w:val="002805F5"/>
    <w:rsid w:val="00280751"/>
    <w:rsid w:val="0028280A"/>
    <w:rsid w:val="00286ACD"/>
    <w:rsid w:val="00287838"/>
    <w:rsid w:val="002907B5"/>
    <w:rsid w:val="002915B0"/>
    <w:rsid w:val="00292EB7"/>
    <w:rsid w:val="00293D26"/>
    <w:rsid w:val="00296227"/>
    <w:rsid w:val="00296F44"/>
    <w:rsid w:val="0029777D"/>
    <w:rsid w:val="002A055E"/>
    <w:rsid w:val="002A1D4E"/>
    <w:rsid w:val="002A2869"/>
    <w:rsid w:val="002B24D6"/>
    <w:rsid w:val="002C41E6"/>
    <w:rsid w:val="002C4E9C"/>
    <w:rsid w:val="002D071A"/>
    <w:rsid w:val="002D34B2"/>
    <w:rsid w:val="002D5E24"/>
    <w:rsid w:val="002D7637"/>
    <w:rsid w:val="002E17F2"/>
    <w:rsid w:val="002E7CAE"/>
    <w:rsid w:val="002F2771"/>
    <w:rsid w:val="002F37A9"/>
    <w:rsid w:val="00301CE6"/>
    <w:rsid w:val="0030256B"/>
    <w:rsid w:val="0030501F"/>
    <w:rsid w:val="003050D2"/>
    <w:rsid w:val="00307BA1"/>
    <w:rsid w:val="00311702"/>
    <w:rsid w:val="00311E82"/>
    <w:rsid w:val="00313FD6"/>
    <w:rsid w:val="003143BD"/>
    <w:rsid w:val="003203ED"/>
    <w:rsid w:val="00322C9F"/>
    <w:rsid w:val="00324D23"/>
    <w:rsid w:val="003271D2"/>
    <w:rsid w:val="00331751"/>
    <w:rsid w:val="00334579"/>
    <w:rsid w:val="00335858"/>
    <w:rsid w:val="00336BDA"/>
    <w:rsid w:val="0034025C"/>
    <w:rsid w:val="00342BD7"/>
    <w:rsid w:val="00343F47"/>
    <w:rsid w:val="00346DB5"/>
    <w:rsid w:val="003477B1"/>
    <w:rsid w:val="00357380"/>
    <w:rsid w:val="003600A3"/>
    <w:rsid w:val="003602D9"/>
    <w:rsid w:val="003604CE"/>
    <w:rsid w:val="00370E47"/>
    <w:rsid w:val="003742AC"/>
    <w:rsid w:val="00377CC9"/>
    <w:rsid w:val="00377CE1"/>
    <w:rsid w:val="003832B6"/>
    <w:rsid w:val="00385BF0"/>
    <w:rsid w:val="0039269F"/>
    <w:rsid w:val="003939FF"/>
    <w:rsid w:val="003A2223"/>
    <w:rsid w:val="003A2A0F"/>
    <w:rsid w:val="003A45A1"/>
    <w:rsid w:val="003A5B0A"/>
    <w:rsid w:val="003A671F"/>
    <w:rsid w:val="003A6BAC"/>
    <w:rsid w:val="003A7EF3"/>
    <w:rsid w:val="003B1186"/>
    <w:rsid w:val="003B159C"/>
    <w:rsid w:val="003B369F"/>
    <w:rsid w:val="003B36A3"/>
    <w:rsid w:val="003B7FE5"/>
    <w:rsid w:val="003C11C8"/>
    <w:rsid w:val="003C2702"/>
    <w:rsid w:val="003C2C13"/>
    <w:rsid w:val="003C5DB2"/>
    <w:rsid w:val="003C7806"/>
    <w:rsid w:val="003D109F"/>
    <w:rsid w:val="003D2478"/>
    <w:rsid w:val="003D292B"/>
    <w:rsid w:val="003D4459"/>
    <w:rsid w:val="003D5B1F"/>
    <w:rsid w:val="003D6B27"/>
    <w:rsid w:val="003D70AC"/>
    <w:rsid w:val="003E15FA"/>
    <w:rsid w:val="003E1B82"/>
    <w:rsid w:val="003E55E4"/>
    <w:rsid w:val="003E74E3"/>
    <w:rsid w:val="003F05C7"/>
    <w:rsid w:val="003F2CD4"/>
    <w:rsid w:val="003F6BBE"/>
    <w:rsid w:val="004000E8"/>
    <w:rsid w:val="00401681"/>
    <w:rsid w:val="00402E2B"/>
    <w:rsid w:val="0040512B"/>
    <w:rsid w:val="00405CA5"/>
    <w:rsid w:val="00407CD3"/>
    <w:rsid w:val="00407D36"/>
    <w:rsid w:val="00410134"/>
    <w:rsid w:val="00410B72"/>
    <w:rsid w:val="00410F18"/>
    <w:rsid w:val="0041263E"/>
    <w:rsid w:val="00413AAC"/>
    <w:rsid w:val="00417346"/>
    <w:rsid w:val="00420C41"/>
    <w:rsid w:val="00421105"/>
    <w:rsid w:val="00423ACF"/>
    <w:rsid w:val="004242F4"/>
    <w:rsid w:val="00427248"/>
    <w:rsid w:val="004345D0"/>
    <w:rsid w:val="00437447"/>
    <w:rsid w:val="00440BAC"/>
    <w:rsid w:val="00441A92"/>
    <w:rsid w:val="00444F56"/>
    <w:rsid w:val="00446488"/>
    <w:rsid w:val="004517AA"/>
    <w:rsid w:val="00452CAC"/>
    <w:rsid w:val="0045347E"/>
    <w:rsid w:val="00454A0A"/>
    <w:rsid w:val="00457565"/>
    <w:rsid w:val="00457B71"/>
    <w:rsid w:val="00460AC7"/>
    <w:rsid w:val="004669E2"/>
    <w:rsid w:val="00470C31"/>
    <w:rsid w:val="004734D0"/>
    <w:rsid w:val="0047556B"/>
    <w:rsid w:val="00477768"/>
    <w:rsid w:val="00480E7C"/>
    <w:rsid w:val="004848B7"/>
    <w:rsid w:val="00492BC5"/>
    <w:rsid w:val="004955D2"/>
    <w:rsid w:val="004964F1"/>
    <w:rsid w:val="00496B8A"/>
    <w:rsid w:val="004A16BC"/>
    <w:rsid w:val="004A2B94"/>
    <w:rsid w:val="004A6118"/>
    <w:rsid w:val="004A6B85"/>
    <w:rsid w:val="004B7C0C"/>
    <w:rsid w:val="004C3898"/>
    <w:rsid w:val="004D36B1"/>
    <w:rsid w:val="004D6C37"/>
    <w:rsid w:val="004D7EBD"/>
    <w:rsid w:val="004E2680"/>
    <w:rsid w:val="004E28F9"/>
    <w:rsid w:val="004E462E"/>
    <w:rsid w:val="004E56DC"/>
    <w:rsid w:val="004E76F4"/>
    <w:rsid w:val="004F0B4E"/>
    <w:rsid w:val="004F0B6C"/>
    <w:rsid w:val="004F0E12"/>
    <w:rsid w:val="004F2078"/>
    <w:rsid w:val="004F4DA3"/>
    <w:rsid w:val="004F6677"/>
    <w:rsid w:val="00506557"/>
    <w:rsid w:val="0050677A"/>
    <w:rsid w:val="005108D8"/>
    <w:rsid w:val="005116F9"/>
    <w:rsid w:val="005153A7"/>
    <w:rsid w:val="00515AF9"/>
    <w:rsid w:val="0051611D"/>
    <w:rsid w:val="005219CF"/>
    <w:rsid w:val="00534B59"/>
    <w:rsid w:val="00535FAA"/>
    <w:rsid w:val="00536759"/>
    <w:rsid w:val="00537C62"/>
    <w:rsid w:val="00546970"/>
    <w:rsid w:val="0055360A"/>
    <w:rsid w:val="00554E19"/>
    <w:rsid w:val="00557793"/>
    <w:rsid w:val="0056121F"/>
    <w:rsid w:val="00572505"/>
    <w:rsid w:val="00575162"/>
    <w:rsid w:val="00582809"/>
    <w:rsid w:val="0058798C"/>
    <w:rsid w:val="005900FA"/>
    <w:rsid w:val="005935A4"/>
    <w:rsid w:val="005948C2"/>
    <w:rsid w:val="00594967"/>
    <w:rsid w:val="00595DCA"/>
    <w:rsid w:val="0059779B"/>
    <w:rsid w:val="005A016D"/>
    <w:rsid w:val="005A209A"/>
    <w:rsid w:val="005A2FE2"/>
    <w:rsid w:val="005A662D"/>
    <w:rsid w:val="005B04CB"/>
    <w:rsid w:val="005B208E"/>
    <w:rsid w:val="005B35D7"/>
    <w:rsid w:val="005B392A"/>
    <w:rsid w:val="005B3AA3"/>
    <w:rsid w:val="005B6F83"/>
    <w:rsid w:val="005C74FB"/>
    <w:rsid w:val="005D1602"/>
    <w:rsid w:val="005E0239"/>
    <w:rsid w:val="005E385F"/>
    <w:rsid w:val="005E5B81"/>
    <w:rsid w:val="005F09FD"/>
    <w:rsid w:val="005F2CB1"/>
    <w:rsid w:val="005F618C"/>
    <w:rsid w:val="005F70BD"/>
    <w:rsid w:val="005F7AB3"/>
    <w:rsid w:val="0060283C"/>
    <w:rsid w:val="00604F14"/>
    <w:rsid w:val="00611B83"/>
    <w:rsid w:val="00613257"/>
    <w:rsid w:val="006143A7"/>
    <w:rsid w:val="00614BE6"/>
    <w:rsid w:val="00620A71"/>
    <w:rsid w:val="00620D80"/>
    <w:rsid w:val="006222C5"/>
    <w:rsid w:val="006234A6"/>
    <w:rsid w:val="00630001"/>
    <w:rsid w:val="006311B3"/>
    <w:rsid w:val="0063284C"/>
    <w:rsid w:val="00636398"/>
    <w:rsid w:val="006368D3"/>
    <w:rsid w:val="006377EC"/>
    <w:rsid w:val="0064151F"/>
    <w:rsid w:val="00641533"/>
    <w:rsid w:val="0064208D"/>
    <w:rsid w:val="00643475"/>
    <w:rsid w:val="0064366A"/>
    <w:rsid w:val="0064396A"/>
    <w:rsid w:val="0064624E"/>
    <w:rsid w:val="00650AB9"/>
    <w:rsid w:val="00650E03"/>
    <w:rsid w:val="00655733"/>
    <w:rsid w:val="00655ACD"/>
    <w:rsid w:val="00656A92"/>
    <w:rsid w:val="00656DDE"/>
    <w:rsid w:val="00657BE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48B"/>
    <w:rsid w:val="00691A5B"/>
    <w:rsid w:val="00695FC2"/>
    <w:rsid w:val="00696949"/>
    <w:rsid w:val="00697052"/>
    <w:rsid w:val="006A109B"/>
    <w:rsid w:val="006A46FB"/>
    <w:rsid w:val="006A5E28"/>
    <w:rsid w:val="006A697B"/>
    <w:rsid w:val="006A7AFF"/>
    <w:rsid w:val="006B1816"/>
    <w:rsid w:val="006B2099"/>
    <w:rsid w:val="006B50CF"/>
    <w:rsid w:val="006B6E02"/>
    <w:rsid w:val="006C03B8"/>
    <w:rsid w:val="006C533E"/>
    <w:rsid w:val="006C5EC9"/>
    <w:rsid w:val="006C6059"/>
    <w:rsid w:val="006C7522"/>
    <w:rsid w:val="006D1B7C"/>
    <w:rsid w:val="006D39D0"/>
    <w:rsid w:val="006D6F08"/>
    <w:rsid w:val="006E062C"/>
    <w:rsid w:val="006E28B7"/>
    <w:rsid w:val="006E3310"/>
    <w:rsid w:val="006E4B9B"/>
    <w:rsid w:val="006E4E39"/>
    <w:rsid w:val="006E565E"/>
    <w:rsid w:val="006E584D"/>
    <w:rsid w:val="006E5AB3"/>
    <w:rsid w:val="006E673D"/>
    <w:rsid w:val="006E7D3B"/>
    <w:rsid w:val="006F1B70"/>
    <w:rsid w:val="006F341D"/>
    <w:rsid w:val="006F3CDE"/>
    <w:rsid w:val="006F58D4"/>
    <w:rsid w:val="0070346E"/>
    <w:rsid w:val="00704EDB"/>
    <w:rsid w:val="00706101"/>
    <w:rsid w:val="00707072"/>
    <w:rsid w:val="00707D61"/>
    <w:rsid w:val="00712287"/>
    <w:rsid w:val="00712772"/>
    <w:rsid w:val="007147B5"/>
    <w:rsid w:val="007148D3"/>
    <w:rsid w:val="00715B9A"/>
    <w:rsid w:val="00715E03"/>
    <w:rsid w:val="007235C8"/>
    <w:rsid w:val="00726EA6"/>
    <w:rsid w:val="00727208"/>
    <w:rsid w:val="00727680"/>
    <w:rsid w:val="007348B1"/>
    <w:rsid w:val="007362A6"/>
    <w:rsid w:val="00736D7D"/>
    <w:rsid w:val="00740E58"/>
    <w:rsid w:val="007445A0"/>
    <w:rsid w:val="0074524B"/>
    <w:rsid w:val="00747D8B"/>
    <w:rsid w:val="00751228"/>
    <w:rsid w:val="007571E1"/>
    <w:rsid w:val="007604B2"/>
    <w:rsid w:val="00761561"/>
    <w:rsid w:val="00761879"/>
    <w:rsid w:val="00765281"/>
    <w:rsid w:val="00766BAD"/>
    <w:rsid w:val="007755F2"/>
    <w:rsid w:val="00776971"/>
    <w:rsid w:val="0078177E"/>
    <w:rsid w:val="0078304C"/>
    <w:rsid w:val="007833DF"/>
    <w:rsid w:val="00783673"/>
    <w:rsid w:val="00785490"/>
    <w:rsid w:val="00785660"/>
    <w:rsid w:val="00790B95"/>
    <w:rsid w:val="007925EA"/>
    <w:rsid w:val="00793CD8"/>
    <w:rsid w:val="00795C92"/>
    <w:rsid w:val="00796231"/>
    <w:rsid w:val="007A1CB3"/>
    <w:rsid w:val="007A306F"/>
    <w:rsid w:val="007A43A6"/>
    <w:rsid w:val="007A58A6"/>
    <w:rsid w:val="007B1946"/>
    <w:rsid w:val="007B3D2D"/>
    <w:rsid w:val="007B50AE"/>
    <w:rsid w:val="007B51DF"/>
    <w:rsid w:val="007C05DD"/>
    <w:rsid w:val="007C3D18"/>
    <w:rsid w:val="007C60BF"/>
    <w:rsid w:val="007C6A07"/>
    <w:rsid w:val="007C75A1"/>
    <w:rsid w:val="007C77A5"/>
    <w:rsid w:val="007D04E5"/>
    <w:rsid w:val="007D4D93"/>
    <w:rsid w:val="007D5901"/>
    <w:rsid w:val="007D7526"/>
    <w:rsid w:val="007E4610"/>
    <w:rsid w:val="007E4715"/>
    <w:rsid w:val="007E505B"/>
    <w:rsid w:val="007E7091"/>
    <w:rsid w:val="007F680C"/>
    <w:rsid w:val="00802D2E"/>
    <w:rsid w:val="00803FAE"/>
    <w:rsid w:val="0080605F"/>
    <w:rsid w:val="00807786"/>
    <w:rsid w:val="00811FCB"/>
    <w:rsid w:val="008158D6"/>
    <w:rsid w:val="00817196"/>
    <w:rsid w:val="008235DB"/>
    <w:rsid w:val="0082380D"/>
    <w:rsid w:val="00824AB4"/>
    <w:rsid w:val="00825C42"/>
    <w:rsid w:val="00825D25"/>
    <w:rsid w:val="008271F6"/>
    <w:rsid w:val="00827D6F"/>
    <w:rsid w:val="00834FC1"/>
    <w:rsid w:val="008363D4"/>
    <w:rsid w:val="008376AC"/>
    <w:rsid w:val="0084385D"/>
    <w:rsid w:val="008444E8"/>
    <w:rsid w:val="00844E80"/>
    <w:rsid w:val="00846FE7"/>
    <w:rsid w:val="00856911"/>
    <w:rsid w:val="00862E3A"/>
    <w:rsid w:val="008677FD"/>
    <w:rsid w:val="008706D4"/>
    <w:rsid w:val="00870F8A"/>
    <w:rsid w:val="008719A4"/>
    <w:rsid w:val="00871D23"/>
    <w:rsid w:val="008737C6"/>
    <w:rsid w:val="00874312"/>
    <w:rsid w:val="0087437C"/>
    <w:rsid w:val="00875CD7"/>
    <w:rsid w:val="00876B4D"/>
    <w:rsid w:val="00877F18"/>
    <w:rsid w:val="0088611C"/>
    <w:rsid w:val="008929F3"/>
    <w:rsid w:val="00892DBC"/>
    <w:rsid w:val="00894A88"/>
    <w:rsid w:val="00895386"/>
    <w:rsid w:val="008A21FF"/>
    <w:rsid w:val="008A2CE2"/>
    <w:rsid w:val="008A30AC"/>
    <w:rsid w:val="008A44B8"/>
    <w:rsid w:val="008A51A8"/>
    <w:rsid w:val="008A54C7"/>
    <w:rsid w:val="008A77D8"/>
    <w:rsid w:val="008B0483"/>
    <w:rsid w:val="008B120C"/>
    <w:rsid w:val="008B3ACD"/>
    <w:rsid w:val="008B51A0"/>
    <w:rsid w:val="008B592A"/>
    <w:rsid w:val="008B6E35"/>
    <w:rsid w:val="008B7B5C"/>
    <w:rsid w:val="008C0C99"/>
    <w:rsid w:val="008C2017"/>
    <w:rsid w:val="008C4958"/>
    <w:rsid w:val="008C4A84"/>
    <w:rsid w:val="008C4B1E"/>
    <w:rsid w:val="008C4BAA"/>
    <w:rsid w:val="008C6AE8"/>
    <w:rsid w:val="008C7573"/>
    <w:rsid w:val="008D142A"/>
    <w:rsid w:val="008D1DC0"/>
    <w:rsid w:val="008D255B"/>
    <w:rsid w:val="008D34F1"/>
    <w:rsid w:val="008D3648"/>
    <w:rsid w:val="008D39D8"/>
    <w:rsid w:val="008D6D1A"/>
    <w:rsid w:val="008D75C5"/>
    <w:rsid w:val="008E0927"/>
    <w:rsid w:val="008E1909"/>
    <w:rsid w:val="008F1EAB"/>
    <w:rsid w:val="008F33DC"/>
    <w:rsid w:val="008F477F"/>
    <w:rsid w:val="008F5337"/>
    <w:rsid w:val="00902350"/>
    <w:rsid w:val="0090336B"/>
    <w:rsid w:val="009053AA"/>
    <w:rsid w:val="00906939"/>
    <w:rsid w:val="00910B7D"/>
    <w:rsid w:val="00911DFB"/>
    <w:rsid w:val="009139D9"/>
    <w:rsid w:val="00914AD8"/>
    <w:rsid w:val="00916079"/>
    <w:rsid w:val="00917CE9"/>
    <w:rsid w:val="00920BF2"/>
    <w:rsid w:val="00922010"/>
    <w:rsid w:val="00922CDF"/>
    <w:rsid w:val="00931BD9"/>
    <w:rsid w:val="009368F3"/>
    <w:rsid w:val="009409E1"/>
    <w:rsid w:val="00941636"/>
    <w:rsid w:val="00943742"/>
    <w:rsid w:val="00945C05"/>
    <w:rsid w:val="00946945"/>
    <w:rsid w:val="00946BFF"/>
    <w:rsid w:val="00947713"/>
    <w:rsid w:val="00950DE7"/>
    <w:rsid w:val="00952A2C"/>
    <w:rsid w:val="00953920"/>
    <w:rsid w:val="00953D47"/>
    <w:rsid w:val="0095681E"/>
    <w:rsid w:val="009572D4"/>
    <w:rsid w:val="00961921"/>
    <w:rsid w:val="0096430A"/>
    <w:rsid w:val="0096554B"/>
    <w:rsid w:val="0096584A"/>
    <w:rsid w:val="00965D2E"/>
    <w:rsid w:val="00971F08"/>
    <w:rsid w:val="0097603D"/>
    <w:rsid w:val="00976949"/>
    <w:rsid w:val="00980477"/>
    <w:rsid w:val="009841F7"/>
    <w:rsid w:val="00985253"/>
    <w:rsid w:val="009853B3"/>
    <w:rsid w:val="00990630"/>
    <w:rsid w:val="00991761"/>
    <w:rsid w:val="00994DCA"/>
    <w:rsid w:val="009960EC"/>
    <w:rsid w:val="009970DD"/>
    <w:rsid w:val="009A0FBA"/>
    <w:rsid w:val="009A1601"/>
    <w:rsid w:val="009A462D"/>
    <w:rsid w:val="009A5CBA"/>
    <w:rsid w:val="009A6EB8"/>
    <w:rsid w:val="009B0ECF"/>
    <w:rsid w:val="009B1F30"/>
    <w:rsid w:val="009B3AC2"/>
    <w:rsid w:val="009B4DF4"/>
    <w:rsid w:val="009B564E"/>
    <w:rsid w:val="009B6548"/>
    <w:rsid w:val="009B7E87"/>
    <w:rsid w:val="009C403E"/>
    <w:rsid w:val="009D0FBE"/>
    <w:rsid w:val="009D4FF0"/>
    <w:rsid w:val="009D703C"/>
    <w:rsid w:val="009D718F"/>
    <w:rsid w:val="009E068F"/>
    <w:rsid w:val="009E14E0"/>
    <w:rsid w:val="009E35DB"/>
    <w:rsid w:val="009E3AA5"/>
    <w:rsid w:val="009E440A"/>
    <w:rsid w:val="009E47A3"/>
    <w:rsid w:val="009F08F3"/>
    <w:rsid w:val="009F204E"/>
    <w:rsid w:val="009F344F"/>
    <w:rsid w:val="009F6F6A"/>
    <w:rsid w:val="00A048A8"/>
    <w:rsid w:val="00A13E54"/>
    <w:rsid w:val="00A14200"/>
    <w:rsid w:val="00A1444F"/>
    <w:rsid w:val="00A14E8E"/>
    <w:rsid w:val="00A17C71"/>
    <w:rsid w:val="00A17F63"/>
    <w:rsid w:val="00A2193B"/>
    <w:rsid w:val="00A2351A"/>
    <w:rsid w:val="00A264A9"/>
    <w:rsid w:val="00A26BC8"/>
    <w:rsid w:val="00A26C7C"/>
    <w:rsid w:val="00A27785"/>
    <w:rsid w:val="00A30187"/>
    <w:rsid w:val="00A31262"/>
    <w:rsid w:val="00A3448A"/>
    <w:rsid w:val="00A36297"/>
    <w:rsid w:val="00A40342"/>
    <w:rsid w:val="00A41E2B"/>
    <w:rsid w:val="00A422BF"/>
    <w:rsid w:val="00A457AC"/>
    <w:rsid w:val="00A45B74"/>
    <w:rsid w:val="00A52E1D"/>
    <w:rsid w:val="00A60A62"/>
    <w:rsid w:val="00A61499"/>
    <w:rsid w:val="00A62A77"/>
    <w:rsid w:val="00A63483"/>
    <w:rsid w:val="00A657D7"/>
    <w:rsid w:val="00A660AC"/>
    <w:rsid w:val="00A67E6C"/>
    <w:rsid w:val="00A71B99"/>
    <w:rsid w:val="00A739D0"/>
    <w:rsid w:val="00A761D4"/>
    <w:rsid w:val="00A77EC4"/>
    <w:rsid w:val="00A811D8"/>
    <w:rsid w:val="00A916E9"/>
    <w:rsid w:val="00A92879"/>
    <w:rsid w:val="00A9442A"/>
    <w:rsid w:val="00AA016F"/>
    <w:rsid w:val="00AA1ED6"/>
    <w:rsid w:val="00AA51D6"/>
    <w:rsid w:val="00AA5FDA"/>
    <w:rsid w:val="00AB0BC8"/>
    <w:rsid w:val="00AB11CA"/>
    <w:rsid w:val="00AB14D9"/>
    <w:rsid w:val="00AB4AB8"/>
    <w:rsid w:val="00AB57B9"/>
    <w:rsid w:val="00AB655E"/>
    <w:rsid w:val="00AC007F"/>
    <w:rsid w:val="00AC144B"/>
    <w:rsid w:val="00AC1EEE"/>
    <w:rsid w:val="00AC2ECD"/>
    <w:rsid w:val="00AC3119"/>
    <w:rsid w:val="00AC49FB"/>
    <w:rsid w:val="00AC51C8"/>
    <w:rsid w:val="00AC5A10"/>
    <w:rsid w:val="00AD0546"/>
    <w:rsid w:val="00AD0AA3"/>
    <w:rsid w:val="00AD3F94"/>
    <w:rsid w:val="00AD4A5A"/>
    <w:rsid w:val="00AE1A7F"/>
    <w:rsid w:val="00AE27AC"/>
    <w:rsid w:val="00AE40E0"/>
    <w:rsid w:val="00AE4DBA"/>
    <w:rsid w:val="00AE4F07"/>
    <w:rsid w:val="00AE6885"/>
    <w:rsid w:val="00AF1AE6"/>
    <w:rsid w:val="00AF1C5D"/>
    <w:rsid w:val="00AF42D7"/>
    <w:rsid w:val="00B0004C"/>
    <w:rsid w:val="00B006FE"/>
    <w:rsid w:val="00B007CB"/>
    <w:rsid w:val="00B018FB"/>
    <w:rsid w:val="00B02AA9"/>
    <w:rsid w:val="00B02FA3"/>
    <w:rsid w:val="00B05084"/>
    <w:rsid w:val="00B157F9"/>
    <w:rsid w:val="00B16F8C"/>
    <w:rsid w:val="00B20256"/>
    <w:rsid w:val="00B20D09"/>
    <w:rsid w:val="00B24E33"/>
    <w:rsid w:val="00B2763F"/>
    <w:rsid w:val="00B27AAC"/>
    <w:rsid w:val="00B30929"/>
    <w:rsid w:val="00B34F7C"/>
    <w:rsid w:val="00B372AA"/>
    <w:rsid w:val="00B40445"/>
    <w:rsid w:val="00B41888"/>
    <w:rsid w:val="00B45A52"/>
    <w:rsid w:val="00B46175"/>
    <w:rsid w:val="00B47D37"/>
    <w:rsid w:val="00B5339D"/>
    <w:rsid w:val="00B57C69"/>
    <w:rsid w:val="00B61A02"/>
    <w:rsid w:val="00B664C7"/>
    <w:rsid w:val="00B6736F"/>
    <w:rsid w:val="00B739F6"/>
    <w:rsid w:val="00B81A6C"/>
    <w:rsid w:val="00B85DE5"/>
    <w:rsid w:val="00B90F73"/>
    <w:rsid w:val="00B936A8"/>
    <w:rsid w:val="00B93B59"/>
    <w:rsid w:val="00B9406A"/>
    <w:rsid w:val="00BA2280"/>
    <w:rsid w:val="00BA2A08"/>
    <w:rsid w:val="00BA56D2"/>
    <w:rsid w:val="00BA76E0"/>
    <w:rsid w:val="00BB2A25"/>
    <w:rsid w:val="00BB51E9"/>
    <w:rsid w:val="00BC0FDC"/>
    <w:rsid w:val="00BC3053"/>
    <w:rsid w:val="00BC4D2E"/>
    <w:rsid w:val="00BC588D"/>
    <w:rsid w:val="00BD48AC"/>
    <w:rsid w:val="00BD5F1A"/>
    <w:rsid w:val="00BD60A0"/>
    <w:rsid w:val="00BD6470"/>
    <w:rsid w:val="00BE1234"/>
    <w:rsid w:val="00BE2FA6"/>
    <w:rsid w:val="00BE333F"/>
    <w:rsid w:val="00BE7406"/>
    <w:rsid w:val="00BE7603"/>
    <w:rsid w:val="00BF3279"/>
    <w:rsid w:val="00BF74C7"/>
    <w:rsid w:val="00BF7652"/>
    <w:rsid w:val="00C015F1"/>
    <w:rsid w:val="00C01F33"/>
    <w:rsid w:val="00C02CC6"/>
    <w:rsid w:val="00C040F7"/>
    <w:rsid w:val="00C043EF"/>
    <w:rsid w:val="00C044AB"/>
    <w:rsid w:val="00C05706"/>
    <w:rsid w:val="00C07377"/>
    <w:rsid w:val="00C10478"/>
    <w:rsid w:val="00C11631"/>
    <w:rsid w:val="00C12107"/>
    <w:rsid w:val="00C14D4B"/>
    <w:rsid w:val="00C154BB"/>
    <w:rsid w:val="00C161F1"/>
    <w:rsid w:val="00C17491"/>
    <w:rsid w:val="00C2055C"/>
    <w:rsid w:val="00C21A21"/>
    <w:rsid w:val="00C279B5"/>
    <w:rsid w:val="00C27C45"/>
    <w:rsid w:val="00C3719D"/>
    <w:rsid w:val="00C54995"/>
    <w:rsid w:val="00C54D41"/>
    <w:rsid w:val="00C568CC"/>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B7CBD"/>
    <w:rsid w:val="00CB7CEA"/>
    <w:rsid w:val="00CC040E"/>
    <w:rsid w:val="00CC0982"/>
    <w:rsid w:val="00CC111F"/>
    <w:rsid w:val="00CC2011"/>
    <w:rsid w:val="00CC2675"/>
    <w:rsid w:val="00CC3EA0"/>
    <w:rsid w:val="00CC7B45"/>
    <w:rsid w:val="00CD1188"/>
    <w:rsid w:val="00CD2ED1"/>
    <w:rsid w:val="00CD337B"/>
    <w:rsid w:val="00CE021D"/>
    <w:rsid w:val="00CE7155"/>
    <w:rsid w:val="00CE7561"/>
    <w:rsid w:val="00CF1354"/>
    <w:rsid w:val="00CF3B1F"/>
    <w:rsid w:val="00CF3BF6"/>
    <w:rsid w:val="00CF5AE7"/>
    <w:rsid w:val="00CF625B"/>
    <w:rsid w:val="00CF687E"/>
    <w:rsid w:val="00D02BCD"/>
    <w:rsid w:val="00D0349B"/>
    <w:rsid w:val="00D10249"/>
    <w:rsid w:val="00D115C3"/>
    <w:rsid w:val="00D11897"/>
    <w:rsid w:val="00D13135"/>
    <w:rsid w:val="00D13E4E"/>
    <w:rsid w:val="00D239A7"/>
    <w:rsid w:val="00D23F47"/>
    <w:rsid w:val="00D25EF5"/>
    <w:rsid w:val="00D31EA9"/>
    <w:rsid w:val="00D36E71"/>
    <w:rsid w:val="00D37707"/>
    <w:rsid w:val="00D37D87"/>
    <w:rsid w:val="00D40B33"/>
    <w:rsid w:val="00D4318F"/>
    <w:rsid w:val="00D438BF"/>
    <w:rsid w:val="00D440F8"/>
    <w:rsid w:val="00D5037A"/>
    <w:rsid w:val="00D50943"/>
    <w:rsid w:val="00D51FBD"/>
    <w:rsid w:val="00D546FF"/>
    <w:rsid w:val="00D55AD5"/>
    <w:rsid w:val="00D561D2"/>
    <w:rsid w:val="00D576CA"/>
    <w:rsid w:val="00D57FAF"/>
    <w:rsid w:val="00D61AF5"/>
    <w:rsid w:val="00D64849"/>
    <w:rsid w:val="00D652B5"/>
    <w:rsid w:val="00D66155"/>
    <w:rsid w:val="00D708B0"/>
    <w:rsid w:val="00D77B1D"/>
    <w:rsid w:val="00D8021F"/>
    <w:rsid w:val="00D80383"/>
    <w:rsid w:val="00D80ABB"/>
    <w:rsid w:val="00D823C6"/>
    <w:rsid w:val="00D82685"/>
    <w:rsid w:val="00D86CA3"/>
    <w:rsid w:val="00D871CE"/>
    <w:rsid w:val="00D9196D"/>
    <w:rsid w:val="00D91FC5"/>
    <w:rsid w:val="00D92982"/>
    <w:rsid w:val="00DA305E"/>
    <w:rsid w:val="00DA5417"/>
    <w:rsid w:val="00DA56E8"/>
    <w:rsid w:val="00DB189B"/>
    <w:rsid w:val="00DB377D"/>
    <w:rsid w:val="00DB77A9"/>
    <w:rsid w:val="00DC2D36"/>
    <w:rsid w:val="00DC53EF"/>
    <w:rsid w:val="00DD33C7"/>
    <w:rsid w:val="00DD6F4D"/>
    <w:rsid w:val="00DE5608"/>
    <w:rsid w:val="00DE58D0"/>
    <w:rsid w:val="00DE654F"/>
    <w:rsid w:val="00DF095B"/>
    <w:rsid w:val="00DF0B6E"/>
    <w:rsid w:val="00DF15E0"/>
    <w:rsid w:val="00DF37A0"/>
    <w:rsid w:val="00DF7C66"/>
    <w:rsid w:val="00E10F92"/>
    <w:rsid w:val="00E110E7"/>
    <w:rsid w:val="00E11B20"/>
    <w:rsid w:val="00E136A8"/>
    <w:rsid w:val="00E17FA2"/>
    <w:rsid w:val="00E21768"/>
    <w:rsid w:val="00E22330"/>
    <w:rsid w:val="00E30842"/>
    <w:rsid w:val="00E30B5A"/>
    <w:rsid w:val="00E3123D"/>
    <w:rsid w:val="00E31461"/>
    <w:rsid w:val="00E31D43"/>
    <w:rsid w:val="00E32608"/>
    <w:rsid w:val="00E34188"/>
    <w:rsid w:val="00E341FD"/>
    <w:rsid w:val="00E34B6E"/>
    <w:rsid w:val="00E35559"/>
    <w:rsid w:val="00E3723A"/>
    <w:rsid w:val="00E37860"/>
    <w:rsid w:val="00E446F1"/>
    <w:rsid w:val="00E46886"/>
    <w:rsid w:val="00E47AEF"/>
    <w:rsid w:val="00E50715"/>
    <w:rsid w:val="00E53B75"/>
    <w:rsid w:val="00E54E3B"/>
    <w:rsid w:val="00E57565"/>
    <w:rsid w:val="00E63838"/>
    <w:rsid w:val="00E64434"/>
    <w:rsid w:val="00E67C51"/>
    <w:rsid w:val="00E72168"/>
    <w:rsid w:val="00E72EFC"/>
    <w:rsid w:val="00E758EC"/>
    <w:rsid w:val="00E75A0D"/>
    <w:rsid w:val="00E8234C"/>
    <w:rsid w:val="00E83AA9"/>
    <w:rsid w:val="00E85928"/>
    <w:rsid w:val="00E87822"/>
    <w:rsid w:val="00E90395"/>
    <w:rsid w:val="00E90E49"/>
    <w:rsid w:val="00E917F9"/>
    <w:rsid w:val="00E9263B"/>
    <w:rsid w:val="00E9291C"/>
    <w:rsid w:val="00E93FFE"/>
    <w:rsid w:val="00E94F8A"/>
    <w:rsid w:val="00E963C8"/>
    <w:rsid w:val="00EA2B2F"/>
    <w:rsid w:val="00EA2CE5"/>
    <w:rsid w:val="00EA7A41"/>
    <w:rsid w:val="00EB077B"/>
    <w:rsid w:val="00EB2973"/>
    <w:rsid w:val="00EB4EA2"/>
    <w:rsid w:val="00EB57F9"/>
    <w:rsid w:val="00EC27C6"/>
    <w:rsid w:val="00EC4207"/>
    <w:rsid w:val="00EC5653"/>
    <w:rsid w:val="00EC71CE"/>
    <w:rsid w:val="00ED1006"/>
    <w:rsid w:val="00EF109C"/>
    <w:rsid w:val="00EF18FE"/>
    <w:rsid w:val="00EF5787"/>
    <w:rsid w:val="00EF60D0"/>
    <w:rsid w:val="00EF634E"/>
    <w:rsid w:val="00EF75E3"/>
    <w:rsid w:val="00F0528D"/>
    <w:rsid w:val="00F06C67"/>
    <w:rsid w:val="00F06DFD"/>
    <w:rsid w:val="00F071D1"/>
    <w:rsid w:val="00F07533"/>
    <w:rsid w:val="00F10629"/>
    <w:rsid w:val="00F15FA5"/>
    <w:rsid w:val="00F209B7"/>
    <w:rsid w:val="00F20A4E"/>
    <w:rsid w:val="00F2376F"/>
    <w:rsid w:val="00F243D8"/>
    <w:rsid w:val="00F303F8"/>
    <w:rsid w:val="00F30828"/>
    <w:rsid w:val="00F313D6"/>
    <w:rsid w:val="00F31511"/>
    <w:rsid w:val="00F324F8"/>
    <w:rsid w:val="00F328F1"/>
    <w:rsid w:val="00F40F0C"/>
    <w:rsid w:val="00F4766C"/>
    <w:rsid w:val="00F476E7"/>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06F"/>
    <w:rsid w:val="00F804BE"/>
    <w:rsid w:val="00F817CE"/>
    <w:rsid w:val="00F8456C"/>
    <w:rsid w:val="00F859D8"/>
    <w:rsid w:val="00F868F5"/>
    <w:rsid w:val="00F9056A"/>
    <w:rsid w:val="00F90F8D"/>
    <w:rsid w:val="00F92782"/>
    <w:rsid w:val="00F92CD7"/>
    <w:rsid w:val="00F93AA9"/>
    <w:rsid w:val="00F96985"/>
    <w:rsid w:val="00F97838"/>
    <w:rsid w:val="00FA2BB3"/>
    <w:rsid w:val="00FB4C80"/>
    <w:rsid w:val="00FB6A6A"/>
    <w:rsid w:val="00FC4053"/>
    <w:rsid w:val="00FC72DE"/>
    <w:rsid w:val="00FC7429"/>
    <w:rsid w:val="00FD07F6"/>
    <w:rsid w:val="00FD1EC8"/>
    <w:rsid w:val="00FD3C39"/>
    <w:rsid w:val="00FD47ED"/>
    <w:rsid w:val="00FD74DB"/>
    <w:rsid w:val="00FD7660"/>
    <w:rsid w:val="00FE0655"/>
    <w:rsid w:val="00FE2365"/>
    <w:rsid w:val="00FE4C7B"/>
    <w:rsid w:val="00FE7336"/>
    <w:rsid w:val="00FE787C"/>
    <w:rsid w:val="00FF45A5"/>
    <w:rsid w:val="00FF5217"/>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1CE1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F9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10F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10F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10F92"/>
    <w:pPr>
      <w:numPr>
        <w:ilvl w:val="2"/>
      </w:numPr>
      <w:spacing w:before="120"/>
      <w:outlineLvl w:val="2"/>
    </w:pPr>
    <w:rPr>
      <w:sz w:val="28"/>
      <w:szCs w:val="28"/>
    </w:rPr>
  </w:style>
  <w:style w:type="paragraph" w:styleId="Heading4">
    <w:name w:val="heading 4"/>
    <w:basedOn w:val="Heading3"/>
    <w:next w:val="Normal"/>
    <w:qFormat/>
    <w:rsid w:val="00E10F92"/>
    <w:pPr>
      <w:numPr>
        <w:ilvl w:val="3"/>
      </w:numPr>
      <w:outlineLvl w:val="3"/>
    </w:pPr>
    <w:rPr>
      <w:sz w:val="24"/>
      <w:szCs w:val="24"/>
    </w:rPr>
  </w:style>
  <w:style w:type="paragraph" w:styleId="Heading5">
    <w:name w:val="heading 5"/>
    <w:basedOn w:val="Heading4"/>
    <w:next w:val="Normal"/>
    <w:qFormat/>
    <w:rsid w:val="00E10F92"/>
    <w:pPr>
      <w:numPr>
        <w:ilvl w:val="4"/>
      </w:numPr>
      <w:outlineLvl w:val="4"/>
    </w:pPr>
    <w:rPr>
      <w:sz w:val="22"/>
      <w:szCs w:val="22"/>
    </w:rPr>
  </w:style>
  <w:style w:type="paragraph" w:styleId="Heading6">
    <w:name w:val="heading 6"/>
    <w:basedOn w:val="Normal"/>
    <w:next w:val="Normal"/>
    <w:qFormat/>
    <w:rsid w:val="00E10F92"/>
    <w:pPr>
      <w:keepNext/>
      <w:keepLines/>
      <w:numPr>
        <w:ilvl w:val="5"/>
        <w:numId w:val="1"/>
      </w:numPr>
      <w:spacing w:before="120"/>
      <w:outlineLvl w:val="5"/>
    </w:pPr>
    <w:rPr>
      <w:rFonts w:cs="Arial"/>
    </w:rPr>
  </w:style>
  <w:style w:type="paragraph" w:styleId="Heading7">
    <w:name w:val="heading 7"/>
    <w:basedOn w:val="Normal"/>
    <w:next w:val="Normal"/>
    <w:qFormat/>
    <w:rsid w:val="00E10F92"/>
    <w:pPr>
      <w:keepNext/>
      <w:keepLines/>
      <w:numPr>
        <w:ilvl w:val="6"/>
        <w:numId w:val="1"/>
      </w:numPr>
      <w:spacing w:before="120"/>
      <w:outlineLvl w:val="6"/>
    </w:pPr>
    <w:rPr>
      <w:rFonts w:cs="Arial"/>
    </w:rPr>
  </w:style>
  <w:style w:type="paragraph" w:styleId="Heading8">
    <w:name w:val="heading 8"/>
    <w:basedOn w:val="Heading7"/>
    <w:next w:val="Normal"/>
    <w:qFormat/>
    <w:rsid w:val="00E10F92"/>
    <w:pPr>
      <w:numPr>
        <w:ilvl w:val="7"/>
      </w:numPr>
      <w:outlineLvl w:val="7"/>
    </w:pPr>
  </w:style>
  <w:style w:type="paragraph" w:styleId="Heading9">
    <w:name w:val="heading 9"/>
    <w:basedOn w:val="Heading8"/>
    <w:next w:val="Normal"/>
    <w:qFormat/>
    <w:rsid w:val="00E10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0F92"/>
    <w:pPr>
      <w:spacing w:before="180"/>
      <w:ind w:left="2693" w:hanging="2693"/>
    </w:pPr>
    <w:rPr>
      <w:b/>
      <w:bCs/>
    </w:rPr>
  </w:style>
  <w:style w:type="paragraph" w:styleId="TOC1">
    <w:name w:val="toc 1"/>
    <w:semiHidden/>
    <w:rsid w:val="00E10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E10F92"/>
    <w:pPr>
      <w:keepNext/>
      <w:keepLines/>
      <w:spacing w:before="180"/>
      <w:jc w:val="center"/>
    </w:pPr>
  </w:style>
  <w:style w:type="paragraph" w:styleId="Caption">
    <w:name w:val="caption"/>
    <w:basedOn w:val="Normal"/>
    <w:next w:val="Normal"/>
    <w:qFormat/>
    <w:rsid w:val="00E10F92"/>
    <w:pPr>
      <w:spacing w:after="240"/>
      <w:jc w:val="center"/>
    </w:pPr>
    <w:rPr>
      <w:b/>
      <w:bCs/>
    </w:rPr>
  </w:style>
  <w:style w:type="paragraph" w:styleId="TOC5">
    <w:name w:val="toc 5"/>
    <w:basedOn w:val="TOC4"/>
    <w:semiHidden/>
    <w:rsid w:val="00E10F92"/>
    <w:pPr>
      <w:ind w:left="1701" w:hanging="1701"/>
    </w:pPr>
  </w:style>
  <w:style w:type="paragraph" w:styleId="TOC4">
    <w:name w:val="toc 4"/>
    <w:basedOn w:val="TOC3"/>
    <w:semiHidden/>
    <w:rsid w:val="00E10F92"/>
    <w:pPr>
      <w:ind w:left="1418" w:hanging="1418"/>
    </w:pPr>
  </w:style>
  <w:style w:type="paragraph" w:styleId="TOC3">
    <w:name w:val="toc 3"/>
    <w:basedOn w:val="TOC2"/>
    <w:semiHidden/>
    <w:rsid w:val="00E10F92"/>
    <w:pPr>
      <w:ind w:left="1134" w:hanging="1134"/>
    </w:pPr>
  </w:style>
  <w:style w:type="paragraph" w:styleId="TOC2">
    <w:name w:val="toc 2"/>
    <w:basedOn w:val="TOC1"/>
    <w:semiHidden/>
    <w:rsid w:val="00E10F92"/>
    <w:pPr>
      <w:keepNext w:val="0"/>
      <w:spacing w:before="0"/>
      <w:ind w:left="851" w:hanging="851"/>
    </w:pPr>
    <w:rPr>
      <w:sz w:val="20"/>
      <w:szCs w:val="20"/>
    </w:rPr>
  </w:style>
  <w:style w:type="paragraph" w:styleId="Index2">
    <w:name w:val="index 2"/>
    <w:basedOn w:val="Index1"/>
    <w:semiHidden/>
    <w:rsid w:val="00E10F92"/>
    <w:pPr>
      <w:ind w:left="284"/>
    </w:pPr>
  </w:style>
  <w:style w:type="paragraph" w:styleId="Index1">
    <w:name w:val="index 1"/>
    <w:basedOn w:val="Normal"/>
    <w:semiHidden/>
    <w:rsid w:val="00E10F92"/>
    <w:pPr>
      <w:keepLines/>
      <w:spacing w:after="0"/>
    </w:pPr>
  </w:style>
  <w:style w:type="paragraph" w:styleId="DocumentMap">
    <w:name w:val="Document Map"/>
    <w:basedOn w:val="Normal"/>
    <w:semiHidden/>
    <w:rsid w:val="00E10F92"/>
    <w:pPr>
      <w:shd w:val="clear" w:color="auto" w:fill="000080"/>
    </w:pPr>
    <w:rPr>
      <w:rFonts w:ascii="Tahoma" w:hAnsi="Tahoma" w:cs="Tahoma"/>
    </w:rPr>
  </w:style>
  <w:style w:type="paragraph" w:styleId="ListNumber2">
    <w:name w:val="List Number 2"/>
    <w:basedOn w:val="ListNumber"/>
    <w:rsid w:val="00E10F92"/>
    <w:pPr>
      <w:ind w:left="851"/>
    </w:pPr>
  </w:style>
  <w:style w:type="paragraph" w:styleId="ListNumber">
    <w:name w:val="List Number"/>
    <w:basedOn w:val="List"/>
    <w:rsid w:val="00E10F92"/>
  </w:style>
  <w:style w:type="paragraph" w:styleId="List">
    <w:name w:val="List"/>
    <w:basedOn w:val="Normal"/>
    <w:rsid w:val="00E10F92"/>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10F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10F92"/>
    <w:rPr>
      <w:b/>
      <w:bCs/>
      <w:position w:val="6"/>
      <w:sz w:val="16"/>
      <w:szCs w:val="16"/>
    </w:rPr>
  </w:style>
  <w:style w:type="paragraph" w:styleId="FootnoteText">
    <w:name w:val="footnote text"/>
    <w:basedOn w:val="Normal"/>
    <w:semiHidden/>
    <w:rsid w:val="00E10F92"/>
    <w:pPr>
      <w:keepLines/>
      <w:spacing w:after="0"/>
      <w:ind w:left="454" w:hanging="454"/>
    </w:pPr>
    <w:rPr>
      <w:sz w:val="16"/>
      <w:szCs w:val="16"/>
    </w:rPr>
  </w:style>
  <w:style w:type="paragraph" w:customStyle="1" w:styleId="3GPPHeader">
    <w:name w:val="3GPP_Header"/>
    <w:basedOn w:val="Normal"/>
    <w:rsid w:val="00E10F92"/>
    <w:pPr>
      <w:tabs>
        <w:tab w:val="left" w:pos="1701"/>
        <w:tab w:val="right" w:pos="9639"/>
      </w:tabs>
      <w:spacing w:after="240"/>
    </w:pPr>
    <w:rPr>
      <w:b/>
      <w:sz w:val="24"/>
    </w:rPr>
  </w:style>
  <w:style w:type="paragraph" w:styleId="TOC9">
    <w:name w:val="toc 9"/>
    <w:basedOn w:val="TOC8"/>
    <w:semiHidden/>
    <w:rsid w:val="00E10F92"/>
    <w:pPr>
      <w:ind w:left="1418" w:hanging="1418"/>
    </w:pPr>
  </w:style>
  <w:style w:type="paragraph" w:styleId="TOC6">
    <w:name w:val="toc 6"/>
    <w:basedOn w:val="TOC5"/>
    <w:next w:val="Normal"/>
    <w:semiHidden/>
    <w:rsid w:val="00E10F92"/>
    <w:pPr>
      <w:ind w:left="1985" w:hanging="1985"/>
    </w:pPr>
  </w:style>
  <w:style w:type="paragraph" w:styleId="TOC7">
    <w:name w:val="toc 7"/>
    <w:basedOn w:val="TOC6"/>
    <w:next w:val="Normal"/>
    <w:semiHidden/>
    <w:rsid w:val="00E10F92"/>
    <w:pPr>
      <w:ind w:left="2268" w:hanging="2268"/>
    </w:pPr>
  </w:style>
  <w:style w:type="paragraph" w:styleId="ListBullet2">
    <w:name w:val="List Bullet 2"/>
    <w:basedOn w:val="ListBullet"/>
    <w:rsid w:val="00E10F92"/>
    <w:pPr>
      <w:numPr>
        <w:numId w:val="6"/>
      </w:numPr>
    </w:pPr>
  </w:style>
  <w:style w:type="paragraph" w:styleId="ListBullet">
    <w:name w:val="List Bullet"/>
    <w:basedOn w:val="BodyText"/>
    <w:rsid w:val="00E10F92"/>
    <w:pPr>
      <w:numPr>
        <w:numId w:val="5"/>
      </w:numPr>
    </w:pPr>
  </w:style>
  <w:style w:type="paragraph" w:styleId="ListBullet3">
    <w:name w:val="List Bullet 3"/>
    <w:basedOn w:val="ListBullet2"/>
    <w:rsid w:val="00E10F92"/>
    <w:pPr>
      <w:numPr>
        <w:numId w:val="7"/>
      </w:numPr>
    </w:pPr>
  </w:style>
  <w:style w:type="paragraph" w:customStyle="1" w:styleId="EQ">
    <w:name w:val="EQ"/>
    <w:basedOn w:val="Normal"/>
    <w:next w:val="Normal"/>
    <w:rsid w:val="00E10F92"/>
    <w:pPr>
      <w:keepLines/>
      <w:tabs>
        <w:tab w:val="center" w:pos="4536"/>
        <w:tab w:val="right" w:pos="9072"/>
      </w:tabs>
      <w:spacing w:after="180"/>
      <w:jc w:val="left"/>
    </w:pPr>
    <w:rPr>
      <w:noProof/>
      <w:lang w:eastAsia="en-US"/>
    </w:rPr>
  </w:style>
  <w:style w:type="paragraph" w:styleId="List2">
    <w:name w:val="List 2"/>
    <w:basedOn w:val="List"/>
    <w:rsid w:val="00E10F92"/>
    <w:pPr>
      <w:ind w:left="851"/>
    </w:pPr>
  </w:style>
  <w:style w:type="paragraph" w:styleId="List3">
    <w:name w:val="List 3"/>
    <w:basedOn w:val="List2"/>
    <w:rsid w:val="00E10F92"/>
    <w:pPr>
      <w:ind w:left="1135"/>
    </w:pPr>
  </w:style>
  <w:style w:type="paragraph" w:styleId="List4">
    <w:name w:val="List 4"/>
    <w:basedOn w:val="List3"/>
    <w:rsid w:val="00E10F92"/>
    <w:pPr>
      <w:ind w:left="1418"/>
    </w:pPr>
  </w:style>
  <w:style w:type="paragraph" w:styleId="List5">
    <w:name w:val="List 5"/>
    <w:basedOn w:val="List4"/>
    <w:rsid w:val="00E10F92"/>
    <w:pPr>
      <w:ind w:left="1702"/>
    </w:pPr>
  </w:style>
  <w:style w:type="paragraph" w:customStyle="1" w:styleId="EditorsNote">
    <w:name w:val="Editor's Note"/>
    <w:basedOn w:val="Normal"/>
    <w:rsid w:val="00E10F92"/>
    <w:pPr>
      <w:keepLines/>
      <w:spacing w:after="180"/>
      <w:ind w:left="1135" w:hanging="851"/>
      <w:jc w:val="left"/>
    </w:pPr>
    <w:rPr>
      <w:color w:val="FF0000"/>
      <w:lang w:eastAsia="en-US"/>
    </w:rPr>
  </w:style>
  <w:style w:type="paragraph" w:styleId="ListBullet4">
    <w:name w:val="List Bullet 4"/>
    <w:basedOn w:val="ListBullet3"/>
    <w:rsid w:val="00E10F92"/>
    <w:pPr>
      <w:numPr>
        <w:numId w:val="8"/>
      </w:numPr>
    </w:pPr>
  </w:style>
  <w:style w:type="paragraph" w:styleId="ListBullet5">
    <w:name w:val="List Bullet 5"/>
    <w:basedOn w:val="ListBullet4"/>
    <w:rsid w:val="00E10F92"/>
    <w:pPr>
      <w:numPr>
        <w:numId w:val="4"/>
      </w:numPr>
    </w:pPr>
  </w:style>
  <w:style w:type="paragraph" w:styleId="Footer">
    <w:name w:val="footer"/>
    <w:basedOn w:val="Header"/>
    <w:semiHidden/>
    <w:rsid w:val="00E10F92"/>
    <w:pPr>
      <w:jc w:val="center"/>
    </w:pPr>
    <w:rPr>
      <w:i/>
      <w:iCs/>
    </w:rPr>
  </w:style>
  <w:style w:type="paragraph" w:customStyle="1" w:styleId="Reference">
    <w:name w:val="Reference"/>
    <w:basedOn w:val="Normal"/>
    <w:rsid w:val="00E10F92"/>
    <w:pPr>
      <w:numPr>
        <w:numId w:val="2"/>
      </w:numPr>
    </w:pPr>
  </w:style>
  <w:style w:type="paragraph" w:styleId="BalloonText">
    <w:name w:val="Balloon Text"/>
    <w:basedOn w:val="Normal"/>
    <w:semiHidden/>
    <w:rsid w:val="00E10F92"/>
    <w:rPr>
      <w:rFonts w:ascii="Tahoma" w:hAnsi="Tahoma" w:cs="Tahoma"/>
      <w:sz w:val="16"/>
      <w:szCs w:val="16"/>
    </w:rPr>
  </w:style>
  <w:style w:type="character" w:styleId="PageNumber">
    <w:name w:val="page number"/>
    <w:semiHidden/>
    <w:rsid w:val="00E10F92"/>
  </w:style>
  <w:style w:type="paragraph" w:styleId="BodyText">
    <w:name w:val="Body Text"/>
    <w:basedOn w:val="Normal"/>
    <w:link w:val="BodyTextChar"/>
    <w:rsid w:val="00E10F92"/>
  </w:style>
  <w:style w:type="character" w:styleId="Hyperlink">
    <w:name w:val="Hyperlink"/>
    <w:rsid w:val="00E10F92"/>
    <w:rPr>
      <w:color w:val="0000FF"/>
      <w:u w:val="single"/>
    </w:rPr>
  </w:style>
  <w:style w:type="character" w:styleId="FollowedHyperlink">
    <w:name w:val="FollowedHyperlink"/>
    <w:semiHidden/>
    <w:rsid w:val="00E10F92"/>
    <w:rPr>
      <w:color w:val="FF0000"/>
      <w:u w:val="single"/>
    </w:rPr>
  </w:style>
  <w:style w:type="character" w:styleId="CommentReference">
    <w:name w:val="annotation reference"/>
    <w:uiPriority w:val="99"/>
    <w:semiHidden/>
    <w:rsid w:val="00E10F92"/>
    <w:rPr>
      <w:sz w:val="16"/>
      <w:szCs w:val="16"/>
    </w:rPr>
  </w:style>
  <w:style w:type="paragraph" w:styleId="CommentText">
    <w:name w:val="annotation text"/>
    <w:basedOn w:val="Normal"/>
    <w:link w:val="CommentTextChar"/>
    <w:uiPriority w:val="99"/>
    <w:semiHidden/>
    <w:rsid w:val="00E10F92"/>
  </w:style>
  <w:style w:type="paragraph" w:styleId="CommentSubject">
    <w:name w:val="annotation subject"/>
    <w:basedOn w:val="CommentText"/>
    <w:next w:val="CommentText"/>
    <w:semiHidden/>
    <w:rsid w:val="00E10F92"/>
    <w:rPr>
      <w:b/>
      <w:bCs/>
    </w:rPr>
  </w:style>
  <w:style w:type="character" w:customStyle="1" w:styleId="Heading1Char">
    <w:name w:val="Heading 1 Char"/>
    <w:link w:val="Heading1"/>
    <w:rsid w:val="00E10F92"/>
    <w:rPr>
      <w:rFonts w:ascii="Arial" w:hAnsi="Arial" w:cs="Arial"/>
      <w:sz w:val="36"/>
      <w:szCs w:val="36"/>
      <w:lang w:val="en-GB" w:eastAsia="zh-CN"/>
    </w:rPr>
  </w:style>
  <w:style w:type="paragraph" w:customStyle="1" w:styleId="B1">
    <w:name w:val="B1"/>
    <w:basedOn w:val="List"/>
    <w:rsid w:val="00E10F92"/>
    <w:pPr>
      <w:spacing w:after="180"/>
      <w:jc w:val="left"/>
    </w:pPr>
    <w:rPr>
      <w:lang w:eastAsia="en-US"/>
    </w:rPr>
  </w:style>
  <w:style w:type="paragraph" w:customStyle="1" w:styleId="B2">
    <w:name w:val="B2"/>
    <w:basedOn w:val="List2"/>
    <w:rsid w:val="00E10F92"/>
    <w:pPr>
      <w:spacing w:after="180"/>
      <w:jc w:val="left"/>
    </w:pPr>
    <w:rPr>
      <w:lang w:eastAsia="en-US"/>
    </w:rPr>
  </w:style>
  <w:style w:type="paragraph" w:customStyle="1" w:styleId="B3">
    <w:name w:val="B3"/>
    <w:basedOn w:val="List3"/>
    <w:rsid w:val="00E10F92"/>
    <w:pPr>
      <w:spacing w:after="180"/>
      <w:jc w:val="left"/>
    </w:pPr>
    <w:rPr>
      <w:lang w:eastAsia="en-US"/>
    </w:rPr>
  </w:style>
  <w:style w:type="paragraph" w:customStyle="1" w:styleId="B4">
    <w:name w:val="B4"/>
    <w:basedOn w:val="List4"/>
    <w:rsid w:val="00E10F92"/>
    <w:pPr>
      <w:spacing w:after="180"/>
      <w:jc w:val="left"/>
    </w:pPr>
    <w:rPr>
      <w:lang w:eastAsia="en-US"/>
    </w:rPr>
  </w:style>
  <w:style w:type="paragraph" w:customStyle="1" w:styleId="Proposal">
    <w:name w:val="Proposal"/>
    <w:basedOn w:val="Normal"/>
    <w:rsid w:val="00E10F92"/>
    <w:pPr>
      <w:numPr>
        <w:numId w:val="3"/>
      </w:numPr>
    </w:pPr>
    <w:rPr>
      <w:b/>
      <w:bCs/>
      <w:lang w:val="en-US"/>
    </w:rPr>
  </w:style>
  <w:style w:type="character" w:customStyle="1" w:styleId="BodyTextChar">
    <w:name w:val="Body Text Char"/>
    <w:link w:val="BodyText"/>
    <w:rsid w:val="00E10F92"/>
    <w:rPr>
      <w:rFonts w:ascii="Arial" w:hAnsi="Arial"/>
      <w:lang w:val="en-GB" w:eastAsia="zh-CN"/>
    </w:rPr>
  </w:style>
  <w:style w:type="paragraph" w:customStyle="1" w:styleId="B5">
    <w:name w:val="B5"/>
    <w:basedOn w:val="List5"/>
    <w:rsid w:val="00E10F92"/>
    <w:pPr>
      <w:spacing w:after="180"/>
      <w:jc w:val="left"/>
    </w:pPr>
    <w:rPr>
      <w:lang w:eastAsia="en-US"/>
    </w:rPr>
  </w:style>
  <w:style w:type="paragraph" w:customStyle="1" w:styleId="EX">
    <w:name w:val="EX"/>
    <w:basedOn w:val="Normal"/>
    <w:rsid w:val="00E10F92"/>
    <w:pPr>
      <w:keepLines/>
      <w:spacing w:after="180"/>
      <w:ind w:left="1702" w:hanging="1418"/>
      <w:jc w:val="left"/>
    </w:pPr>
    <w:rPr>
      <w:lang w:eastAsia="en-US"/>
    </w:rPr>
  </w:style>
  <w:style w:type="paragraph" w:customStyle="1" w:styleId="EW">
    <w:name w:val="EW"/>
    <w:basedOn w:val="EX"/>
    <w:rsid w:val="00E10F92"/>
    <w:pPr>
      <w:spacing w:after="0"/>
    </w:pPr>
  </w:style>
  <w:style w:type="paragraph" w:customStyle="1" w:styleId="TAL">
    <w:name w:val="TAL"/>
    <w:basedOn w:val="Normal"/>
    <w:link w:val="TALCar"/>
    <w:rsid w:val="00E10F92"/>
    <w:pPr>
      <w:keepNext/>
      <w:keepLines/>
      <w:spacing w:after="0"/>
      <w:jc w:val="left"/>
    </w:pPr>
    <w:rPr>
      <w:sz w:val="18"/>
      <w:lang w:eastAsia="en-US"/>
    </w:rPr>
  </w:style>
  <w:style w:type="paragraph" w:customStyle="1" w:styleId="TAC">
    <w:name w:val="TAC"/>
    <w:basedOn w:val="TAL"/>
    <w:rsid w:val="00E10F92"/>
    <w:pPr>
      <w:jc w:val="center"/>
    </w:pPr>
  </w:style>
  <w:style w:type="paragraph" w:customStyle="1" w:styleId="TAH">
    <w:name w:val="TAH"/>
    <w:basedOn w:val="TAC"/>
    <w:link w:val="TAHCar"/>
    <w:rsid w:val="00E10F92"/>
    <w:rPr>
      <w:b/>
    </w:rPr>
  </w:style>
  <w:style w:type="paragraph" w:customStyle="1" w:styleId="TAN">
    <w:name w:val="TAN"/>
    <w:basedOn w:val="TAL"/>
    <w:rsid w:val="00E10F92"/>
    <w:pPr>
      <w:ind w:left="851" w:hanging="851"/>
    </w:pPr>
  </w:style>
  <w:style w:type="paragraph" w:customStyle="1" w:styleId="TAR">
    <w:name w:val="TAR"/>
    <w:basedOn w:val="TAL"/>
    <w:rsid w:val="00E10F92"/>
    <w:pPr>
      <w:jc w:val="right"/>
    </w:pPr>
  </w:style>
  <w:style w:type="paragraph" w:customStyle="1" w:styleId="TH">
    <w:name w:val="TH"/>
    <w:basedOn w:val="Normal"/>
    <w:rsid w:val="00E10F92"/>
    <w:pPr>
      <w:keepNext/>
      <w:keepLines/>
      <w:spacing w:before="60" w:after="180"/>
      <w:jc w:val="center"/>
    </w:pPr>
    <w:rPr>
      <w:b/>
      <w:lang w:eastAsia="en-US"/>
    </w:rPr>
  </w:style>
  <w:style w:type="paragraph" w:customStyle="1" w:styleId="TF">
    <w:name w:val="TF"/>
    <w:basedOn w:val="TH"/>
    <w:rsid w:val="00E10F92"/>
    <w:pPr>
      <w:keepNext w:val="0"/>
      <w:spacing w:before="0" w:after="240"/>
    </w:pPr>
  </w:style>
  <w:style w:type="paragraph" w:customStyle="1" w:styleId="TT">
    <w:name w:val="TT"/>
    <w:basedOn w:val="Heading1"/>
    <w:next w:val="Normal"/>
    <w:rsid w:val="00E10F92"/>
    <w:pPr>
      <w:numPr>
        <w:numId w:val="0"/>
      </w:numPr>
      <w:ind w:left="1134" w:hanging="1134"/>
      <w:outlineLvl w:val="9"/>
    </w:pPr>
    <w:rPr>
      <w:rFonts w:cs="Times New Roman"/>
      <w:szCs w:val="20"/>
      <w:lang w:eastAsia="en-US"/>
    </w:rPr>
  </w:style>
  <w:style w:type="paragraph" w:customStyle="1" w:styleId="ZA">
    <w:name w:val="ZA"/>
    <w:rsid w:val="00E10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0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0F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10F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10F92"/>
  </w:style>
  <w:style w:type="paragraph" w:customStyle="1" w:styleId="ZH">
    <w:name w:val="ZH"/>
    <w:rsid w:val="00E10F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10F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10F92"/>
    <w:pPr>
      <w:framePr w:hRule="auto" w:wrap="notBeside" w:y="852"/>
    </w:pPr>
    <w:rPr>
      <w:i w:val="0"/>
      <w:sz w:val="40"/>
    </w:rPr>
  </w:style>
  <w:style w:type="paragraph" w:customStyle="1" w:styleId="ZU">
    <w:name w:val="ZU"/>
    <w:rsid w:val="00E10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0F92"/>
    <w:pPr>
      <w:framePr w:wrap="notBeside" w:y="16161"/>
    </w:pPr>
  </w:style>
  <w:style w:type="paragraph" w:customStyle="1" w:styleId="FP">
    <w:name w:val="FP"/>
    <w:basedOn w:val="Normal"/>
    <w:rsid w:val="00E10F92"/>
    <w:pPr>
      <w:spacing w:after="0"/>
      <w:jc w:val="left"/>
    </w:pPr>
    <w:rPr>
      <w:lang w:eastAsia="en-US"/>
    </w:rPr>
  </w:style>
  <w:style w:type="paragraph" w:customStyle="1" w:styleId="Doc-text2">
    <w:name w:val="Doc-text2"/>
    <w:basedOn w:val="Normal"/>
    <w:link w:val="Doc-text2Char"/>
    <w:qFormat/>
    <w:rsid w:val="00176171"/>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TableofFigures">
    <w:name w:val="table of figures"/>
    <w:basedOn w:val="Normal"/>
    <w:next w:val="Normal"/>
    <w:semiHidden/>
    <w:rsid w:val="00E10F92"/>
    <w:pPr>
      <w:ind w:left="1418" w:hanging="1418"/>
      <w:jc w:val="left"/>
    </w:pPr>
    <w:rPr>
      <w:b/>
    </w:rPr>
  </w:style>
  <w:style w:type="character" w:customStyle="1" w:styleId="Doc-text2Char">
    <w:name w:val="Doc-text2 Char"/>
    <w:link w:val="Doc-text2"/>
    <w:rsid w:val="00176171"/>
    <w:rPr>
      <w:rFonts w:ascii="Arial" w:eastAsia="MS Mincho" w:hAnsi="Arial"/>
      <w:szCs w:val="24"/>
      <w:lang w:val="en-GB" w:eastAsia="en-GB"/>
    </w:rPr>
  </w:style>
  <w:style w:type="paragraph" w:customStyle="1" w:styleId="Doc-title">
    <w:name w:val="Doc-title"/>
    <w:basedOn w:val="Normal"/>
    <w:next w:val="Doc-text2"/>
    <w:link w:val="Doc-titleChar"/>
    <w:qFormat/>
    <w:rsid w:val="00176171"/>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176171"/>
    <w:rPr>
      <w:rFonts w:ascii="Arial" w:eastAsia="MS Mincho" w:hAnsi="Arial"/>
      <w:szCs w:val="24"/>
      <w:lang w:val="en-GB" w:eastAsia="en-GB"/>
    </w:rPr>
  </w:style>
  <w:style w:type="character" w:customStyle="1" w:styleId="CommentTextChar">
    <w:name w:val="Comment Text Char"/>
    <w:link w:val="CommentText"/>
    <w:uiPriority w:val="99"/>
    <w:semiHidden/>
    <w:rsid w:val="009409E1"/>
    <w:rPr>
      <w:rFonts w:ascii="Arial" w:hAnsi="Arial"/>
      <w:lang w:val="en-GB" w:eastAsia="zh-CN"/>
    </w:rPr>
  </w:style>
  <w:style w:type="table" w:styleId="TableGrid">
    <w:name w:val="Table Grid"/>
    <w:basedOn w:val="TableNormal"/>
    <w:rsid w:val="00E34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650E03"/>
    <w:rPr>
      <w:rFonts w:ascii="Arial" w:hAnsi="Arial"/>
      <w:sz w:val="18"/>
      <w:lang w:val="en-GB"/>
    </w:rPr>
  </w:style>
  <w:style w:type="character" w:customStyle="1" w:styleId="TAHCar">
    <w:name w:val="TAH Car"/>
    <w:link w:val="TAH"/>
    <w:rsid w:val="00650E03"/>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1D8"/>
    <w:rPr>
      <w:rFonts w:ascii="Arial" w:hAnsi="Arial" w:cs="Arial"/>
      <w:b/>
      <w:bCs/>
      <w:noProof/>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F9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10F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10F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10F92"/>
    <w:pPr>
      <w:numPr>
        <w:ilvl w:val="2"/>
      </w:numPr>
      <w:spacing w:before="120"/>
      <w:outlineLvl w:val="2"/>
    </w:pPr>
    <w:rPr>
      <w:sz w:val="28"/>
      <w:szCs w:val="28"/>
    </w:rPr>
  </w:style>
  <w:style w:type="paragraph" w:styleId="Heading4">
    <w:name w:val="heading 4"/>
    <w:basedOn w:val="Heading3"/>
    <w:next w:val="Normal"/>
    <w:qFormat/>
    <w:rsid w:val="00E10F92"/>
    <w:pPr>
      <w:numPr>
        <w:ilvl w:val="3"/>
      </w:numPr>
      <w:outlineLvl w:val="3"/>
    </w:pPr>
    <w:rPr>
      <w:sz w:val="24"/>
      <w:szCs w:val="24"/>
    </w:rPr>
  </w:style>
  <w:style w:type="paragraph" w:styleId="Heading5">
    <w:name w:val="heading 5"/>
    <w:basedOn w:val="Heading4"/>
    <w:next w:val="Normal"/>
    <w:qFormat/>
    <w:rsid w:val="00E10F92"/>
    <w:pPr>
      <w:numPr>
        <w:ilvl w:val="4"/>
      </w:numPr>
      <w:outlineLvl w:val="4"/>
    </w:pPr>
    <w:rPr>
      <w:sz w:val="22"/>
      <w:szCs w:val="22"/>
    </w:rPr>
  </w:style>
  <w:style w:type="paragraph" w:styleId="Heading6">
    <w:name w:val="heading 6"/>
    <w:basedOn w:val="Normal"/>
    <w:next w:val="Normal"/>
    <w:qFormat/>
    <w:rsid w:val="00E10F92"/>
    <w:pPr>
      <w:keepNext/>
      <w:keepLines/>
      <w:numPr>
        <w:ilvl w:val="5"/>
        <w:numId w:val="1"/>
      </w:numPr>
      <w:spacing w:before="120"/>
      <w:outlineLvl w:val="5"/>
    </w:pPr>
    <w:rPr>
      <w:rFonts w:cs="Arial"/>
    </w:rPr>
  </w:style>
  <w:style w:type="paragraph" w:styleId="Heading7">
    <w:name w:val="heading 7"/>
    <w:basedOn w:val="Normal"/>
    <w:next w:val="Normal"/>
    <w:qFormat/>
    <w:rsid w:val="00E10F92"/>
    <w:pPr>
      <w:keepNext/>
      <w:keepLines/>
      <w:numPr>
        <w:ilvl w:val="6"/>
        <w:numId w:val="1"/>
      </w:numPr>
      <w:spacing w:before="120"/>
      <w:outlineLvl w:val="6"/>
    </w:pPr>
    <w:rPr>
      <w:rFonts w:cs="Arial"/>
    </w:rPr>
  </w:style>
  <w:style w:type="paragraph" w:styleId="Heading8">
    <w:name w:val="heading 8"/>
    <w:basedOn w:val="Heading7"/>
    <w:next w:val="Normal"/>
    <w:qFormat/>
    <w:rsid w:val="00E10F92"/>
    <w:pPr>
      <w:numPr>
        <w:ilvl w:val="7"/>
      </w:numPr>
      <w:outlineLvl w:val="7"/>
    </w:pPr>
  </w:style>
  <w:style w:type="paragraph" w:styleId="Heading9">
    <w:name w:val="heading 9"/>
    <w:basedOn w:val="Heading8"/>
    <w:next w:val="Normal"/>
    <w:qFormat/>
    <w:rsid w:val="00E10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0F92"/>
    <w:pPr>
      <w:spacing w:before="180"/>
      <w:ind w:left="2693" w:hanging="2693"/>
    </w:pPr>
    <w:rPr>
      <w:b/>
      <w:bCs/>
    </w:rPr>
  </w:style>
  <w:style w:type="paragraph" w:styleId="TOC1">
    <w:name w:val="toc 1"/>
    <w:semiHidden/>
    <w:rsid w:val="00E10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E10F92"/>
    <w:pPr>
      <w:keepNext/>
      <w:keepLines/>
      <w:spacing w:before="180"/>
      <w:jc w:val="center"/>
    </w:pPr>
  </w:style>
  <w:style w:type="paragraph" w:styleId="Caption">
    <w:name w:val="caption"/>
    <w:basedOn w:val="Normal"/>
    <w:next w:val="Normal"/>
    <w:qFormat/>
    <w:rsid w:val="00E10F92"/>
    <w:pPr>
      <w:spacing w:after="240"/>
      <w:jc w:val="center"/>
    </w:pPr>
    <w:rPr>
      <w:b/>
      <w:bCs/>
    </w:rPr>
  </w:style>
  <w:style w:type="paragraph" w:styleId="TOC5">
    <w:name w:val="toc 5"/>
    <w:basedOn w:val="TOC4"/>
    <w:semiHidden/>
    <w:rsid w:val="00E10F92"/>
    <w:pPr>
      <w:ind w:left="1701" w:hanging="1701"/>
    </w:pPr>
  </w:style>
  <w:style w:type="paragraph" w:styleId="TOC4">
    <w:name w:val="toc 4"/>
    <w:basedOn w:val="TOC3"/>
    <w:semiHidden/>
    <w:rsid w:val="00E10F92"/>
    <w:pPr>
      <w:ind w:left="1418" w:hanging="1418"/>
    </w:pPr>
  </w:style>
  <w:style w:type="paragraph" w:styleId="TOC3">
    <w:name w:val="toc 3"/>
    <w:basedOn w:val="TOC2"/>
    <w:semiHidden/>
    <w:rsid w:val="00E10F92"/>
    <w:pPr>
      <w:ind w:left="1134" w:hanging="1134"/>
    </w:pPr>
  </w:style>
  <w:style w:type="paragraph" w:styleId="TOC2">
    <w:name w:val="toc 2"/>
    <w:basedOn w:val="TOC1"/>
    <w:semiHidden/>
    <w:rsid w:val="00E10F92"/>
    <w:pPr>
      <w:keepNext w:val="0"/>
      <w:spacing w:before="0"/>
      <w:ind w:left="851" w:hanging="851"/>
    </w:pPr>
    <w:rPr>
      <w:sz w:val="20"/>
      <w:szCs w:val="20"/>
    </w:rPr>
  </w:style>
  <w:style w:type="paragraph" w:styleId="Index2">
    <w:name w:val="index 2"/>
    <w:basedOn w:val="Index1"/>
    <w:semiHidden/>
    <w:rsid w:val="00E10F92"/>
    <w:pPr>
      <w:ind w:left="284"/>
    </w:pPr>
  </w:style>
  <w:style w:type="paragraph" w:styleId="Index1">
    <w:name w:val="index 1"/>
    <w:basedOn w:val="Normal"/>
    <w:semiHidden/>
    <w:rsid w:val="00E10F92"/>
    <w:pPr>
      <w:keepLines/>
      <w:spacing w:after="0"/>
    </w:pPr>
  </w:style>
  <w:style w:type="paragraph" w:styleId="DocumentMap">
    <w:name w:val="Document Map"/>
    <w:basedOn w:val="Normal"/>
    <w:semiHidden/>
    <w:rsid w:val="00E10F92"/>
    <w:pPr>
      <w:shd w:val="clear" w:color="auto" w:fill="000080"/>
    </w:pPr>
    <w:rPr>
      <w:rFonts w:ascii="Tahoma" w:hAnsi="Tahoma" w:cs="Tahoma"/>
    </w:rPr>
  </w:style>
  <w:style w:type="paragraph" w:styleId="ListNumber2">
    <w:name w:val="List Number 2"/>
    <w:basedOn w:val="ListNumber"/>
    <w:rsid w:val="00E10F92"/>
    <w:pPr>
      <w:ind w:left="851"/>
    </w:pPr>
  </w:style>
  <w:style w:type="paragraph" w:styleId="ListNumber">
    <w:name w:val="List Number"/>
    <w:basedOn w:val="List"/>
    <w:rsid w:val="00E10F92"/>
  </w:style>
  <w:style w:type="paragraph" w:styleId="List">
    <w:name w:val="List"/>
    <w:basedOn w:val="Normal"/>
    <w:rsid w:val="00E10F92"/>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10F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10F92"/>
    <w:rPr>
      <w:b/>
      <w:bCs/>
      <w:position w:val="6"/>
      <w:sz w:val="16"/>
      <w:szCs w:val="16"/>
    </w:rPr>
  </w:style>
  <w:style w:type="paragraph" w:styleId="FootnoteText">
    <w:name w:val="footnote text"/>
    <w:basedOn w:val="Normal"/>
    <w:semiHidden/>
    <w:rsid w:val="00E10F92"/>
    <w:pPr>
      <w:keepLines/>
      <w:spacing w:after="0"/>
      <w:ind w:left="454" w:hanging="454"/>
    </w:pPr>
    <w:rPr>
      <w:sz w:val="16"/>
      <w:szCs w:val="16"/>
    </w:rPr>
  </w:style>
  <w:style w:type="paragraph" w:customStyle="1" w:styleId="3GPPHeader">
    <w:name w:val="3GPP_Header"/>
    <w:basedOn w:val="Normal"/>
    <w:rsid w:val="00E10F92"/>
    <w:pPr>
      <w:tabs>
        <w:tab w:val="left" w:pos="1701"/>
        <w:tab w:val="right" w:pos="9639"/>
      </w:tabs>
      <w:spacing w:after="240"/>
    </w:pPr>
    <w:rPr>
      <w:b/>
      <w:sz w:val="24"/>
    </w:rPr>
  </w:style>
  <w:style w:type="paragraph" w:styleId="TOC9">
    <w:name w:val="toc 9"/>
    <w:basedOn w:val="TOC8"/>
    <w:semiHidden/>
    <w:rsid w:val="00E10F92"/>
    <w:pPr>
      <w:ind w:left="1418" w:hanging="1418"/>
    </w:pPr>
  </w:style>
  <w:style w:type="paragraph" w:styleId="TOC6">
    <w:name w:val="toc 6"/>
    <w:basedOn w:val="TOC5"/>
    <w:next w:val="Normal"/>
    <w:semiHidden/>
    <w:rsid w:val="00E10F92"/>
    <w:pPr>
      <w:ind w:left="1985" w:hanging="1985"/>
    </w:pPr>
  </w:style>
  <w:style w:type="paragraph" w:styleId="TOC7">
    <w:name w:val="toc 7"/>
    <w:basedOn w:val="TOC6"/>
    <w:next w:val="Normal"/>
    <w:semiHidden/>
    <w:rsid w:val="00E10F92"/>
    <w:pPr>
      <w:ind w:left="2268" w:hanging="2268"/>
    </w:pPr>
  </w:style>
  <w:style w:type="paragraph" w:styleId="ListBullet2">
    <w:name w:val="List Bullet 2"/>
    <w:basedOn w:val="ListBullet"/>
    <w:rsid w:val="00E10F92"/>
    <w:pPr>
      <w:numPr>
        <w:numId w:val="6"/>
      </w:numPr>
    </w:pPr>
  </w:style>
  <w:style w:type="paragraph" w:styleId="ListBullet">
    <w:name w:val="List Bullet"/>
    <w:basedOn w:val="BodyText"/>
    <w:rsid w:val="00E10F92"/>
    <w:pPr>
      <w:numPr>
        <w:numId w:val="5"/>
      </w:numPr>
    </w:pPr>
  </w:style>
  <w:style w:type="paragraph" w:styleId="ListBullet3">
    <w:name w:val="List Bullet 3"/>
    <w:basedOn w:val="ListBullet2"/>
    <w:rsid w:val="00E10F92"/>
    <w:pPr>
      <w:numPr>
        <w:numId w:val="7"/>
      </w:numPr>
    </w:pPr>
  </w:style>
  <w:style w:type="paragraph" w:customStyle="1" w:styleId="EQ">
    <w:name w:val="EQ"/>
    <w:basedOn w:val="Normal"/>
    <w:next w:val="Normal"/>
    <w:rsid w:val="00E10F92"/>
    <w:pPr>
      <w:keepLines/>
      <w:tabs>
        <w:tab w:val="center" w:pos="4536"/>
        <w:tab w:val="right" w:pos="9072"/>
      </w:tabs>
      <w:spacing w:after="180"/>
      <w:jc w:val="left"/>
    </w:pPr>
    <w:rPr>
      <w:noProof/>
      <w:lang w:eastAsia="en-US"/>
    </w:rPr>
  </w:style>
  <w:style w:type="paragraph" w:styleId="List2">
    <w:name w:val="List 2"/>
    <w:basedOn w:val="List"/>
    <w:rsid w:val="00E10F92"/>
    <w:pPr>
      <w:ind w:left="851"/>
    </w:pPr>
  </w:style>
  <w:style w:type="paragraph" w:styleId="List3">
    <w:name w:val="List 3"/>
    <w:basedOn w:val="List2"/>
    <w:rsid w:val="00E10F92"/>
    <w:pPr>
      <w:ind w:left="1135"/>
    </w:pPr>
  </w:style>
  <w:style w:type="paragraph" w:styleId="List4">
    <w:name w:val="List 4"/>
    <w:basedOn w:val="List3"/>
    <w:rsid w:val="00E10F92"/>
    <w:pPr>
      <w:ind w:left="1418"/>
    </w:pPr>
  </w:style>
  <w:style w:type="paragraph" w:styleId="List5">
    <w:name w:val="List 5"/>
    <w:basedOn w:val="List4"/>
    <w:rsid w:val="00E10F92"/>
    <w:pPr>
      <w:ind w:left="1702"/>
    </w:pPr>
  </w:style>
  <w:style w:type="paragraph" w:customStyle="1" w:styleId="EditorsNote">
    <w:name w:val="Editor's Note"/>
    <w:basedOn w:val="Normal"/>
    <w:rsid w:val="00E10F92"/>
    <w:pPr>
      <w:keepLines/>
      <w:spacing w:after="180"/>
      <w:ind w:left="1135" w:hanging="851"/>
      <w:jc w:val="left"/>
    </w:pPr>
    <w:rPr>
      <w:color w:val="FF0000"/>
      <w:lang w:eastAsia="en-US"/>
    </w:rPr>
  </w:style>
  <w:style w:type="paragraph" w:styleId="ListBullet4">
    <w:name w:val="List Bullet 4"/>
    <w:basedOn w:val="ListBullet3"/>
    <w:rsid w:val="00E10F92"/>
    <w:pPr>
      <w:numPr>
        <w:numId w:val="8"/>
      </w:numPr>
    </w:pPr>
  </w:style>
  <w:style w:type="paragraph" w:styleId="ListBullet5">
    <w:name w:val="List Bullet 5"/>
    <w:basedOn w:val="ListBullet4"/>
    <w:rsid w:val="00E10F92"/>
    <w:pPr>
      <w:numPr>
        <w:numId w:val="4"/>
      </w:numPr>
    </w:pPr>
  </w:style>
  <w:style w:type="paragraph" w:styleId="Footer">
    <w:name w:val="footer"/>
    <w:basedOn w:val="Header"/>
    <w:semiHidden/>
    <w:rsid w:val="00E10F92"/>
    <w:pPr>
      <w:jc w:val="center"/>
    </w:pPr>
    <w:rPr>
      <w:i/>
      <w:iCs/>
    </w:rPr>
  </w:style>
  <w:style w:type="paragraph" w:customStyle="1" w:styleId="Reference">
    <w:name w:val="Reference"/>
    <w:basedOn w:val="Normal"/>
    <w:rsid w:val="00E10F92"/>
    <w:pPr>
      <w:numPr>
        <w:numId w:val="2"/>
      </w:numPr>
    </w:pPr>
  </w:style>
  <w:style w:type="paragraph" w:styleId="BalloonText">
    <w:name w:val="Balloon Text"/>
    <w:basedOn w:val="Normal"/>
    <w:semiHidden/>
    <w:rsid w:val="00E10F92"/>
    <w:rPr>
      <w:rFonts w:ascii="Tahoma" w:hAnsi="Tahoma" w:cs="Tahoma"/>
      <w:sz w:val="16"/>
      <w:szCs w:val="16"/>
    </w:rPr>
  </w:style>
  <w:style w:type="character" w:styleId="PageNumber">
    <w:name w:val="page number"/>
    <w:semiHidden/>
    <w:rsid w:val="00E10F92"/>
  </w:style>
  <w:style w:type="paragraph" w:styleId="BodyText">
    <w:name w:val="Body Text"/>
    <w:basedOn w:val="Normal"/>
    <w:link w:val="BodyTextChar"/>
    <w:rsid w:val="00E10F92"/>
  </w:style>
  <w:style w:type="character" w:styleId="Hyperlink">
    <w:name w:val="Hyperlink"/>
    <w:rsid w:val="00E10F92"/>
    <w:rPr>
      <w:color w:val="0000FF"/>
      <w:u w:val="single"/>
    </w:rPr>
  </w:style>
  <w:style w:type="character" w:styleId="FollowedHyperlink">
    <w:name w:val="FollowedHyperlink"/>
    <w:semiHidden/>
    <w:rsid w:val="00E10F92"/>
    <w:rPr>
      <w:color w:val="FF0000"/>
      <w:u w:val="single"/>
    </w:rPr>
  </w:style>
  <w:style w:type="character" w:styleId="CommentReference">
    <w:name w:val="annotation reference"/>
    <w:uiPriority w:val="99"/>
    <w:semiHidden/>
    <w:rsid w:val="00E10F92"/>
    <w:rPr>
      <w:sz w:val="16"/>
      <w:szCs w:val="16"/>
    </w:rPr>
  </w:style>
  <w:style w:type="paragraph" w:styleId="CommentText">
    <w:name w:val="annotation text"/>
    <w:basedOn w:val="Normal"/>
    <w:link w:val="CommentTextChar"/>
    <w:uiPriority w:val="99"/>
    <w:semiHidden/>
    <w:rsid w:val="00E10F92"/>
  </w:style>
  <w:style w:type="paragraph" w:styleId="CommentSubject">
    <w:name w:val="annotation subject"/>
    <w:basedOn w:val="CommentText"/>
    <w:next w:val="CommentText"/>
    <w:semiHidden/>
    <w:rsid w:val="00E10F92"/>
    <w:rPr>
      <w:b/>
      <w:bCs/>
    </w:rPr>
  </w:style>
  <w:style w:type="character" w:customStyle="1" w:styleId="Heading1Char">
    <w:name w:val="Heading 1 Char"/>
    <w:link w:val="Heading1"/>
    <w:rsid w:val="00E10F92"/>
    <w:rPr>
      <w:rFonts w:ascii="Arial" w:hAnsi="Arial" w:cs="Arial"/>
      <w:sz w:val="36"/>
      <w:szCs w:val="36"/>
      <w:lang w:val="en-GB" w:eastAsia="zh-CN"/>
    </w:rPr>
  </w:style>
  <w:style w:type="paragraph" w:customStyle="1" w:styleId="B1">
    <w:name w:val="B1"/>
    <w:basedOn w:val="List"/>
    <w:rsid w:val="00E10F92"/>
    <w:pPr>
      <w:spacing w:after="180"/>
      <w:jc w:val="left"/>
    </w:pPr>
    <w:rPr>
      <w:lang w:eastAsia="en-US"/>
    </w:rPr>
  </w:style>
  <w:style w:type="paragraph" w:customStyle="1" w:styleId="B2">
    <w:name w:val="B2"/>
    <w:basedOn w:val="List2"/>
    <w:rsid w:val="00E10F92"/>
    <w:pPr>
      <w:spacing w:after="180"/>
      <w:jc w:val="left"/>
    </w:pPr>
    <w:rPr>
      <w:lang w:eastAsia="en-US"/>
    </w:rPr>
  </w:style>
  <w:style w:type="paragraph" w:customStyle="1" w:styleId="B3">
    <w:name w:val="B3"/>
    <w:basedOn w:val="List3"/>
    <w:rsid w:val="00E10F92"/>
    <w:pPr>
      <w:spacing w:after="180"/>
      <w:jc w:val="left"/>
    </w:pPr>
    <w:rPr>
      <w:lang w:eastAsia="en-US"/>
    </w:rPr>
  </w:style>
  <w:style w:type="paragraph" w:customStyle="1" w:styleId="B4">
    <w:name w:val="B4"/>
    <w:basedOn w:val="List4"/>
    <w:rsid w:val="00E10F92"/>
    <w:pPr>
      <w:spacing w:after="180"/>
      <w:jc w:val="left"/>
    </w:pPr>
    <w:rPr>
      <w:lang w:eastAsia="en-US"/>
    </w:rPr>
  </w:style>
  <w:style w:type="paragraph" w:customStyle="1" w:styleId="Proposal">
    <w:name w:val="Proposal"/>
    <w:basedOn w:val="Normal"/>
    <w:rsid w:val="00E10F92"/>
    <w:pPr>
      <w:numPr>
        <w:numId w:val="3"/>
      </w:numPr>
    </w:pPr>
    <w:rPr>
      <w:b/>
      <w:bCs/>
      <w:lang w:val="en-US"/>
    </w:rPr>
  </w:style>
  <w:style w:type="character" w:customStyle="1" w:styleId="BodyTextChar">
    <w:name w:val="Body Text Char"/>
    <w:link w:val="BodyText"/>
    <w:rsid w:val="00E10F92"/>
    <w:rPr>
      <w:rFonts w:ascii="Arial" w:hAnsi="Arial"/>
      <w:lang w:val="en-GB" w:eastAsia="zh-CN"/>
    </w:rPr>
  </w:style>
  <w:style w:type="paragraph" w:customStyle="1" w:styleId="B5">
    <w:name w:val="B5"/>
    <w:basedOn w:val="List5"/>
    <w:rsid w:val="00E10F92"/>
    <w:pPr>
      <w:spacing w:after="180"/>
      <w:jc w:val="left"/>
    </w:pPr>
    <w:rPr>
      <w:lang w:eastAsia="en-US"/>
    </w:rPr>
  </w:style>
  <w:style w:type="paragraph" w:customStyle="1" w:styleId="EX">
    <w:name w:val="EX"/>
    <w:basedOn w:val="Normal"/>
    <w:rsid w:val="00E10F92"/>
    <w:pPr>
      <w:keepLines/>
      <w:spacing w:after="180"/>
      <w:ind w:left="1702" w:hanging="1418"/>
      <w:jc w:val="left"/>
    </w:pPr>
    <w:rPr>
      <w:lang w:eastAsia="en-US"/>
    </w:rPr>
  </w:style>
  <w:style w:type="paragraph" w:customStyle="1" w:styleId="EW">
    <w:name w:val="EW"/>
    <w:basedOn w:val="EX"/>
    <w:rsid w:val="00E10F92"/>
    <w:pPr>
      <w:spacing w:after="0"/>
    </w:pPr>
  </w:style>
  <w:style w:type="paragraph" w:customStyle="1" w:styleId="TAL">
    <w:name w:val="TAL"/>
    <w:basedOn w:val="Normal"/>
    <w:link w:val="TALCar"/>
    <w:rsid w:val="00E10F92"/>
    <w:pPr>
      <w:keepNext/>
      <w:keepLines/>
      <w:spacing w:after="0"/>
      <w:jc w:val="left"/>
    </w:pPr>
    <w:rPr>
      <w:sz w:val="18"/>
      <w:lang w:eastAsia="en-US"/>
    </w:rPr>
  </w:style>
  <w:style w:type="paragraph" w:customStyle="1" w:styleId="TAC">
    <w:name w:val="TAC"/>
    <w:basedOn w:val="TAL"/>
    <w:rsid w:val="00E10F92"/>
    <w:pPr>
      <w:jc w:val="center"/>
    </w:pPr>
  </w:style>
  <w:style w:type="paragraph" w:customStyle="1" w:styleId="TAH">
    <w:name w:val="TAH"/>
    <w:basedOn w:val="TAC"/>
    <w:link w:val="TAHCar"/>
    <w:rsid w:val="00E10F92"/>
    <w:rPr>
      <w:b/>
    </w:rPr>
  </w:style>
  <w:style w:type="paragraph" w:customStyle="1" w:styleId="TAN">
    <w:name w:val="TAN"/>
    <w:basedOn w:val="TAL"/>
    <w:rsid w:val="00E10F92"/>
    <w:pPr>
      <w:ind w:left="851" w:hanging="851"/>
    </w:pPr>
  </w:style>
  <w:style w:type="paragraph" w:customStyle="1" w:styleId="TAR">
    <w:name w:val="TAR"/>
    <w:basedOn w:val="TAL"/>
    <w:rsid w:val="00E10F92"/>
    <w:pPr>
      <w:jc w:val="right"/>
    </w:pPr>
  </w:style>
  <w:style w:type="paragraph" w:customStyle="1" w:styleId="TH">
    <w:name w:val="TH"/>
    <w:basedOn w:val="Normal"/>
    <w:rsid w:val="00E10F92"/>
    <w:pPr>
      <w:keepNext/>
      <w:keepLines/>
      <w:spacing w:before="60" w:after="180"/>
      <w:jc w:val="center"/>
    </w:pPr>
    <w:rPr>
      <w:b/>
      <w:lang w:eastAsia="en-US"/>
    </w:rPr>
  </w:style>
  <w:style w:type="paragraph" w:customStyle="1" w:styleId="TF">
    <w:name w:val="TF"/>
    <w:basedOn w:val="TH"/>
    <w:rsid w:val="00E10F92"/>
    <w:pPr>
      <w:keepNext w:val="0"/>
      <w:spacing w:before="0" w:after="240"/>
    </w:pPr>
  </w:style>
  <w:style w:type="paragraph" w:customStyle="1" w:styleId="TT">
    <w:name w:val="TT"/>
    <w:basedOn w:val="Heading1"/>
    <w:next w:val="Normal"/>
    <w:rsid w:val="00E10F92"/>
    <w:pPr>
      <w:numPr>
        <w:numId w:val="0"/>
      </w:numPr>
      <w:ind w:left="1134" w:hanging="1134"/>
      <w:outlineLvl w:val="9"/>
    </w:pPr>
    <w:rPr>
      <w:rFonts w:cs="Times New Roman"/>
      <w:szCs w:val="20"/>
      <w:lang w:eastAsia="en-US"/>
    </w:rPr>
  </w:style>
  <w:style w:type="paragraph" w:customStyle="1" w:styleId="ZA">
    <w:name w:val="ZA"/>
    <w:rsid w:val="00E10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0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0F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10F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10F92"/>
  </w:style>
  <w:style w:type="paragraph" w:customStyle="1" w:styleId="ZH">
    <w:name w:val="ZH"/>
    <w:rsid w:val="00E10F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10F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10F92"/>
    <w:pPr>
      <w:framePr w:hRule="auto" w:wrap="notBeside" w:y="852"/>
    </w:pPr>
    <w:rPr>
      <w:i w:val="0"/>
      <w:sz w:val="40"/>
    </w:rPr>
  </w:style>
  <w:style w:type="paragraph" w:customStyle="1" w:styleId="ZU">
    <w:name w:val="ZU"/>
    <w:rsid w:val="00E10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0F92"/>
    <w:pPr>
      <w:framePr w:wrap="notBeside" w:y="16161"/>
    </w:pPr>
  </w:style>
  <w:style w:type="paragraph" w:customStyle="1" w:styleId="FP">
    <w:name w:val="FP"/>
    <w:basedOn w:val="Normal"/>
    <w:rsid w:val="00E10F92"/>
    <w:pPr>
      <w:spacing w:after="0"/>
      <w:jc w:val="left"/>
    </w:pPr>
    <w:rPr>
      <w:lang w:eastAsia="en-US"/>
    </w:rPr>
  </w:style>
  <w:style w:type="paragraph" w:customStyle="1" w:styleId="Doc-text2">
    <w:name w:val="Doc-text2"/>
    <w:basedOn w:val="Normal"/>
    <w:link w:val="Doc-text2Char"/>
    <w:qFormat/>
    <w:rsid w:val="00176171"/>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TableofFigures">
    <w:name w:val="table of figures"/>
    <w:basedOn w:val="Normal"/>
    <w:next w:val="Normal"/>
    <w:semiHidden/>
    <w:rsid w:val="00E10F92"/>
    <w:pPr>
      <w:ind w:left="1418" w:hanging="1418"/>
      <w:jc w:val="left"/>
    </w:pPr>
    <w:rPr>
      <w:b/>
    </w:rPr>
  </w:style>
  <w:style w:type="character" w:customStyle="1" w:styleId="Doc-text2Char">
    <w:name w:val="Doc-text2 Char"/>
    <w:link w:val="Doc-text2"/>
    <w:rsid w:val="00176171"/>
    <w:rPr>
      <w:rFonts w:ascii="Arial" w:eastAsia="MS Mincho" w:hAnsi="Arial"/>
      <w:szCs w:val="24"/>
      <w:lang w:val="en-GB" w:eastAsia="en-GB"/>
    </w:rPr>
  </w:style>
  <w:style w:type="paragraph" w:customStyle="1" w:styleId="Doc-title">
    <w:name w:val="Doc-title"/>
    <w:basedOn w:val="Normal"/>
    <w:next w:val="Doc-text2"/>
    <w:link w:val="Doc-titleChar"/>
    <w:qFormat/>
    <w:rsid w:val="00176171"/>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176171"/>
    <w:rPr>
      <w:rFonts w:ascii="Arial" w:eastAsia="MS Mincho" w:hAnsi="Arial"/>
      <w:szCs w:val="24"/>
      <w:lang w:val="en-GB" w:eastAsia="en-GB"/>
    </w:rPr>
  </w:style>
  <w:style w:type="character" w:customStyle="1" w:styleId="CommentTextChar">
    <w:name w:val="Comment Text Char"/>
    <w:link w:val="CommentText"/>
    <w:uiPriority w:val="99"/>
    <w:semiHidden/>
    <w:rsid w:val="009409E1"/>
    <w:rPr>
      <w:rFonts w:ascii="Arial" w:hAnsi="Arial"/>
      <w:lang w:val="en-GB" w:eastAsia="zh-CN"/>
    </w:rPr>
  </w:style>
  <w:style w:type="table" w:styleId="TableGrid">
    <w:name w:val="Table Grid"/>
    <w:basedOn w:val="TableNormal"/>
    <w:rsid w:val="00E34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650E03"/>
    <w:rPr>
      <w:rFonts w:ascii="Arial" w:hAnsi="Arial"/>
      <w:sz w:val="18"/>
      <w:lang w:val="en-GB"/>
    </w:rPr>
  </w:style>
  <w:style w:type="character" w:customStyle="1" w:styleId="TAHCar">
    <w:name w:val="TAH Car"/>
    <w:link w:val="TAH"/>
    <w:rsid w:val="00650E03"/>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1D8"/>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23454">
      <w:bodyDiv w:val="1"/>
      <w:marLeft w:val="0"/>
      <w:marRight w:val="0"/>
      <w:marTop w:val="0"/>
      <w:marBottom w:val="0"/>
      <w:divBdr>
        <w:top w:val="none" w:sz="0" w:space="0" w:color="auto"/>
        <w:left w:val="none" w:sz="0" w:space="0" w:color="auto"/>
        <w:bottom w:val="none" w:sz="0" w:space="0" w:color="auto"/>
        <w:right w:val="none" w:sz="0" w:space="0" w:color="auto"/>
      </w:divBdr>
      <w:divsChild>
        <w:div w:id="1554544161">
          <w:marLeft w:val="547"/>
          <w:marRight w:val="0"/>
          <w:marTop w:val="125"/>
          <w:marBottom w:val="0"/>
          <w:divBdr>
            <w:top w:val="none" w:sz="0" w:space="0" w:color="auto"/>
            <w:left w:val="none" w:sz="0" w:space="0" w:color="auto"/>
            <w:bottom w:val="none" w:sz="0" w:space="0" w:color="auto"/>
            <w:right w:val="none" w:sz="0" w:space="0" w:color="auto"/>
          </w:divBdr>
        </w:div>
      </w:divsChild>
    </w:div>
    <w:div w:id="196892302">
      <w:bodyDiv w:val="1"/>
      <w:marLeft w:val="0"/>
      <w:marRight w:val="0"/>
      <w:marTop w:val="0"/>
      <w:marBottom w:val="0"/>
      <w:divBdr>
        <w:top w:val="none" w:sz="0" w:space="0" w:color="auto"/>
        <w:left w:val="none" w:sz="0" w:space="0" w:color="auto"/>
        <w:bottom w:val="none" w:sz="0" w:space="0" w:color="auto"/>
        <w:right w:val="none" w:sz="0" w:space="0" w:color="auto"/>
      </w:divBdr>
    </w:div>
    <w:div w:id="360935523">
      <w:bodyDiv w:val="1"/>
      <w:marLeft w:val="0"/>
      <w:marRight w:val="0"/>
      <w:marTop w:val="0"/>
      <w:marBottom w:val="0"/>
      <w:divBdr>
        <w:top w:val="none" w:sz="0" w:space="0" w:color="auto"/>
        <w:left w:val="none" w:sz="0" w:space="0" w:color="auto"/>
        <w:bottom w:val="none" w:sz="0" w:space="0" w:color="auto"/>
        <w:right w:val="none" w:sz="0" w:space="0" w:color="auto"/>
      </w:divBdr>
    </w:div>
    <w:div w:id="389963647">
      <w:bodyDiv w:val="1"/>
      <w:marLeft w:val="0"/>
      <w:marRight w:val="0"/>
      <w:marTop w:val="0"/>
      <w:marBottom w:val="0"/>
      <w:divBdr>
        <w:top w:val="none" w:sz="0" w:space="0" w:color="auto"/>
        <w:left w:val="none" w:sz="0" w:space="0" w:color="auto"/>
        <w:bottom w:val="none" w:sz="0" w:space="0" w:color="auto"/>
        <w:right w:val="none" w:sz="0" w:space="0" w:color="auto"/>
      </w:divBdr>
    </w:div>
    <w:div w:id="932056802">
      <w:bodyDiv w:val="1"/>
      <w:marLeft w:val="0"/>
      <w:marRight w:val="0"/>
      <w:marTop w:val="0"/>
      <w:marBottom w:val="0"/>
      <w:divBdr>
        <w:top w:val="none" w:sz="0" w:space="0" w:color="auto"/>
        <w:left w:val="none" w:sz="0" w:space="0" w:color="auto"/>
        <w:bottom w:val="none" w:sz="0" w:space="0" w:color="auto"/>
        <w:right w:val="none" w:sz="0" w:space="0" w:color="auto"/>
      </w:divBdr>
    </w:div>
    <w:div w:id="941188065">
      <w:bodyDiv w:val="1"/>
      <w:marLeft w:val="0"/>
      <w:marRight w:val="0"/>
      <w:marTop w:val="0"/>
      <w:marBottom w:val="0"/>
      <w:divBdr>
        <w:top w:val="none" w:sz="0" w:space="0" w:color="auto"/>
        <w:left w:val="none" w:sz="0" w:space="0" w:color="auto"/>
        <w:bottom w:val="none" w:sz="0" w:space="0" w:color="auto"/>
        <w:right w:val="none" w:sz="0" w:space="0" w:color="auto"/>
      </w:divBdr>
    </w:div>
    <w:div w:id="959261786">
      <w:bodyDiv w:val="1"/>
      <w:marLeft w:val="0"/>
      <w:marRight w:val="0"/>
      <w:marTop w:val="0"/>
      <w:marBottom w:val="0"/>
      <w:divBdr>
        <w:top w:val="none" w:sz="0" w:space="0" w:color="auto"/>
        <w:left w:val="none" w:sz="0" w:space="0" w:color="auto"/>
        <w:bottom w:val="none" w:sz="0" w:space="0" w:color="auto"/>
        <w:right w:val="none" w:sz="0" w:space="0" w:color="auto"/>
      </w:divBdr>
    </w:div>
    <w:div w:id="1007635992">
      <w:bodyDiv w:val="1"/>
      <w:marLeft w:val="0"/>
      <w:marRight w:val="0"/>
      <w:marTop w:val="0"/>
      <w:marBottom w:val="0"/>
      <w:divBdr>
        <w:top w:val="none" w:sz="0" w:space="0" w:color="auto"/>
        <w:left w:val="none" w:sz="0" w:space="0" w:color="auto"/>
        <w:bottom w:val="none" w:sz="0" w:space="0" w:color="auto"/>
        <w:right w:val="none" w:sz="0" w:space="0" w:color="auto"/>
      </w:divBdr>
    </w:div>
    <w:div w:id="1058284041">
      <w:bodyDiv w:val="1"/>
      <w:marLeft w:val="0"/>
      <w:marRight w:val="0"/>
      <w:marTop w:val="0"/>
      <w:marBottom w:val="0"/>
      <w:divBdr>
        <w:top w:val="none" w:sz="0" w:space="0" w:color="auto"/>
        <w:left w:val="none" w:sz="0" w:space="0" w:color="auto"/>
        <w:bottom w:val="none" w:sz="0" w:space="0" w:color="auto"/>
        <w:right w:val="none" w:sz="0" w:space="0" w:color="auto"/>
      </w:divBdr>
    </w:div>
    <w:div w:id="1058894822">
      <w:bodyDiv w:val="1"/>
      <w:marLeft w:val="0"/>
      <w:marRight w:val="0"/>
      <w:marTop w:val="0"/>
      <w:marBottom w:val="0"/>
      <w:divBdr>
        <w:top w:val="none" w:sz="0" w:space="0" w:color="auto"/>
        <w:left w:val="none" w:sz="0" w:space="0" w:color="auto"/>
        <w:bottom w:val="none" w:sz="0" w:space="0" w:color="auto"/>
        <w:right w:val="none" w:sz="0" w:space="0" w:color="auto"/>
      </w:divBdr>
    </w:div>
    <w:div w:id="1194727752">
      <w:bodyDiv w:val="1"/>
      <w:marLeft w:val="0"/>
      <w:marRight w:val="0"/>
      <w:marTop w:val="0"/>
      <w:marBottom w:val="0"/>
      <w:divBdr>
        <w:top w:val="none" w:sz="0" w:space="0" w:color="auto"/>
        <w:left w:val="none" w:sz="0" w:space="0" w:color="auto"/>
        <w:bottom w:val="none" w:sz="0" w:space="0" w:color="auto"/>
        <w:right w:val="none" w:sz="0" w:space="0" w:color="auto"/>
      </w:divBdr>
    </w:div>
    <w:div w:id="1351450282">
      <w:bodyDiv w:val="1"/>
      <w:marLeft w:val="0"/>
      <w:marRight w:val="0"/>
      <w:marTop w:val="0"/>
      <w:marBottom w:val="0"/>
      <w:divBdr>
        <w:top w:val="none" w:sz="0" w:space="0" w:color="auto"/>
        <w:left w:val="none" w:sz="0" w:space="0" w:color="auto"/>
        <w:bottom w:val="none" w:sz="0" w:space="0" w:color="auto"/>
        <w:right w:val="none" w:sz="0" w:space="0" w:color="auto"/>
      </w:divBdr>
    </w:div>
    <w:div w:id="1365909267">
      <w:bodyDiv w:val="1"/>
      <w:marLeft w:val="0"/>
      <w:marRight w:val="0"/>
      <w:marTop w:val="0"/>
      <w:marBottom w:val="0"/>
      <w:divBdr>
        <w:top w:val="none" w:sz="0" w:space="0" w:color="auto"/>
        <w:left w:val="none" w:sz="0" w:space="0" w:color="auto"/>
        <w:bottom w:val="none" w:sz="0" w:space="0" w:color="auto"/>
        <w:right w:val="none" w:sz="0" w:space="0" w:color="auto"/>
      </w:divBdr>
    </w:div>
    <w:div w:id="1379014481">
      <w:bodyDiv w:val="1"/>
      <w:marLeft w:val="0"/>
      <w:marRight w:val="0"/>
      <w:marTop w:val="0"/>
      <w:marBottom w:val="0"/>
      <w:divBdr>
        <w:top w:val="none" w:sz="0" w:space="0" w:color="auto"/>
        <w:left w:val="none" w:sz="0" w:space="0" w:color="auto"/>
        <w:bottom w:val="none" w:sz="0" w:space="0" w:color="auto"/>
        <w:right w:val="none" w:sz="0" w:space="0" w:color="auto"/>
      </w:divBdr>
    </w:div>
    <w:div w:id="1477642533">
      <w:bodyDiv w:val="1"/>
      <w:marLeft w:val="0"/>
      <w:marRight w:val="0"/>
      <w:marTop w:val="0"/>
      <w:marBottom w:val="0"/>
      <w:divBdr>
        <w:top w:val="none" w:sz="0" w:space="0" w:color="auto"/>
        <w:left w:val="none" w:sz="0" w:space="0" w:color="auto"/>
        <w:bottom w:val="none" w:sz="0" w:space="0" w:color="auto"/>
        <w:right w:val="none" w:sz="0" w:space="0" w:color="auto"/>
      </w:divBdr>
    </w:div>
    <w:div w:id="1519273134">
      <w:bodyDiv w:val="1"/>
      <w:marLeft w:val="0"/>
      <w:marRight w:val="0"/>
      <w:marTop w:val="0"/>
      <w:marBottom w:val="0"/>
      <w:divBdr>
        <w:top w:val="none" w:sz="0" w:space="0" w:color="auto"/>
        <w:left w:val="none" w:sz="0" w:space="0" w:color="auto"/>
        <w:bottom w:val="none" w:sz="0" w:space="0" w:color="auto"/>
        <w:right w:val="none" w:sz="0" w:space="0" w:color="auto"/>
      </w:divBdr>
    </w:div>
    <w:div w:id="1565945626">
      <w:bodyDiv w:val="1"/>
      <w:marLeft w:val="0"/>
      <w:marRight w:val="0"/>
      <w:marTop w:val="0"/>
      <w:marBottom w:val="0"/>
      <w:divBdr>
        <w:top w:val="none" w:sz="0" w:space="0" w:color="auto"/>
        <w:left w:val="none" w:sz="0" w:space="0" w:color="auto"/>
        <w:bottom w:val="none" w:sz="0" w:space="0" w:color="auto"/>
        <w:right w:val="none" w:sz="0" w:space="0" w:color="auto"/>
      </w:divBdr>
    </w:div>
    <w:div w:id="1580288282">
      <w:bodyDiv w:val="1"/>
      <w:marLeft w:val="0"/>
      <w:marRight w:val="0"/>
      <w:marTop w:val="0"/>
      <w:marBottom w:val="0"/>
      <w:divBdr>
        <w:top w:val="none" w:sz="0" w:space="0" w:color="auto"/>
        <w:left w:val="none" w:sz="0" w:space="0" w:color="auto"/>
        <w:bottom w:val="none" w:sz="0" w:space="0" w:color="auto"/>
        <w:right w:val="none" w:sz="0" w:space="0" w:color="auto"/>
      </w:divBdr>
    </w:div>
    <w:div w:id="1650209821">
      <w:bodyDiv w:val="1"/>
      <w:marLeft w:val="0"/>
      <w:marRight w:val="0"/>
      <w:marTop w:val="0"/>
      <w:marBottom w:val="0"/>
      <w:divBdr>
        <w:top w:val="none" w:sz="0" w:space="0" w:color="auto"/>
        <w:left w:val="none" w:sz="0" w:space="0" w:color="auto"/>
        <w:bottom w:val="none" w:sz="0" w:space="0" w:color="auto"/>
        <w:right w:val="none" w:sz="0" w:space="0" w:color="auto"/>
      </w:divBdr>
    </w:div>
    <w:div w:id="1666783384">
      <w:bodyDiv w:val="1"/>
      <w:marLeft w:val="0"/>
      <w:marRight w:val="0"/>
      <w:marTop w:val="0"/>
      <w:marBottom w:val="0"/>
      <w:divBdr>
        <w:top w:val="none" w:sz="0" w:space="0" w:color="auto"/>
        <w:left w:val="none" w:sz="0" w:space="0" w:color="auto"/>
        <w:bottom w:val="none" w:sz="0" w:space="0" w:color="auto"/>
        <w:right w:val="none" w:sz="0" w:space="0" w:color="auto"/>
      </w:divBdr>
    </w:div>
    <w:div w:id="1776247142">
      <w:bodyDiv w:val="1"/>
      <w:marLeft w:val="0"/>
      <w:marRight w:val="0"/>
      <w:marTop w:val="0"/>
      <w:marBottom w:val="0"/>
      <w:divBdr>
        <w:top w:val="none" w:sz="0" w:space="0" w:color="auto"/>
        <w:left w:val="none" w:sz="0" w:space="0" w:color="auto"/>
        <w:bottom w:val="none" w:sz="0" w:space="0" w:color="auto"/>
        <w:right w:val="none" w:sz="0" w:space="0" w:color="auto"/>
      </w:divBdr>
    </w:div>
    <w:div w:id="199780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3_Barcelona\Email_discussion_TR\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5D204-FEE5-402F-8A08-9C64ABF5A706}">
  <ds:schemaRefs>
    <ds:schemaRef ds:uri="http://purl.org/dc/dcmitype/"/>
    <ds:schemaRef ds:uri="http://schemas.microsoft.com/office/infopath/2007/PartnerControls"/>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0C53F363-03CE-40A0-8B17-6508343F966C}">
  <ds:schemaRefs>
    <ds:schemaRef ds:uri="http://schemas.microsoft.com/office/2006/metadata/longProperties"/>
  </ds:schemaRefs>
</ds:datastoreItem>
</file>

<file path=customXml/itemProps3.xml><?xml version="1.0" encoding="utf-8"?>
<ds:datastoreItem xmlns:ds="http://schemas.openxmlformats.org/officeDocument/2006/customXml" ds:itemID="{BEF12EA0-9EAD-4F22-B03C-65424274C60E}">
  <ds:schemaRefs>
    <ds:schemaRef ds:uri="http://schemas.microsoft.com/sharepoint/v3/contenttype/forms"/>
  </ds:schemaRefs>
</ds:datastoreItem>
</file>

<file path=customXml/itemProps4.xml><?xml version="1.0" encoding="utf-8"?>
<ds:datastoreItem xmlns:ds="http://schemas.openxmlformats.org/officeDocument/2006/customXml" ds:itemID="{8100CFDB-48EC-4E3B-A135-7FA4B1EFB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575EA0A-3D3E-4822-A3D3-99AA3A2A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5</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dc:creator>
  <cp:lastModifiedBy>Qualcomm</cp:lastModifiedBy>
  <cp:revision>2</cp:revision>
  <cp:lastPrinted>2008-01-31T15:09:00Z</cp:lastPrinted>
  <dcterms:created xsi:type="dcterms:W3CDTF">2014-03-22T06:40:00Z</dcterms:created>
  <dcterms:modified xsi:type="dcterms:W3CDTF">2014-03-22T06:40:00Z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AdHocReviewCycleID">
    <vt:i4>-629387922</vt:i4>
  </property>
  <property fmtid="{D5CDD505-2E9C-101B-9397-08002B2CF9AE}" pid="4" name="_NewReviewCycle">
    <vt:lpwstr/>
  </property>
  <property fmtid="{D5CDD505-2E9C-101B-9397-08002B2CF9AE}" pid="5" name="_EmailSubject">
    <vt:lpwstr>TP on UL data compression ( was RE: Results for the UL data compression )</vt:lpwstr>
  </property>
  <property fmtid="{D5CDD505-2E9C-101B-9397-08002B2CF9AE}" pid="6" name="_AuthorEmail">
    <vt:lpwstr>venkatar@qti.qualcomm.com</vt:lpwstr>
  </property>
  <property fmtid="{D5CDD505-2E9C-101B-9397-08002B2CF9AE}" pid="7" name="_AuthorEmailDisplayName">
    <vt:lpwstr>Venkatachalam Jayara, Venkat</vt:lpwstr>
  </property>
  <property fmtid="{D5CDD505-2E9C-101B-9397-08002B2CF9AE}" pid="8" name="_ReviewingToolsShownOnce">
    <vt:lpwstr/>
  </property>
  <property fmtid="{D5CDD505-2E9C-101B-9397-08002B2CF9AE}" pid="9" name="ContentTypeId">
    <vt:lpwstr>0x010100673E2FB80D1DA44AA6455B39A8E5CD67</vt:lpwstr>
  </property>
  <property fmtid="{D5CDD505-2E9C-101B-9397-08002B2CF9AE}" pid="10" name="Order">
    <vt:lpwstr>7500.00000000000</vt:lpwstr>
  </property>
</Properties>
</file>