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389340" w14:textId="28D96B0D" w:rsidR="00A43F7C" w:rsidRPr="00CC127E" w:rsidRDefault="00A43F7C" w:rsidP="00A43F7C">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r w:rsidRPr="00CC127E">
        <w:rPr>
          <w:b w:val="0"/>
          <w:bCs/>
          <w:sz w:val="24"/>
        </w:rPr>
        <w:t>3GPP TSG RAN WG1 Meeting #7</w:t>
      </w:r>
      <w:r>
        <w:rPr>
          <w:b w:val="0"/>
          <w:bCs/>
          <w:sz w:val="24"/>
        </w:rPr>
        <w:t>6bis</w:t>
      </w:r>
      <w:r w:rsidRPr="00CC127E">
        <w:rPr>
          <w:b w:val="0"/>
          <w:bCs/>
          <w:sz w:val="24"/>
        </w:rPr>
        <w:tab/>
      </w:r>
      <w:r>
        <w:rPr>
          <w:b w:val="0"/>
          <w:bCs/>
          <w:sz w:val="24"/>
        </w:rPr>
        <w:tab/>
      </w:r>
      <w:r w:rsidR="007F517A" w:rsidRPr="007F517A">
        <w:rPr>
          <w:b w:val="0"/>
          <w:bCs/>
          <w:sz w:val="24"/>
        </w:rPr>
        <w:t>R1-141700</w:t>
      </w:r>
    </w:p>
    <w:p w14:paraId="7075B0E6" w14:textId="77777777" w:rsidR="00A43F7C" w:rsidRDefault="00A43F7C" w:rsidP="00A43F7C">
      <w:pPr>
        <w:pStyle w:val="Header"/>
        <w:tabs>
          <w:tab w:val="right" w:pos="8280"/>
          <w:tab w:val="right" w:pos="9630"/>
        </w:tabs>
        <w:ind w:right="9"/>
        <w:rPr>
          <w:b w:val="0"/>
          <w:bCs/>
          <w:sz w:val="24"/>
        </w:rPr>
      </w:pPr>
      <w:r>
        <w:rPr>
          <w:b w:val="0"/>
          <w:bCs/>
          <w:sz w:val="24"/>
        </w:rPr>
        <w:t>Shenzhen, China, March 31</w:t>
      </w:r>
      <w:r>
        <w:rPr>
          <w:rFonts w:cs="Arial"/>
          <w:b w:val="0"/>
          <w:bCs/>
          <w:sz w:val="24"/>
          <w:vertAlign w:val="superscript"/>
        </w:rPr>
        <w:t>st</w:t>
      </w:r>
      <w:r>
        <w:rPr>
          <w:rFonts w:cs="Arial"/>
          <w:b w:val="0"/>
          <w:bCs/>
          <w:sz w:val="24"/>
        </w:rPr>
        <w:t xml:space="preserve"> – April 4</w:t>
      </w:r>
      <w:r>
        <w:rPr>
          <w:rFonts w:cs="Arial"/>
          <w:b w:val="0"/>
          <w:bCs/>
          <w:sz w:val="24"/>
          <w:vertAlign w:val="superscript"/>
        </w:rPr>
        <w:t>th</w:t>
      </w:r>
      <w:r>
        <w:rPr>
          <w:rFonts w:cs="Arial"/>
          <w:b w:val="0"/>
          <w:bCs/>
          <w:sz w:val="24"/>
        </w:rPr>
        <w:t xml:space="preserve"> 2014</w:t>
      </w:r>
    </w:p>
    <w:p w14:paraId="6E105FAA" w14:textId="77777777" w:rsidR="00A43F7C" w:rsidRPr="00FC66EF" w:rsidRDefault="00A43F7C" w:rsidP="00A43F7C">
      <w:pPr>
        <w:pStyle w:val="Header"/>
        <w:tabs>
          <w:tab w:val="right" w:pos="8280"/>
          <w:tab w:val="right" w:pos="9781"/>
        </w:tabs>
        <w:ind w:right="-58"/>
        <w:rPr>
          <w:b w:val="0"/>
          <w:bCs/>
          <w:sz w:val="24"/>
        </w:rPr>
      </w:pPr>
    </w:p>
    <w:bookmarkEnd w:id="0"/>
    <w:p w14:paraId="0532DD32" w14:textId="77777777" w:rsidR="00A43F7C" w:rsidRPr="00B6394F" w:rsidRDefault="00A43F7C" w:rsidP="00A43F7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0B5C71F4" w14:textId="72BA50F5" w:rsidR="00A43F7C" w:rsidRPr="0084130D" w:rsidRDefault="00A43F7C" w:rsidP="000807B7">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Pr>
          <w:rFonts w:ascii="Arial" w:eastAsia="Times New Roman" w:hAnsi="Arial" w:cs="Arial"/>
          <w:bCs/>
          <w:sz w:val="24"/>
          <w:szCs w:val="24"/>
        </w:rPr>
        <w:t xml:space="preserve">Mechanisms for UL 10ms/20ms </w:t>
      </w:r>
      <w:r w:rsidR="000807B7">
        <w:rPr>
          <w:rFonts w:ascii="Arial" w:eastAsia="Times New Roman" w:hAnsi="Arial" w:cs="Arial"/>
          <w:bCs/>
          <w:sz w:val="24"/>
          <w:szCs w:val="24"/>
        </w:rPr>
        <w:t>transmission</w:t>
      </w:r>
    </w:p>
    <w:p w14:paraId="748C4640" w14:textId="5B7ED2DA" w:rsidR="00A43F7C" w:rsidRPr="00B6394F" w:rsidRDefault="00A43F7C" w:rsidP="00A43F7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7F517A" w:rsidRPr="007F517A">
        <w:rPr>
          <w:rFonts w:ascii="Arial" w:eastAsia="Times New Roman" w:hAnsi="Arial" w:cs="Arial"/>
          <w:sz w:val="24"/>
          <w:szCs w:val="24"/>
          <w:lang w:eastAsia="ko-KR"/>
        </w:rPr>
        <w:t>6.2.3</w:t>
      </w:r>
    </w:p>
    <w:p w14:paraId="1563695C" w14:textId="3EBFE361" w:rsidR="00A43F7C" w:rsidRPr="00D962EC" w:rsidRDefault="00A43F7C" w:rsidP="00D962E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Pr>
          <w:rFonts w:ascii="Arial" w:eastAsia="Times New Roman" w:hAnsi="Arial" w:cs="Arial"/>
          <w:sz w:val="24"/>
          <w:szCs w:val="24"/>
        </w:rPr>
        <w:t>Discussion/Decision</w:t>
      </w:r>
      <w:bookmarkStart w:id="4" w:name="_GoBack"/>
      <w:bookmarkEnd w:id="1"/>
      <w:bookmarkEnd w:id="2"/>
      <w:bookmarkEnd w:id="3"/>
      <w:bookmarkEnd w:id="4"/>
    </w:p>
    <w:p w14:paraId="21CDB3A8" w14:textId="77777777" w:rsidR="00A43F7C" w:rsidRDefault="00A43F7C" w:rsidP="00A43F7C">
      <w:pPr>
        <w:pStyle w:val="Heading1"/>
        <w:numPr>
          <w:ilvl w:val="0"/>
          <w:numId w:val="0"/>
        </w:numPr>
        <w:ind w:left="1440" w:hanging="1440"/>
      </w:pPr>
      <w:r>
        <w:t>1</w:t>
      </w:r>
      <w:r>
        <w:tab/>
      </w:r>
      <w:r w:rsidRPr="00663DD2">
        <w:t>Introduction</w:t>
      </w:r>
    </w:p>
    <w:p w14:paraId="6B720793" w14:textId="2EC6142E" w:rsidR="00A43F7C" w:rsidRDefault="00A43F7C" w:rsidP="000807B7">
      <w:r>
        <w:t xml:space="preserve">The design of UL channel considered for DCH Enhancement calls for mechanisms to use 10ms radio frame to transmit DPDCH, and dynamically select 20ms if needed. The exact </w:t>
      </w:r>
      <w:r w:rsidR="00D962EC">
        <w:t>mechanisms for this transmission time switching are</w:t>
      </w:r>
      <w:r>
        <w:t xml:space="preserve"> the subject of this contribution.  In particular, it is proposed to have a </w:t>
      </w:r>
      <w:r w:rsidR="000807B7">
        <w:t>10ms transmission</w:t>
      </w:r>
      <w:r>
        <w:t xml:space="preserve"> </w:t>
      </w:r>
      <w:r w:rsidR="00D962EC">
        <w:t>indicator for</w:t>
      </w:r>
      <w:r>
        <w:t xml:space="preserve"> each TFC, and instruct the physical layer to use 10ms or 20ms </w:t>
      </w:r>
      <w:r w:rsidR="000807B7">
        <w:t xml:space="preserve">transmission </w:t>
      </w:r>
      <w:r>
        <w:t>for each TFC.</w:t>
      </w:r>
    </w:p>
    <w:p w14:paraId="1099808D" w14:textId="77777777" w:rsidR="00A43F7C" w:rsidRDefault="00A43F7C" w:rsidP="00A43F7C">
      <w:pPr>
        <w:pStyle w:val="Heading1"/>
        <w:numPr>
          <w:ilvl w:val="0"/>
          <w:numId w:val="0"/>
        </w:numPr>
        <w:tabs>
          <w:tab w:val="left" w:pos="1440"/>
        </w:tabs>
        <w:ind w:left="1440" w:hanging="1440"/>
      </w:pPr>
      <w:r>
        <w:t>2</w:t>
      </w:r>
      <w:r>
        <w:tab/>
        <w:t>UL Design of DCH Enhancements</w:t>
      </w:r>
    </w:p>
    <w:p w14:paraId="6BE55525" w14:textId="264FA2BB" w:rsidR="00A43F7C" w:rsidRDefault="00A43F7C" w:rsidP="00A43F7C">
      <w:r>
        <w:t>Working assumption for the design of UL with DCH enhancements requires</w:t>
      </w:r>
      <w:r w:rsidR="00B22C51">
        <w:t>:</w:t>
      </w:r>
      <w:r>
        <w:t xml:space="preserve"> </w:t>
      </w:r>
    </w:p>
    <w:p w14:paraId="580067EC" w14:textId="77777777" w:rsidR="00A43F7C" w:rsidRPr="004F5FE1" w:rsidRDefault="00A43F7C" w:rsidP="00A43F7C">
      <w:pPr>
        <w:numPr>
          <w:ilvl w:val="0"/>
          <w:numId w:val="26"/>
        </w:numPr>
        <w:overflowPunct/>
        <w:autoSpaceDE/>
        <w:autoSpaceDN/>
        <w:adjustRightInd/>
        <w:spacing w:after="0"/>
        <w:textAlignment w:val="auto"/>
        <w:rPr>
          <w:rFonts w:eastAsia="MS Mincho"/>
          <w:lang w:eastAsia="ja-JP"/>
        </w:rPr>
      </w:pPr>
      <w:r>
        <w:rPr>
          <w:rFonts w:eastAsia="MS Mincho"/>
          <w:lang w:eastAsia="ja-JP"/>
        </w:rPr>
        <w:t>“</w:t>
      </w:r>
      <w:r w:rsidRPr="004F5FE1">
        <w:rPr>
          <w:rFonts w:eastAsia="MS Mincho"/>
          <w:lang w:eastAsia="ja-JP"/>
        </w:rPr>
        <w:t>Adopt the UL FET-less operation, where UE transmits the voice frame over one or two radio frames</w:t>
      </w:r>
    </w:p>
    <w:p w14:paraId="229FAFC3" w14:textId="77777777" w:rsidR="00A43F7C" w:rsidRPr="004F5FE1" w:rsidRDefault="00A43F7C" w:rsidP="00A43F7C">
      <w:pPr>
        <w:numPr>
          <w:ilvl w:val="1"/>
          <w:numId w:val="26"/>
        </w:numPr>
        <w:overflowPunct/>
        <w:autoSpaceDE/>
        <w:autoSpaceDN/>
        <w:adjustRightInd/>
        <w:spacing w:after="0"/>
        <w:textAlignment w:val="auto"/>
        <w:rPr>
          <w:rFonts w:eastAsia="MS Mincho"/>
          <w:lang w:eastAsia="ja-JP"/>
        </w:rPr>
      </w:pPr>
      <w:r w:rsidRPr="004F5FE1">
        <w:rPr>
          <w:rFonts w:eastAsia="MS Mincho"/>
          <w:lang w:eastAsia="ja-JP"/>
        </w:rPr>
        <w:t>The switch between 10 and 20 ms transmission could be e.g. based on UE power headroom</w:t>
      </w:r>
    </w:p>
    <w:p w14:paraId="63269C50" w14:textId="77777777" w:rsidR="00A43F7C" w:rsidRPr="004F5FE1" w:rsidRDefault="00A43F7C" w:rsidP="00A43F7C">
      <w:pPr>
        <w:numPr>
          <w:ilvl w:val="1"/>
          <w:numId w:val="26"/>
        </w:numPr>
        <w:overflowPunct/>
        <w:autoSpaceDE/>
        <w:autoSpaceDN/>
        <w:adjustRightInd/>
        <w:spacing w:after="0"/>
        <w:textAlignment w:val="auto"/>
        <w:rPr>
          <w:rFonts w:eastAsia="MS Mincho"/>
          <w:lang w:eastAsia="ja-JP"/>
        </w:rPr>
      </w:pPr>
      <w:r w:rsidRPr="004F5FE1">
        <w:rPr>
          <w:rFonts w:eastAsia="MS Mincho"/>
          <w:lang w:eastAsia="ja-JP"/>
        </w:rPr>
        <w:t>DL FET-ACK is not needed</w:t>
      </w:r>
    </w:p>
    <w:p w14:paraId="61EE6428" w14:textId="7082A0C8" w:rsidR="00A43F7C" w:rsidRPr="00BF7198" w:rsidRDefault="00A43F7C" w:rsidP="00A43F7C">
      <w:pPr>
        <w:numPr>
          <w:ilvl w:val="1"/>
          <w:numId w:val="26"/>
        </w:numPr>
        <w:overflowPunct/>
        <w:autoSpaceDE/>
        <w:autoSpaceDN/>
        <w:adjustRightInd/>
        <w:spacing w:after="0"/>
        <w:textAlignment w:val="auto"/>
        <w:rPr>
          <w:rFonts w:eastAsia="MS Mincho"/>
          <w:lang w:eastAsia="ja-JP"/>
        </w:rPr>
      </w:pPr>
      <w:r w:rsidRPr="004F5FE1">
        <w:rPr>
          <w:rFonts w:eastAsia="MS Mincho"/>
          <w:lang w:eastAsia="ja-JP"/>
        </w:rPr>
        <w:t>The 20 ms transmission interleaves the TB over the full 20 ms TTI according to Rel’99 design</w:t>
      </w:r>
      <w:r>
        <w:rPr>
          <w:rFonts w:eastAsia="MS Mincho"/>
          <w:lang w:eastAsia="ja-JP"/>
        </w:rPr>
        <w:t>.”</w:t>
      </w:r>
    </w:p>
    <w:p w14:paraId="11853EA8" w14:textId="412E8A9E" w:rsidR="00A43F7C" w:rsidRDefault="00A43F7C" w:rsidP="000807B7">
      <w:r>
        <w:t>While the 20ms transmission is proposed to follow Rel’99 design, more details are ne</w:t>
      </w:r>
      <w:r w:rsidR="00B22C51">
        <w:t>e</w:t>
      </w:r>
      <w:r>
        <w:t>d</w:t>
      </w:r>
      <w:r w:rsidR="00B22C51">
        <w:t>ed</w:t>
      </w:r>
      <w:r>
        <w:t xml:space="preserve"> for </w:t>
      </w:r>
      <w:r w:rsidR="000807B7">
        <w:t>dynamic 10ms transmission.</w:t>
      </w:r>
      <w:r>
        <w:t xml:space="preserve"> Further, the design requires a mechanism to switch between 10ms and 20ms transmission. </w:t>
      </w:r>
    </w:p>
    <w:p w14:paraId="3FC16AA1" w14:textId="64EDC284" w:rsidR="00A43F7C" w:rsidRDefault="00A43F7C" w:rsidP="007F517A">
      <w:pPr>
        <w:pStyle w:val="Heading2"/>
        <w:numPr>
          <w:ilvl w:val="0"/>
          <w:numId w:val="0"/>
        </w:numPr>
        <w:ind w:left="1077" w:hanging="1077"/>
      </w:pPr>
      <w:r>
        <w:t>2.1</w:t>
      </w:r>
      <w:r>
        <w:tab/>
        <w:t xml:space="preserve">Design of </w:t>
      </w:r>
      <w:r w:rsidR="006345D7">
        <w:t xml:space="preserve">UL DPDCH dynamic </w:t>
      </w:r>
      <w:r w:rsidR="006F77FB">
        <w:t>10ms transmission</w:t>
      </w:r>
    </w:p>
    <w:p w14:paraId="7A2473C8" w14:textId="693C2DDE" w:rsidR="00A43F7C" w:rsidRDefault="00A43F7C" w:rsidP="000807B7">
      <w:r>
        <w:t xml:space="preserve">The 10ms TTI configuration of Rel’99 may still be reused at the PHY layer for </w:t>
      </w:r>
      <w:r w:rsidR="006345D7">
        <w:t>10ms transmission of UL DPDCH</w:t>
      </w:r>
      <w:r>
        <w:t xml:space="preserve">.  In this scheme, the physical layer uses 10ms TTI configuration to transmit a transport block (with 20ms TTI) in the first 10ms radio frame, and blank the transport channel in the second 10ms radio frame. In other words, the actual 20ms TTI of transport channel remains unchanged, however, PHY layer uses 10ms TTI </w:t>
      </w:r>
      <w:r w:rsidR="000807B7">
        <w:t xml:space="preserve">value </w:t>
      </w:r>
      <w:r>
        <w:t xml:space="preserve">for interleaving, multiplexing, and rate matching, and other </w:t>
      </w:r>
      <w:r w:rsidR="000807B7">
        <w:t xml:space="preserve">similar </w:t>
      </w:r>
      <w:r>
        <w:t xml:space="preserve">physical layer procedures to transmit the transport blocks over the first 10ms radio frame, and blank the transport channels in the second radio frame. </w:t>
      </w:r>
    </w:p>
    <w:p w14:paraId="637AC2EE" w14:textId="6F57C350" w:rsidR="00A43F7C" w:rsidRDefault="00A43F7C" w:rsidP="000807B7">
      <w:r>
        <w:t xml:space="preserve">This way, none of </w:t>
      </w:r>
      <w:r w:rsidR="00C400AC">
        <w:t xml:space="preserve">the </w:t>
      </w:r>
      <w:r>
        <w:t xml:space="preserve">low-level physical layer operations such as interleaving, rate matching, or spreading mechanism in place today for Rel’99 require </w:t>
      </w:r>
      <w:r w:rsidR="000807B7">
        <w:t xml:space="preserve">any </w:t>
      </w:r>
      <w:r>
        <w:t xml:space="preserve">change, aside from using 10ms TTI </w:t>
      </w:r>
      <w:r w:rsidR="000807B7">
        <w:t xml:space="preserve">value to transmit the DPDCH in </w:t>
      </w:r>
      <w:r>
        <w:t xml:space="preserve">the first radio frame. To put it simply, TTI for DTCH with </w:t>
      </w:r>
      <w:r w:rsidR="000807B7">
        <w:t xml:space="preserve">10ms transmission </w:t>
      </w:r>
      <w:r w:rsidR="00EE1DAB">
        <w:t xml:space="preserve">still </w:t>
      </w:r>
      <w:r>
        <w:t xml:space="preserve">remains 20ms, consisting of two radio frames: The first radio frame uses 10ms TTI </w:t>
      </w:r>
      <w:r w:rsidR="000807B7">
        <w:t xml:space="preserve">value for physical layer rate matching, multiplexing, etc, </w:t>
      </w:r>
      <w:r>
        <w:t xml:space="preserve">and </w:t>
      </w:r>
      <w:r w:rsidR="000807B7">
        <w:t xml:space="preserve">in </w:t>
      </w:r>
      <w:r>
        <w:t>the second radio frame</w:t>
      </w:r>
      <w:r w:rsidR="000807B7">
        <w:t>, UL DPDCH</w:t>
      </w:r>
      <w:r>
        <w:t xml:space="preserve"> is blanked.</w:t>
      </w:r>
    </w:p>
    <w:p w14:paraId="0A3DD663" w14:textId="77777777" w:rsidR="00473FF2" w:rsidRDefault="00473FF2" w:rsidP="000807B7"/>
    <w:p w14:paraId="146AE524" w14:textId="1C896855" w:rsidR="00473FF2" w:rsidRDefault="00473FF2" w:rsidP="00473FF2">
      <w:r>
        <w:rPr>
          <w:b/>
          <w:bCs/>
        </w:rPr>
        <w:lastRenderedPageBreak/>
        <w:t>Proposal:  If 10ms transmission should be used for a given transport block, physical layer transmits the transport block over the first radio frame assuming the TTI is 10ms,</w:t>
      </w:r>
      <w:r>
        <w:rPr>
          <w:b/>
          <w:bCs/>
          <w:i/>
          <w:iCs/>
        </w:rPr>
        <w:t xml:space="preserve"> </w:t>
      </w:r>
      <w:r>
        <w:rPr>
          <w:b/>
          <w:bCs/>
        </w:rPr>
        <w:t>and blanks the subsequent radio frames of the TTI.</w:t>
      </w:r>
    </w:p>
    <w:p w14:paraId="7795074A" w14:textId="14ECC6B5" w:rsidR="00A43F7C" w:rsidRDefault="00A43F7C">
      <w:pPr>
        <w:pStyle w:val="Heading1"/>
        <w:numPr>
          <w:ilvl w:val="0"/>
          <w:numId w:val="0"/>
        </w:numPr>
        <w:ind w:left="1440" w:hanging="1440"/>
      </w:pPr>
      <w:r>
        <w:t>3</w:t>
      </w:r>
      <w:r>
        <w:tab/>
        <w:t xml:space="preserve">Switching between 10ms and 20ms </w:t>
      </w:r>
      <w:r w:rsidR="006345D7">
        <w:t>transmission</w:t>
      </w:r>
    </w:p>
    <w:p w14:paraId="3D44C397" w14:textId="59E424DB" w:rsidR="00D62A61" w:rsidRDefault="00A43F7C">
      <w:r>
        <w:t xml:space="preserve">The decision between 10ms or 20ms transmission depends on a number of factors. </w:t>
      </w:r>
      <w:r w:rsidR="00D62A61">
        <w:t xml:space="preserve">The decision to use 10ms transmission for a TFC </w:t>
      </w:r>
      <w:r w:rsidR="000807B7">
        <w:t>can</w:t>
      </w:r>
      <w:r w:rsidR="00D62A61">
        <w:t xml:space="preserve"> be based on a number of conditions and a state machine that tracks whether 10</w:t>
      </w:r>
      <w:r w:rsidR="000807B7">
        <w:t>ms transmission for a TFC</w:t>
      </w:r>
      <w:r w:rsidR="00D62A61">
        <w:t xml:space="preserve"> should be allowed based on past measurements of UE transmit powers. The conditions to allow 10ms transmission and the state machine to track applicability of 10ms transmission are discussed next.</w:t>
      </w:r>
    </w:p>
    <w:p w14:paraId="2703B336" w14:textId="77777777" w:rsidR="00A43F7C" w:rsidRDefault="00A43F7C" w:rsidP="00A43F7C">
      <w:pPr>
        <w:pStyle w:val="Heading2"/>
        <w:numPr>
          <w:ilvl w:val="0"/>
          <w:numId w:val="0"/>
        </w:numPr>
        <w:ind w:left="1077" w:hanging="1077"/>
      </w:pPr>
      <w:r>
        <w:t>3.1</w:t>
      </w:r>
      <w:r>
        <w:tab/>
        <w:t xml:space="preserve">Concurrency of multiple transport blocks or compressed gaps </w:t>
      </w:r>
    </w:p>
    <w:p w14:paraId="76CDDAD6" w14:textId="6F6C9B2C" w:rsidR="00A43F7C" w:rsidRPr="00176A52" w:rsidRDefault="00A43F7C">
      <w:r>
        <w:t xml:space="preserve">Physical layer configuration with </w:t>
      </w:r>
      <w:r w:rsidR="006345D7">
        <w:t>10m transmission</w:t>
      </w:r>
      <w:r>
        <w:t xml:space="preserve"> becomes complicated if two or more transport blocks are to be transmitted with different TTI values, eg., when both DTCH and DCCH channels simultaneously carry data with 20ms and 40ms TTIs, respectively. The payload with two or more transmit blocks is also often too large to be suitable for </w:t>
      </w:r>
      <w:r w:rsidR="000807B7">
        <w:t>10ms transmission</w:t>
      </w:r>
      <w:r>
        <w:t xml:space="preserve">. Thus, </w:t>
      </w:r>
      <w:r w:rsidR="000109D6">
        <w:t xml:space="preserve">it is proposed to </w:t>
      </w:r>
      <w:r>
        <w:t xml:space="preserve">disallow using </w:t>
      </w:r>
      <w:r w:rsidR="006345D7">
        <w:t>10ms transmission</w:t>
      </w:r>
      <w:r>
        <w:t xml:space="preserve"> when both DTCH and DCCH channels, with 20ms and 40ms TTIs, simultaneously carry transport blocks in one radio frame.</w:t>
      </w:r>
    </w:p>
    <w:p w14:paraId="52514B10" w14:textId="27E76FB9" w:rsidR="00A43F7C" w:rsidRDefault="00A43F7C" w:rsidP="000807B7">
      <w:r>
        <w:t xml:space="preserve">When it comes to TTIs with compressed mode gaps, there is not much gain from </w:t>
      </w:r>
      <w:r w:rsidR="000807B7">
        <w:t>10ms transmission,</w:t>
      </w:r>
      <w:r>
        <w:t xml:space="preserve"> since UL rate matching </w:t>
      </w:r>
      <w:r w:rsidR="00C027C7">
        <w:t xml:space="preserve">already </w:t>
      </w:r>
      <w:r>
        <w:t xml:space="preserve">compresses the transport blocks in such TTIs. </w:t>
      </w:r>
      <w:r w:rsidR="000807B7">
        <w:t>Without</w:t>
      </w:r>
      <w:r>
        <w:t xml:space="preserve"> any gain, allowing </w:t>
      </w:r>
      <w:r w:rsidR="000807B7">
        <w:t>10ms transmission</w:t>
      </w:r>
      <w:r>
        <w:t xml:space="preserve"> during TTIs with compressed-mode gaps increases complexity by requiring data-carrying slots to be relocated to avoid compressed-mode gaps; see for example Figure 5 of [2]. To avoid such complexities, it is proposed below to avoid </w:t>
      </w:r>
      <w:r w:rsidR="000807B7">
        <w:t>10ms transmission</w:t>
      </w:r>
      <w:r>
        <w:t xml:space="preserve"> during TTIs with compressed mode gaps.</w:t>
      </w:r>
    </w:p>
    <w:p w14:paraId="2EA7A567" w14:textId="2E68CCCA" w:rsidR="00473FF2" w:rsidRDefault="00473FF2" w:rsidP="00473FF2">
      <w:pPr>
        <w:rPr>
          <w:b/>
          <w:bCs/>
        </w:rPr>
      </w:pPr>
      <w:r>
        <w:rPr>
          <w:b/>
          <w:bCs/>
        </w:rPr>
        <w:t xml:space="preserve">Proposal: A TFC shall not use 10ms transmission in a TTI if at least two transport channels have different TTI values. </w:t>
      </w:r>
    </w:p>
    <w:p w14:paraId="685F5865" w14:textId="7C9040FB" w:rsidR="00473FF2" w:rsidRPr="00D962EC" w:rsidRDefault="00473FF2" w:rsidP="000807B7">
      <w:pPr>
        <w:rPr>
          <w:b/>
          <w:bCs/>
        </w:rPr>
      </w:pPr>
      <w:r>
        <w:rPr>
          <w:b/>
          <w:bCs/>
        </w:rPr>
        <w:t>Proposal</w:t>
      </w:r>
      <w:r w:rsidRPr="00797AC9">
        <w:rPr>
          <w:b/>
          <w:bCs/>
        </w:rPr>
        <w:t>:</w:t>
      </w:r>
      <w:r>
        <w:rPr>
          <w:b/>
          <w:bCs/>
        </w:rPr>
        <w:t xml:space="preserve"> A TFC shall not use 10ms transmission in a TTI if the TTI overlaps in time with a compressed-mode gap.</w:t>
      </w:r>
    </w:p>
    <w:p w14:paraId="13B9804E" w14:textId="66252A36" w:rsidR="00A43F7C" w:rsidRDefault="00A43F7C" w:rsidP="006F77FB">
      <w:pPr>
        <w:pStyle w:val="Heading2"/>
        <w:numPr>
          <w:ilvl w:val="0"/>
          <w:numId w:val="0"/>
        </w:numPr>
        <w:ind w:left="1077" w:hanging="1077"/>
      </w:pPr>
      <w:r>
        <w:t>3.2</w:t>
      </w:r>
      <w:r>
        <w:tab/>
        <w:t xml:space="preserve">Physical-layer </w:t>
      </w:r>
      <w:r w:rsidR="006F77FB">
        <w:t>10ms transmission</w:t>
      </w:r>
      <w:r>
        <w:t xml:space="preserve"> for a given TFC   </w:t>
      </w:r>
    </w:p>
    <w:p w14:paraId="4E7BDB7E" w14:textId="774B00B8" w:rsidR="00A43F7C" w:rsidRDefault="00A43F7C" w:rsidP="00A43F7C">
      <w:r>
        <w:t xml:space="preserve">A possible approach to define a criterion to select 10ms or 20ms physical layer TTI configuration is based on TFC selection mechanism in UE as described in Section 6.4 of [5].  Section 6.4 describes conditions that indicate whether a particular TFC is in </w:t>
      </w:r>
      <w:r w:rsidRPr="00C46E82">
        <w:rPr>
          <w:i/>
          <w:iCs/>
        </w:rPr>
        <w:t>Ex</w:t>
      </w:r>
      <w:r>
        <w:rPr>
          <w:i/>
          <w:iCs/>
        </w:rPr>
        <w:t xml:space="preserve">cess-Power </w:t>
      </w:r>
      <w:r>
        <w:t>state. Using UE transmitted power measurement as defined in [4], Section 6.4.2 of [5] defines a procedure to determine whether a particular TFC is in Excess-Power state, based on number of times the estimated UE transmit power needed for this TFC in past measurement periods is greater than the Maximum UE transmitter power as defined in Section 6.5 of [5].</w:t>
      </w:r>
    </w:p>
    <w:p w14:paraId="00A06298" w14:textId="0E38F7E0" w:rsidR="00A43F7C" w:rsidRDefault="00A43F7C" w:rsidP="000807B7">
      <w:r>
        <w:t xml:space="preserve">With dynamic </w:t>
      </w:r>
      <w:r w:rsidR="006345D7">
        <w:t>10ms transmission</w:t>
      </w:r>
      <w:r>
        <w:t xml:space="preserve">, each TFC may be transmitted using 10ms or 20ms </w:t>
      </w:r>
      <w:r w:rsidR="008B299D">
        <w:t xml:space="preserve">physical-layer TTI </w:t>
      </w:r>
      <w:r>
        <w:t xml:space="preserve">configuration, and the gain factors for DPDCH and DPCCH need to be defined for 10ms </w:t>
      </w:r>
      <w:r w:rsidR="00C027C7">
        <w:t xml:space="preserve">and </w:t>
      </w:r>
      <w:r>
        <w:t>20ms configuration</w:t>
      </w:r>
      <w:r w:rsidR="00C027C7">
        <w:t>s</w:t>
      </w:r>
      <w:r>
        <w:t>.  The gain factors for 10ms and 20ms configurations for each TFC may be signalled by the network for 10ms and 20ms</w:t>
      </w:r>
      <w:r w:rsidR="00403464">
        <w:t xml:space="preserve"> </w:t>
      </w:r>
      <w:r w:rsidR="000807B7">
        <w:t>transmissions</w:t>
      </w:r>
      <w:r>
        <w:t xml:space="preserve">. </w:t>
      </w:r>
    </w:p>
    <w:p w14:paraId="23F31153" w14:textId="11CE1986" w:rsidR="00A43F7C" w:rsidRDefault="00A43F7C">
      <w:r>
        <w:t xml:space="preserve">With different DPDCH and DPCCH gain factors </w:t>
      </w:r>
      <w:r w:rsidR="008B299D">
        <w:t xml:space="preserve">for 10ms </w:t>
      </w:r>
      <w:r w:rsidR="006345D7">
        <w:t>transmission</w:t>
      </w:r>
      <w:r>
        <w:t xml:space="preserve"> and </w:t>
      </w:r>
      <w:r w:rsidR="008B299D">
        <w:t xml:space="preserve">20ms </w:t>
      </w:r>
      <w:r w:rsidR="006345D7">
        <w:t>transmission</w:t>
      </w:r>
      <w:r>
        <w:t xml:space="preserve">, a procedure based on Section 6.4.2 of [5] can be defined to select </w:t>
      </w:r>
      <w:r w:rsidR="006345D7">
        <w:t xml:space="preserve">10ms or 20ms transmission </w:t>
      </w:r>
      <w:r>
        <w:t>as follows.</w:t>
      </w:r>
    </w:p>
    <w:p w14:paraId="3EEC6828" w14:textId="35FEADDF" w:rsidR="00A43F7C" w:rsidRDefault="006345D7" w:rsidP="00473FF2">
      <w:r>
        <w:lastRenderedPageBreak/>
        <w:t>T</w:t>
      </w:r>
      <w:r w:rsidR="00A43F7C">
        <w:t xml:space="preserve">he state machine for TFC </w:t>
      </w:r>
      <w:r>
        <w:t>selection</w:t>
      </w:r>
      <w:r w:rsidR="00A43F7C">
        <w:t xml:space="preserve"> in Figure 11.4.1 of [6]</w:t>
      </w:r>
      <w:r w:rsidR="000807B7">
        <w:t xml:space="preserve"> are influenced by gain factors used</w:t>
      </w:r>
      <w:r w:rsidR="00473FF2">
        <w:t xml:space="preserve"> to estimate UE transmit power</w:t>
      </w:r>
      <w:r w:rsidR="000807B7">
        <w:t>. To avoid any impact to these state machines</w:t>
      </w:r>
      <w:r w:rsidR="00A43F7C">
        <w:t xml:space="preserve">, or any other upper layer mechanism for TFC or rate selection (for example, selection between AMR codec adaptive rate operation), estimated UE transmit power measurements are based on gain factors </w:t>
      </w:r>
      <w:r>
        <w:t xml:space="preserve">for </w:t>
      </w:r>
      <w:r w:rsidR="008B299D">
        <w:t xml:space="preserve">20ms </w:t>
      </w:r>
      <w:r>
        <w:t>transmission</w:t>
      </w:r>
      <w:r w:rsidR="00A43F7C">
        <w:t>.</w:t>
      </w:r>
      <w:r w:rsidR="00A43F7C" w:rsidRPr="004F7052">
        <w:t xml:space="preserve"> </w:t>
      </w:r>
      <w:r w:rsidR="00A43F7C">
        <w:t xml:space="preserve"> In other words, </w:t>
      </w:r>
      <w:r w:rsidR="00A43F7C" w:rsidRPr="004F7052">
        <w:t xml:space="preserve">whether </w:t>
      </w:r>
      <w:r w:rsidR="00473FF2">
        <w:t xml:space="preserve">or not the </w:t>
      </w:r>
      <w:r w:rsidR="00A43F7C" w:rsidRPr="004F7052">
        <w:t xml:space="preserve">estimated UE transmit power for a given TFC is greater than the Maximum UE transmit power (which affects whether </w:t>
      </w:r>
      <w:r w:rsidR="00A43F7C" w:rsidRPr="004F7052">
        <w:rPr>
          <w:i/>
          <w:iCs/>
        </w:rPr>
        <w:t>Elimination</w:t>
      </w:r>
      <w:r w:rsidR="00A43F7C" w:rsidRPr="004F7052">
        <w:t xml:space="preserve"> or </w:t>
      </w:r>
      <w:r w:rsidR="00A43F7C" w:rsidRPr="004F7052">
        <w:rPr>
          <w:i/>
          <w:iCs/>
        </w:rPr>
        <w:t xml:space="preserve">Recovery </w:t>
      </w:r>
      <w:r w:rsidR="00A43F7C" w:rsidRPr="004F7052">
        <w:t>criteria for the given TFC are detected)</w:t>
      </w:r>
      <w:r w:rsidR="00A43F7C">
        <w:t xml:space="preserve"> is determined</w:t>
      </w:r>
      <w:r w:rsidR="00A43F7C" w:rsidRPr="004F7052">
        <w:t xml:space="preserve"> using the</w:t>
      </w:r>
      <w:r w:rsidR="008B299D">
        <w:t xml:space="preserve"> standard</w:t>
      </w:r>
      <w:r w:rsidR="00A43F7C" w:rsidRPr="004F7052">
        <w:t xml:space="preserve"> gain factors according to the procedure in Section 6.4.2 of [5].</w:t>
      </w:r>
    </w:p>
    <w:p w14:paraId="461CD623" w14:textId="40928240" w:rsidR="00A43F7C" w:rsidRDefault="00A43F7C" w:rsidP="00A43F7C">
      <w:r>
        <w:rPr>
          <w:b/>
          <w:bCs/>
        </w:rPr>
        <w:t xml:space="preserve">Maintain a </w:t>
      </w:r>
      <w:r w:rsidR="006345D7">
        <w:rPr>
          <w:b/>
          <w:bCs/>
        </w:rPr>
        <w:t>10ms transmission</w:t>
      </w:r>
      <w:r>
        <w:rPr>
          <w:b/>
          <w:bCs/>
        </w:rPr>
        <w:t xml:space="preserve"> state machine </w:t>
      </w:r>
      <w:r>
        <w:t xml:space="preserve">with two states for each TFC, similar to state machine for state of a given TFC in Figure 11.4.1 of [6]. The two states to be maintained by this state machine are </w:t>
      </w:r>
      <w:r w:rsidR="00BA3C5B">
        <w:t>10ms</w:t>
      </w:r>
      <w:r>
        <w:t xml:space="preserve"> and </w:t>
      </w:r>
      <w:r w:rsidR="00BA3C5B">
        <w:t>20ms</w:t>
      </w:r>
      <w:r>
        <w:t>.  The transition criteria to transition from</w:t>
      </w:r>
      <w:r w:rsidR="00D54073">
        <w:t xml:space="preserve"> the</w:t>
      </w:r>
      <w:r>
        <w:t xml:space="preserve"> </w:t>
      </w:r>
      <w:r w:rsidR="00BA3C5B">
        <w:t>10ms</w:t>
      </w:r>
      <w:r>
        <w:t xml:space="preserve"> </w:t>
      </w:r>
      <w:r w:rsidR="00D54073">
        <w:t xml:space="preserve">state </w:t>
      </w:r>
      <w:r>
        <w:t>to</w:t>
      </w:r>
      <w:r w:rsidR="00D54073">
        <w:t xml:space="preserve"> the</w:t>
      </w:r>
      <w:r>
        <w:t xml:space="preserve"> </w:t>
      </w:r>
      <w:r w:rsidR="00BA3C5B">
        <w:t>20ms</w:t>
      </w:r>
      <w:r>
        <w:t xml:space="preserve"> state, and vice versa, are </w:t>
      </w:r>
      <w:r>
        <w:rPr>
          <w:i/>
          <w:iCs/>
        </w:rPr>
        <w:t>Restrict</w:t>
      </w:r>
      <w:r>
        <w:t xml:space="preserve"> and </w:t>
      </w:r>
      <w:r>
        <w:rPr>
          <w:i/>
          <w:iCs/>
        </w:rPr>
        <w:t>Revive</w:t>
      </w:r>
      <w:r>
        <w:t xml:space="preserve">. </w:t>
      </w:r>
    </w:p>
    <w:p w14:paraId="46AFA5B9" w14:textId="4622462A" w:rsidR="00473FF2" w:rsidRDefault="00473FF2" w:rsidP="00473FF2">
      <w:pPr>
        <w:rPr>
          <w:b/>
          <w:bCs/>
        </w:rPr>
      </w:pPr>
      <w:r>
        <w:rPr>
          <w:b/>
          <w:bCs/>
        </w:rPr>
        <w:t xml:space="preserve">Proposal: A state attribute for each transport format </w:t>
      </w:r>
      <w:r w:rsidR="00D962EC">
        <w:rPr>
          <w:b/>
          <w:bCs/>
        </w:rPr>
        <w:t>combination tracks</w:t>
      </w:r>
      <w:r>
        <w:rPr>
          <w:b/>
          <w:bCs/>
        </w:rPr>
        <w:t xml:space="preserve"> whether 10ms transmission is applicable for that TFC or not, </w:t>
      </w:r>
      <w:r w:rsidRPr="00B17B52">
        <w:rPr>
          <w:b/>
          <w:bCs/>
        </w:rPr>
        <w:t>on a per TTI basis</w:t>
      </w:r>
      <w:r>
        <w:rPr>
          <w:b/>
          <w:bCs/>
        </w:rPr>
        <w:t>.</w:t>
      </w:r>
    </w:p>
    <w:p w14:paraId="579EA1FF" w14:textId="77777777" w:rsidR="00473FF2" w:rsidRDefault="00473FF2" w:rsidP="00A43F7C"/>
    <w:p w14:paraId="5B4FE490" w14:textId="431937A0" w:rsidR="00A43F7C" w:rsidRDefault="00FA02F5" w:rsidP="00A43F7C">
      <w:pPr>
        <w:jc w:val="center"/>
      </w:pPr>
      <w:r w:rsidRPr="00FA02F5">
        <w:rPr>
          <w:noProof/>
          <w:lang w:val="en-US"/>
        </w:rPr>
        <w:drawing>
          <wp:inline distT="0" distB="0" distL="0" distR="0" wp14:anchorId="19FB6117" wp14:editId="12BC952D">
            <wp:extent cx="3079750" cy="181811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9750" cy="1818114"/>
                    </a:xfrm>
                    <a:prstGeom prst="rect">
                      <a:avLst/>
                    </a:prstGeom>
                    <a:noFill/>
                    <a:ln>
                      <a:noFill/>
                    </a:ln>
                  </pic:spPr>
                </pic:pic>
              </a:graphicData>
            </a:graphic>
          </wp:inline>
        </w:drawing>
      </w:r>
    </w:p>
    <w:p w14:paraId="604C31EB" w14:textId="31DA9290" w:rsidR="00A43F7C" w:rsidRPr="00BF7198" w:rsidRDefault="00A43F7C" w:rsidP="00BF7198">
      <w:pPr>
        <w:pStyle w:val="Caption"/>
        <w:jc w:val="center"/>
        <w:rPr>
          <w:rFonts w:ascii="Times New Roman" w:hAnsi="Times New Roman"/>
          <w:b/>
          <w:bCs/>
        </w:rPr>
      </w:pPr>
      <w:r w:rsidRPr="00A01ECA">
        <w:rPr>
          <w:rFonts w:ascii="Times New Roman" w:hAnsi="Times New Roman"/>
          <w:b/>
          <w:bCs/>
        </w:rPr>
        <w:t>Figure</w:t>
      </w:r>
      <w:r>
        <w:rPr>
          <w:rFonts w:ascii="Times New Roman" w:hAnsi="Times New Roman"/>
          <w:b/>
          <w:bCs/>
        </w:rPr>
        <w:t xml:space="preserve"> 1</w:t>
      </w:r>
      <w:r w:rsidRPr="00A01ECA">
        <w:rPr>
          <w:rFonts w:ascii="Times New Roman" w:hAnsi="Times New Roman"/>
          <w:b/>
          <w:bCs/>
        </w:rPr>
        <w:t xml:space="preserve">: </w:t>
      </w:r>
      <w:r>
        <w:rPr>
          <w:rFonts w:ascii="Times New Roman" w:hAnsi="Times New Roman"/>
          <w:b/>
          <w:bCs/>
          <w:lang w:val="en-US"/>
        </w:rPr>
        <w:t xml:space="preserve">State </w:t>
      </w:r>
      <w:r w:rsidR="00FA02F5">
        <w:rPr>
          <w:rFonts w:ascii="Times New Roman" w:hAnsi="Times New Roman"/>
          <w:b/>
          <w:bCs/>
          <w:lang w:val="en-US"/>
        </w:rPr>
        <w:t>machine to maintain TFC states with</w:t>
      </w:r>
      <w:r>
        <w:rPr>
          <w:rFonts w:ascii="Times New Roman" w:hAnsi="Times New Roman"/>
          <w:b/>
          <w:bCs/>
          <w:lang w:val="en-US"/>
        </w:rPr>
        <w:t xml:space="preserve"> </w:t>
      </w:r>
      <w:r w:rsidR="00917C54">
        <w:rPr>
          <w:rFonts w:ascii="Times New Roman" w:hAnsi="Times New Roman"/>
          <w:b/>
          <w:bCs/>
          <w:lang w:val="en-US"/>
        </w:rPr>
        <w:t xml:space="preserve">UL DPDCH </w:t>
      </w:r>
      <w:r>
        <w:rPr>
          <w:rFonts w:ascii="Times New Roman" w:hAnsi="Times New Roman"/>
          <w:b/>
          <w:bCs/>
          <w:lang w:val="en-US"/>
        </w:rPr>
        <w:t xml:space="preserve">dynamic </w:t>
      </w:r>
      <w:r w:rsidR="00917C54">
        <w:rPr>
          <w:rFonts w:ascii="Times New Roman" w:hAnsi="Times New Roman"/>
          <w:b/>
          <w:bCs/>
          <w:lang w:val="en-US"/>
        </w:rPr>
        <w:t>10ms transmission</w:t>
      </w:r>
    </w:p>
    <w:p w14:paraId="6623F24A" w14:textId="1675AC9F" w:rsidR="00A43F7C" w:rsidRDefault="00A43F7C" w:rsidP="00473FF2">
      <w:r>
        <w:t xml:space="preserve">The </w:t>
      </w:r>
      <w:r>
        <w:rPr>
          <w:b/>
          <w:bCs/>
        </w:rPr>
        <w:t>Restrict</w:t>
      </w:r>
      <w:r>
        <w:t xml:space="preserve"> criterion is considered to be detected if the estimated transmit power needed for this TFC with </w:t>
      </w:r>
      <w:r w:rsidR="00473FF2">
        <w:t>10ms transmission</w:t>
      </w:r>
      <w:r>
        <w:t xml:space="preserve">, calculated using the procedure of Section 6.4.2 of [5] using DPDCH and DPCCH gain factors corresponding to </w:t>
      </w:r>
      <w:r w:rsidR="008B299D">
        <w:t xml:space="preserve">10ms </w:t>
      </w:r>
      <w:r w:rsidR="00917C54">
        <w:t>transmission</w:t>
      </w:r>
      <w:r>
        <w:t>, is greater than the Maximum UE transmitter power for at least K out of the last L successive measurement periods imm</w:t>
      </w:r>
      <w:r w:rsidR="00BF7198">
        <w:t xml:space="preserve">ediately preceding evaluation. </w:t>
      </w:r>
      <w:r>
        <w:t xml:space="preserve">The UE considers that the TFC is in </w:t>
      </w:r>
      <w:r w:rsidR="00BA3C5B">
        <w:t>20ms</w:t>
      </w:r>
      <w:r>
        <w:t xml:space="preserve"> state.</w:t>
      </w:r>
    </w:p>
    <w:p w14:paraId="0C12ECA2" w14:textId="32B00D95" w:rsidR="00A43F7C" w:rsidRDefault="00A43F7C" w:rsidP="00473FF2">
      <w:r w:rsidRPr="007A4477">
        <w:t xml:space="preserve">The </w:t>
      </w:r>
      <w:r>
        <w:rPr>
          <w:b/>
          <w:bCs/>
        </w:rPr>
        <w:t>Revive</w:t>
      </w:r>
      <w:r>
        <w:t xml:space="preserve"> criterion is considered to be detected if the estimated transmit power needed for this TFC with </w:t>
      </w:r>
      <w:r w:rsidR="00473FF2">
        <w:t>10ms transmission</w:t>
      </w:r>
      <w:r>
        <w:t xml:space="preserve">, calculated using the procedure of Section 6.4.2 of [5] using DPDCH and DPCCH gain factors corresponding to </w:t>
      </w:r>
      <w:r w:rsidR="008B299D">
        <w:t xml:space="preserve">10ms </w:t>
      </w:r>
      <w:r w:rsidR="00917C54">
        <w:t>transmission</w:t>
      </w:r>
      <w:r>
        <w:t xml:space="preserve">, has </w:t>
      </w:r>
      <w:r w:rsidRPr="00BF7198">
        <w:rPr>
          <w:b/>
        </w:rPr>
        <w:t>not</w:t>
      </w:r>
      <w:r>
        <w:t xml:space="preserve"> been greater than the Maximum UE transmitter power for the last M successive measurement periods imm</w:t>
      </w:r>
      <w:r w:rsidR="00BF7198">
        <w:t xml:space="preserve">ediately preceding evaluation. </w:t>
      </w:r>
      <w:r>
        <w:t xml:space="preserve">The UE considers that the TFC is in </w:t>
      </w:r>
      <w:r w:rsidR="00FA02F5">
        <w:t>10ms</w:t>
      </w:r>
      <w:r w:rsidR="00917C54">
        <w:t xml:space="preserve"> </w:t>
      </w:r>
      <w:r>
        <w:t>state.</w:t>
      </w:r>
    </w:p>
    <w:p w14:paraId="25BCCDEA" w14:textId="548C2815" w:rsidR="00473FF2" w:rsidRPr="00D962EC" w:rsidRDefault="00473FF2" w:rsidP="00473FF2">
      <w:pPr>
        <w:rPr>
          <w:b/>
          <w:bCs/>
        </w:rPr>
      </w:pPr>
      <w:r>
        <w:rPr>
          <w:b/>
          <w:bCs/>
        </w:rPr>
        <w:t>Proposal: The transition between 10ms state and 20ms state is based on estimated UE transmit power using DPDCH and DPCCH gain factors corresponding with 10ms physical-layer TTI configuration and 20ms physical layer configuration.</w:t>
      </w:r>
    </w:p>
    <w:p w14:paraId="2FE559DD" w14:textId="363FB4FE" w:rsidR="00BF0A07" w:rsidRDefault="00A43F7C" w:rsidP="00A43F7C">
      <w:r>
        <w:t xml:space="preserve">The exact parameters of the </w:t>
      </w:r>
      <w:r w:rsidR="00917C54">
        <w:t>dynamic 10ms transmission</w:t>
      </w:r>
      <w:r>
        <w:t xml:space="preserve"> state machine </w:t>
      </w:r>
      <w:r w:rsidR="00473FF2">
        <w:t xml:space="preserve">is proposed to </w:t>
      </w:r>
      <w:r>
        <w:t>be configured by the network to allow for a degree of control from the</w:t>
      </w:r>
      <w:r w:rsidR="00BF7198">
        <w:t xml:space="preserve"> network side on UE behaviour. </w:t>
      </w:r>
      <w:r>
        <w:t>Table 1 provides a suggested set of values for K, L, and M valu</w:t>
      </w:r>
      <w:r w:rsidR="00BF7198">
        <w:t xml:space="preserve">es. </w:t>
      </w:r>
      <w:r>
        <w:t xml:space="preserve">Notice that compared to X=15,Y=30, and Z=15 parameters for TFC selection state machine in Section 6.4.2 of [5], which suggests a window of 30 radio frames measurement to eliminate a TFC, the parameters of </w:t>
      </w:r>
      <w:r w:rsidR="00473FF2">
        <w:t>dynamic 10ms transmission</w:t>
      </w:r>
      <w:r>
        <w:t xml:space="preserve"> allow for a </w:t>
      </w:r>
      <w:r w:rsidR="00473FF2">
        <w:t xml:space="preserve">faster </w:t>
      </w:r>
      <w:r>
        <w:t>reaction to U</w:t>
      </w:r>
      <w:r w:rsidR="00BF7198">
        <w:t xml:space="preserve">E transmit power requirements. </w:t>
      </w:r>
      <w:r>
        <w:t>These faster dynamics</w:t>
      </w:r>
      <w:r w:rsidR="00917C54">
        <w:t xml:space="preserve"> for dynamic </w:t>
      </w:r>
      <w:r w:rsidR="006F77FB">
        <w:lastRenderedPageBreak/>
        <w:t>10ms transmission</w:t>
      </w:r>
      <w:r>
        <w:t xml:space="preserve"> are justified since there are no upper-layer consequences</w:t>
      </w:r>
      <w:r w:rsidR="00473FF2">
        <w:t xml:space="preserve"> like excessive signalling</w:t>
      </w:r>
      <w:r>
        <w:t xml:space="preserve"> for </w:t>
      </w:r>
      <w:r w:rsidR="00917C54">
        <w:t>using 10ms transmission</w:t>
      </w:r>
      <w:r>
        <w:t>.</w:t>
      </w:r>
    </w:p>
    <w:p w14:paraId="5425E9AC" w14:textId="77777777" w:rsidR="00A43F7C" w:rsidRPr="002B42C8" w:rsidRDefault="00A43F7C" w:rsidP="00A43F7C">
      <w:pPr>
        <w:pStyle w:val="Caption"/>
        <w:jc w:val="center"/>
        <w:rPr>
          <w:rFonts w:ascii="Times New Roman" w:hAnsi="Times New Roman"/>
          <w:b/>
          <w:bCs/>
        </w:rPr>
      </w:pPr>
      <w:r>
        <w:rPr>
          <w:rFonts w:ascii="Times New Roman" w:hAnsi="Times New Roman"/>
          <w:b/>
          <w:bCs/>
        </w:rPr>
        <w:t>Table 1: Parameters controlling physical-layer TTI configuration transitions</w:t>
      </w:r>
    </w:p>
    <w:tbl>
      <w:tblPr>
        <w:tblStyle w:val="TableClassic1"/>
        <w:tblpPr w:leftFromText="180" w:rightFromText="180" w:vertAnchor="text" w:tblpX="2898" w:tblpY="1"/>
        <w:tblOverlap w:val="never"/>
        <w:tblW w:w="4068" w:type="dxa"/>
        <w:tblLook w:val="04A0" w:firstRow="1" w:lastRow="0" w:firstColumn="1" w:lastColumn="0" w:noHBand="0" w:noVBand="1"/>
      </w:tblPr>
      <w:tblGrid>
        <w:gridCol w:w="1080"/>
        <w:gridCol w:w="1800"/>
        <w:gridCol w:w="1188"/>
      </w:tblGrid>
      <w:tr w:rsidR="00A43F7C" w14:paraId="3D69F668" w14:textId="77777777" w:rsidTr="00B22C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Borders>
              <w:top w:val="single" w:sz="12" w:space="0" w:color="000000"/>
              <w:right w:val="nil"/>
            </w:tcBorders>
          </w:tcPr>
          <w:p w14:paraId="4D825FFF" w14:textId="77777777" w:rsidR="00A43F7C" w:rsidRDefault="00A43F7C" w:rsidP="00B22C51">
            <w:pPr>
              <w:jc w:val="center"/>
            </w:pPr>
            <w:r>
              <w:t>K</w:t>
            </w:r>
          </w:p>
        </w:tc>
        <w:tc>
          <w:tcPr>
            <w:tcW w:w="1800" w:type="dxa"/>
            <w:tcBorders>
              <w:left w:val="nil"/>
            </w:tcBorders>
          </w:tcPr>
          <w:p w14:paraId="1DA9A4C9" w14:textId="77777777" w:rsidR="00A43F7C" w:rsidRDefault="00A43F7C" w:rsidP="00B22C51">
            <w:pPr>
              <w:jc w:val="center"/>
              <w:cnfStyle w:val="100000000000" w:firstRow="1" w:lastRow="0" w:firstColumn="0" w:lastColumn="0" w:oddVBand="0" w:evenVBand="0" w:oddHBand="0" w:evenHBand="0" w:firstRowFirstColumn="0" w:firstRowLastColumn="0" w:lastRowFirstColumn="0" w:lastRowLastColumn="0"/>
            </w:pPr>
            <w:r>
              <w:t>L</w:t>
            </w:r>
          </w:p>
        </w:tc>
        <w:tc>
          <w:tcPr>
            <w:tcW w:w="1188" w:type="dxa"/>
          </w:tcPr>
          <w:p w14:paraId="1023831F" w14:textId="77777777" w:rsidR="00A43F7C" w:rsidRDefault="00A43F7C" w:rsidP="00B22C51">
            <w:pPr>
              <w:jc w:val="center"/>
              <w:cnfStyle w:val="100000000000" w:firstRow="1" w:lastRow="0" w:firstColumn="0" w:lastColumn="0" w:oddVBand="0" w:evenVBand="0" w:oddHBand="0" w:evenHBand="0" w:firstRowFirstColumn="0" w:firstRowLastColumn="0" w:lastRowFirstColumn="0" w:lastRowLastColumn="0"/>
            </w:pPr>
            <w:r>
              <w:t>M</w:t>
            </w:r>
          </w:p>
        </w:tc>
      </w:tr>
      <w:tr w:rsidR="00A43F7C" w14:paraId="3F50F2D7" w14:textId="77777777" w:rsidTr="00B22C51">
        <w:tc>
          <w:tcPr>
            <w:cnfStyle w:val="001000000000" w:firstRow="0" w:lastRow="0" w:firstColumn="1" w:lastColumn="0" w:oddVBand="0" w:evenVBand="0" w:oddHBand="0" w:evenHBand="0" w:firstRowFirstColumn="0" w:firstRowLastColumn="0" w:lastRowFirstColumn="0" w:lastRowLastColumn="0"/>
            <w:tcW w:w="1080" w:type="dxa"/>
            <w:tcBorders>
              <w:top w:val="single" w:sz="12" w:space="0" w:color="auto"/>
              <w:bottom w:val="single" w:sz="12" w:space="0" w:color="000000"/>
              <w:right w:val="nil"/>
            </w:tcBorders>
          </w:tcPr>
          <w:p w14:paraId="251ECBD3" w14:textId="77777777" w:rsidR="00A43F7C" w:rsidRPr="002B42C8" w:rsidRDefault="00A43F7C" w:rsidP="00B22C51">
            <w:pPr>
              <w:jc w:val="center"/>
              <w:rPr>
                <w:b w:val="0"/>
                <w:bCs/>
              </w:rPr>
            </w:pPr>
            <w:r w:rsidRPr="002B42C8">
              <w:rPr>
                <w:b w:val="0"/>
                <w:bCs/>
              </w:rPr>
              <w:t>5</w:t>
            </w:r>
          </w:p>
        </w:tc>
        <w:tc>
          <w:tcPr>
            <w:tcW w:w="1800" w:type="dxa"/>
            <w:tcBorders>
              <w:left w:val="nil"/>
            </w:tcBorders>
          </w:tcPr>
          <w:p w14:paraId="297E218A" w14:textId="77777777" w:rsidR="00A43F7C" w:rsidRDefault="00A43F7C" w:rsidP="00B22C51">
            <w:pPr>
              <w:jc w:val="center"/>
              <w:cnfStyle w:val="000000000000" w:firstRow="0" w:lastRow="0" w:firstColumn="0" w:lastColumn="0" w:oddVBand="0" w:evenVBand="0" w:oddHBand="0" w:evenHBand="0" w:firstRowFirstColumn="0" w:firstRowLastColumn="0" w:lastRowFirstColumn="0" w:lastRowLastColumn="0"/>
            </w:pPr>
            <w:r>
              <w:t>10</w:t>
            </w:r>
          </w:p>
        </w:tc>
        <w:tc>
          <w:tcPr>
            <w:tcW w:w="1188" w:type="dxa"/>
          </w:tcPr>
          <w:p w14:paraId="66D97456" w14:textId="77777777" w:rsidR="00A43F7C" w:rsidRDefault="00A43F7C" w:rsidP="00B22C51">
            <w:pPr>
              <w:jc w:val="center"/>
              <w:cnfStyle w:val="000000000000" w:firstRow="0" w:lastRow="0" w:firstColumn="0" w:lastColumn="0" w:oddVBand="0" w:evenVBand="0" w:oddHBand="0" w:evenHBand="0" w:firstRowFirstColumn="0" w:firstRowLastColumn="0" w:lastRowFirstColumn="0" w:lastRowLastColumn="0"/>
            </w:pPr>
            <w:r>
              <w:t>10</w:t>
            </w:r>
          </w:p>
        </w:tc>
      </w:tr>
    </w:tbl>
    <w:p w14:paraId="1F80F5A7" w14:textId="77777777" w:rsidR="00A43F7C" w:rsidRDefault="00A43F7C" w:rsidP="00A43F7C">
      <w:r>
        <w:br w:type="textWrapping" w:clear="all"/>
      </w:r>
    </w:p>
    <w:p w14:paraId="315CCF73" w14:textId="6C8F5EFB" w:rsidR="00A43F7C" w:rsidRPr="00BF7198" w:rsidRDefault="00BF7198" w:rsidP="00A43F7C">
      <w:pPr>
        <w:rPr>
          <w:b/>
          <w:bCs/>
        </w:rPr>
      </w:pPr>
      <w:r>
        <w:rPr>
          <w:b/>
          <w:bCs/>
        </w:rPr>
        <w:t>Proposal:</w:t>
      </w:r>
      <w:r w:rsidR="00473FF2">
        <w:rPr>
          <w:b/>
          <w:bCs/>
        </w:rPr>
        <w:t xml:space="preserve"> The network signals K, L, M parameters that control the transition dynamics of the physical-layer TTI adaptation state machine.</w:t>
      </w:r>
    </w:p>
    <w:p w14:paraId="508F4911" w14:textId="77777777" w:rsidR="00A43F7C" w:rsidRDefault="00A43F7C" w:rsidP="00A43F7C">
      <w:pPr>
        <w:pStyle w:val="Heading1"/>
        <w:numPr>
          <w:ilvl w:val="0"/>
          <w:numId w:val="0"/>
        </w:numPr>
        <w:ind w:left="1440" w:hanging="1440"/>
      </w:pPr>
      <w:r>
        <w:t>4</w:t>
      </w:r>
      <w:r>
        <w:tab/>
        <w:t>Conclusions</w:t>
      </w:r>
    </w:p>
    <w:p w14:paraId="23F2E64C" w14:textId="4B28DB7D" w:rsidR="00A43F7C" w:rsidRDefault="00A43F7C" w:rsidP="00A43F7C">
      <w:r>
        <w:t xml:space="preserve">Conditions and mechanisms to switch between 10ms and 20ms TTI were discussed. The following proposals summarize the </w:t>
      </w:r>
      <w:r w:rsidR="007B1C08">
        <w:t>recommendations from this document:</w:t>
      </w:r>
    </w:p>
    <w:p w14:paraId="0C37A34E" w14:textId="70E10CA4" w:rsidR="000C4A4A" w:rsidRDefault="000C4A4A">
      <w:pPr>
        <w:rPr>
          <w:b/>
          <w:bCs/>
        </w:rPr>
      </w:pPr>
      <w:r>
        <w:rPr>
          <w:b/>
          <w:bCs/>
        </w:rPr>
        <w:t>Proposal</w:t>
      </w:r>
      <w:r w:rsidRPr="00797AC9">
        <w:rPr>
          <w:b/>
          <w:bCs/>
        </w:rPr>
        <w:t xml:space="preserve"> </w:t>
      </w:r>
      <w:r>
        <w:rPr>
          <w:b/>
          <w:bCs/>
        </w:rPr>
        <w:t>1</w:t>
      </w:r>
      <w:r w:rsidR="006266A4">
        <w:rPr>
          <w:b/>
          <w:bCs/>
        </w:rPr>
        <w:t xml:space="preserve">: </w:t>
      </w:r>
      <w:r>
        <w:rPr>
          <w:b/>
          <w:bCs/>
        </w:rPr>
        <w:t xml:space="preserve">A TFC shall not use 10ms transmission in a TTI if at least two transport channels have different TTI values. </w:t>
      </w:r>
    </w:p>
    <w:p w14:paraId="5A68C8E5" w14:textId="2673D95D" w:rsidR="000C4A4A" w:rsidRDefault="000C4A4A">
      <w:pPr>
        <w:rPr>
          <w:b/>
          <w:bCs/>
        </w:rPr>
      </w:pPr>
      <w:r>
        <w:rPr>
          <w:b/>
          <w:bCs/>
        </w:rPr>
        <w:t>Proposal 2</w:t>
      </w:r>
      <w:r w:rsidRPr="00797AC9">
        <w:rPr>
          <w:b/>
          <w:bCs/>
        </w:rPr>
        <w:t>:</w:t>
      </w:r>
      <w:r>
        <w:rPr>
          <w:b/>
          <w:bCs/>
        </w:rPr>
        <w:t xml:space="preserve"> A TFC shall not use 10ms transmission in a TTI if the TTI overlaps in time with a compressed-mode gap.</w:t>
      </w:r>
    </w:p>
    <w:p w14:paraId="3879B246" w14:textId="204C0CDA" w:rsidR="00A43F7C" w:rsidRDefault="00A43F7C" w:rsidP="00473FF2">
      <w:pPr>
        <w:rPr>
          <w:b/>
          <w:bCs/>
        </w:rPr>
      </w:pPr>
      <w:r>
        <w:rPr>
          <w:b/>
          <w:bCs/>
        </w:rPr>
        <w:t xml:space="preserve">Proposal </w:t>
      </w:r>
      <w:r w:rsidR="000C4A4A">
        <w:rPr>
          <w:b/>
          <w:bCs/>
        </w:rPr>
        <w:t>3</w:t>
      </w:r>
      <w:r>
        <w:rPr>
          <w:b/>
          <w:bCs/>
        </w:rPr>
        <w:t xml:space="preserve">: A state attribute for each transport format combination  </w:t>
      </w:r>
      <w:r w:rsidR="0025600F">
        <w:rPr>
          <w:b/>
          <w:bCs/>
        </w:rPr>
        <w:t>track</w:t>
      </w:r>
      <w:r w:rsidR="00473FF2">
        <w:rPr>
          <w:b/>
          <w:bCs/>
        </w:rPr>
        <w:t>s</w:t>
      </w:r>
      <w:r w:rsidR="0025600F">
        <w:rPr>
          <w:b/>
          <w:bCs/>
        </w:rPr>
        <w:t xml:space="preserve"> whether </w:t>
      </w:r>
      <w:r w:rsidR="000C4A4A">
        <w:rPr>
          <w:b/>
          <w:bCs/>
        </w:rPr>
        <w:t xml:space="preserve">10ms transmission </w:t>
      </w:r>
      <w:r w:rsidR="0025600F">
        <w:rPr>
          <w:b/>
          <w:bCs/>
        </w:rPr>
        <w:t>is applicable</w:t>
      </w:r>
      <w:r>
        <w:rPr>
          <w:b/>
          <w:bCs/>
        </w:rPr>
        <w:t xml:space="preserve"> for </w:t>
      </w:r>
      <w:r w:rsidR="00473FF2">
        <w:rPr>
          <w:b/>
          <w:bCs/>
        </w:rPr>
        <w:t>that</w:t>
      </w:r>
      <w:r>
        <w:rPr>
          <w:b/>
          <w:bCs/>
        </w:rPr>
        <w:t xml:space="preserve"> TFC or not, </w:t>
      </w:r>
      <w:r w:rsidRPr="007F517A">
        <w:rPr>
          <w:b/>
          <w:bCs/>
        </w:rPr>
        <w:t>on a per TTI basis</w:t>
      </w:r>
      <w:r>
        <w:rPr>
          <w:b/>
          <w:bCs/>
        </w:rPr>
        <w:t>.</w:t>
      </w:r>
    </w:p>
    <w:p w14:paraId="2FB8F7E7" w14:textId="2C533D13" w:rsidR="00A43F7C" w:rsidRDefault="00A43F7C">
      <w:pPr>
        <w:rPr>
          <w:b/>
          <w:bCs/>
        </w:rPr>
      </w:pPr>
      <w:r>
        <w:rPr>
          <w:b/>
          <w:bCs/>
        </w:rPr>
        <w:t xml:space="preserve">Proposal </w:t>
      </w:r>
      <w:r w:rsidR="000C4A4A">
        <w:rPr>
          <w:b/>
          <w:bCs/>
        </w:rPr>
        <w:t>4</w:t>
      </w:r>
      <w:r>
        <w:rPr>
          <w:b/>
          <w:bCs/>
        </w:rPr>
        <w:t xml:space="preserve">: </w:t>
      </w:r>
      <w:r w:rsidR="0025600F">
        <w:rPr>
          <w:b/>
          <w:bCs/>
        </w:rPr>
        <w:t>If</w:t>
      </w:r>
      <w:r>
        <w:rPr>
          <w:b/>
          <w:bCs/>
        </w:rPr>
        <w:t xml:space="preserve"> </w:t>
      </w:r>
      <w:r w:rsidR="0025600F">
        <w:rPr>
          <w:b/>
          <w:bCs/>
        </w:rPr>
        <w:t xml:space="preserve">10ms </w:t>
      </w:r>
      <w:r w:rsidR="000C4A4A">
        <w:rPr>
          <w:b/>
          <w:bCs/>
        </w:rPr>
        <w:t>transmission</w:t>
      </w:r>
      <w:r>
        <w:rPr>
          <w:b/>
          <w:bCs/>
        </w:rPr>
        <w:t xml:space="preserve"> should be used for a given transport block, physical layer transmits the transport block over the first radio frame assuming the TTI is </w:t>
      </w:r>
      <w:r w:rsidR="00FA02F5">
        <w:rPr>
          <w:b/>
          <w:bCs/>
        </w:rPr>
        <w:t>10ms</w:t>
      </w:r>
      <w:r>
        <w:rPr>
          <w:b/>
          <w:bCs/>
        </w:rPr>
        <w:t>,</w:t>
      </w:r>
      <w:r>
        <w:rPr>
          <w:b/>
          <w:bCs/>
          <w:i/>
          <w:iCs/>
        </w:rPr>
        <w:t xml:space="preserve"> </w:t>
      </w:r>
      <w:r>
        <w:rPr>
          <w:b/>
          <w:bCs/>
        </w:rPr>
        <w:t xml:space="preserve">and blanks the subsequent radio frames of the TTI.  </w:t>
      </w:r>
    </w:p>
    <w:p w14:paraId="79640099" w14:textId="4AC28735" w:rsidR="00A43F7C" w:rsidRDefault="00A43F7C">
      <w:pPr>
        <w:rPr>
          <w:b/>
          <w:bCs/>
        </w:rPr>
      </w:pPr>
      <w:r w:rsidRPr="002E28A2">
        <w:rPr>
          <w:b/>
          <w:bCs/>
        </w:rPr>
        <w:t xml:space="preserve">Proposal </w:t>
      </w:r>
      <w:r>
        <w:rPr>
          <w:b/>
          <w:bCs/>
        </w:rPr>
        <w:t>5</w:t>
      </w:r>
      <w:r w:rsidR="000C4A4A">
        <w:rPr>
          <w:b/>
          <w:bCs/>
        </w:rPr>
        <w:t>:</w:t>
      </w:r>
      <w:r w:rsidRPr="002E28A2">
        <w:rPr>
          <w:b/>
          <w:bCs/>
        </w:rPr>
        <w:t xml:space="preserve"> </w:t>
      </w:r>
      <w:r>
        <w:rPr>
          <w:b/>
          <w:bCs/>
        </w:rPr>
        <w:t>A state machine is introduced to maintain</w:t>
      </w:r>
      <w:r w:rsidR="007869BD">
        <w:rPr>
          <w:b/>
          <w:bCs/>
        </w:rPr>
        <w:t>,</w:t>
      </w:r>
      <w:r>
        <w:rPr>
          <w:b/>
          <w:bCs/>
        </w:rPr>
        <w:t xml:space="preserve"> </w:t>
      </w:r>
      <w:r w:rsidR="0025600F">
        <w:rPr>
          <w:b/>
          <w:bCs/>
        </w:rPr>
        <w:t>for each TFC</w:t>
      </w:r>
      <w:r w:rsidR="007869BD">
        <w:rPr>
          <w:b/>
          <w:bCs/>
        </w:rPr>
        <w:t>,</w:t>
      </w:r>
      <w:r w:rsidR="0025600F">
        <w:rPr>
          <w:b/>
          <w:bCs/>
        </w:rPr>
        <w:t xml:space="preserve"> </w:t>
      </w:r>
      <w:r>
        <w:rPr>
          <w:b/>
          <w:bCs/>
        </w:rPr>
        <w:t xml:space="preserve">two states, a </w:t>
      </w:r>
      <w:r w:rsidR="00FA02F5">
        <w:rPr>
          <w:b/>
          <w:bCs/>
        </w:rPr>
        <w:t>10ms</w:t>
      </w:r>
      <w:r w:rsidR="005D2FC9">
        <w:rPr>
          <w:b/>
          <w:bCs/>
        </w:rPr>
        <w:t xml:space="preserve"> </w:t>
      </w:r>
      <w:r>
        <w:rPr>
          <w:b/>
          <w:bCs/>
        </w:rPr>
        <w:t xml:space="preserve">state and a </w:t>
      </w:r>
      <w:r w:rsidR="00BA3C5B">
        <w:rPr>
          <w:b/>
          <w:bCs/>
        </w:rPr>
        <w:t>20ms</w:t>
      </w:r>
      <w:r>
        <w:rPr>
          <w:b/>
          <w:bCs/>
        </w:rPr>
        <w:t xml:space="preserve"> state.</w:t>
      </w:r>
    </w:p>
    <w:p w14:paraId="0C77F1E9" w14:textId="08D75495" w:rsidR="00A43F7C" w:rsidRDefault="00A43F7C" w:rsidP="00473FF2">
      <w:pPr>
        <w:rPr>
          <w:b/>
          <w:bCs/>
        </w:rPr>
      </w:pPr>
      <w:r>
        <w:rPr>
          <w:b/>
          <w:bCs/>
        </w:rPr>
        <w:t>Proposal 6</w:t>
      </w:r>
      <w:r w:rsidR="000C4A4A">
        <w:rPr>
          <w:b/>
          <w:bCs/>
        </w:rPr>
        <w:t>:</w:t>
      </w:r>
      <w:r>
        <w:rPr>
          <w:b/>
          <w:bCs/>
        </w:rPr>
        <w:t xml:space="preserve"> The transition between </w:t>
      </w:r>
      <w:r w:rsidR="00FA02F5">
        <w:rPr>
          <w:b/>
          <w:bCs/>
        </w:rPr>
        <w:t>10ms</w:t>
      </w:r>
      <w:r w:rsidR="005D2FC9">
        <w:rPr>
          <w:b/>
          <w:bCs/>
        </w:rPr>
        <w:t xml:space="preserve"> </w:t>
      </w:r>
      <w:r>
        <w:rPr>
          <w:b/>
          <w:bCs/>
        </w:rPr>
        <w:t xml:space="preserve">state and </w:t>
      </w:r>
      <w:r w:rsidR="00BA3C5B">
        <w:rPr>
          <w:b/>
          <w:bCs/>
        </w:rPr>
        <w:t>20ms</w:t>
      </w:r>
      <w:r>
        <w:rPr>
          <w:b/>
          <w:bCs/>
        </w:rPr>
        <w:t xml:space="preserve"> state is based on estimated UE transmit power </w:t>
      </w:r>
      <w:r w:rsidR="00473FF2">
        <w:rPr>
          <w:b/>
          <w:bCs/>
        </w:rPr>
        <w:t>using</w:t>
      </w:r>
      <w:r>
        <w:rPr>
          <w:b/>
          <w:bCs/>
        </w:rPr>
        <w:t xml:space="preserve"> DPDCH and DPCCH gain factors corresponding with</w:t>
      </w:r>
      <w:r w:rsidR="00FA02F5">
        <w:rPr>
          <w:b/>
          <w:bCs/>
        </w:rPr>
        <w:t xml:space="preserve"> 10ms</w:t>
      </w:r>
      <w:r>
        <w:rPr>
          <w:b/>
          <w:bCs/>
        </w:rPr>
        <w:t xml:space="preserve"> physical-layer TTI </w:t>
      </w:r>
      <w:r w:rsidR="00FA02F5">
        <w:rPr>
          <w:b/>
          <w:bCs/>
        </w:rPr>
        <w:t>configuration and 20ms physical layer configuration</w:t>
      </w:r>
      <w:r>
        <w:rPr>
          <w:b/>
          <w:bCs/>
        </w:rPr>
        <w:t>.</w:t>
      </w:r>
    </w:p>
    <w:p w14:paraId="2CB7760E" w14:textId="3F83D06A" w:rsidR="00A43F7C" w:rsidRDefault="00A43F7C">
      <w:pPr>
        <w:rPr>
          <w:b/>
          <w:bCs/>
        </w:rPr>
      </w:pPr>
      <w:r>
        <w:rPr>
          <w:b/>
          <w:bCs/>
        </w:rPr>
        <w:t>Proposal 7</w:t>
      </w:r>
      <w:r w:rsidR="000C4A4A">
        <w:rPr>
          <w:b/>
          <w:bCs/>
        </w:rPr>
        <w:t>:</w:t>
      </w:r>
      <w:r>
        <w:rPr>
          <w:b/>
          <w:bCs/>
        </w:rPr>
        <w:t xml:space="preserve"> The network signals K, L, M parameters that control the transition dynamics of the physical-layer TTI </w:t>
      </w:r>
      <w:r w:rsidR="007E0C97">
        <w:rPr>
          <w:b/>
          <w:bCs/>
        </w:rPr>
        <w:t>adaptation</w:t>
      </w:r>
      <w:r>
        <w:rPr>
          <w:b/>
          <w:bCs/>
        </w:rPr>
        <w:t xml:space="preserve"> state machine.</w:t>
      </w:r>
    </w:p>
    <w:p w14:paraId="31A364AE" w14:textId="77777777" w:rsidR="00A43F7C" w:rsidRPr="00B16982" w:rsidRDefault="00A43F7C" w:rsidP="00A43F7C">
      <w:pPr>
        <w:pStyle w:val="Heading1"/>
        <w:numPr>
          <w:ilvl w:val="0"/>
          <w:numId w:val="0"/>
        </w:numPr>
        <w:ind w:left="1440" w:hanging="1440"/>
        <w:rPr>
          <w:lang w:val="en-US" w:eastAsia="zh-CN"/>
        </w:rPr>
      </w:pPr>
      <w:r>
        <w:rPr>
          <w:lang w:val="en-US" w:eastAsia="ko-KR"/>
        </w:rPr>
        <w:t>5</w:t>
      </w:r>
      <w:r>
        <w:rPr>
          <w:lang w:val="en-US" w:eastAsia="ko-KR"/>
        </w:rPr>
        <w:tab/>
      </w:r>
      <w:r w:rsidRPr="00B16982">
        <w:rPr>
          <w:lang w:val="en-US" w:eastAsia="zh-CN"/>
        </w:rPr>
        <w:t>References</w:t>
      </w:r>
    </w:p>
    <w:p w14:paraId="645A23AD" w14:textId="77777777" w:rsidR="00A43F7C" w:rsidRPr="00B63E5D" w:rsidRDefault="00A43F7C" w:rsidP="00A43F7C">
      <w:pPr>
        <w:pStyle w:val="Reference"/>
        <w:numPr>
          <w:ilvl w:val="0"/>
          <w:numId w:val="12"/>
        </w:numPr>
        <w:overflowPunct/>
        <w:autoSpaceDE/>
        <w:autoSpaceDN/>
        <w:adjustRightInd/>
        <w:spacing w:before="120" w:after="0" w:line="280" w:lineRule="atLeast"/>
        <w:textAlignment w:val="auto"/>
        <w:rPr>
          <w:bCs/>
          <w:kern w:val="2"/>
          <w:sz w:val="20"/>
        </w:rPr>
      </w:pPr>
      <w:bookmarkStart w:id="5" w:name="_Ref355762820"/>
      <w:r w:rsidRPr="00900205">
        <w:rPr>
          <w:sz w:val="20"/>
        </w:rPr>
        <w:t>R1-133736, “Scalable bandwidth UMTS by filtering, initial simulation results,</w:t>
      </w:r>
      <w:r>
        <w:rPr>
          <w:sz w:val="20"/>
        </w:rPr>
        <w:t>”</w:t>
      </w:r>
      <w:r w:rsidRPr="00900205">
        <w:rPr>
          <w:sz w:val="20"/>
        </w:rPr>
        <w:t xml:space="preserve"> NSN</w:t>
      </w:r>
      <w:r w:rsidRPr="005C198D">
        <w:rPr>
          <w:bCs/>
          <w:kern w:val="2"/>
          <w:sz w:val="20"/>
        </w:rPr>
        <w:t>.</w:t>
      </w:r>
      <w:bookmarkEnd w:id="5"/>
      <w:r w:rsidRPr="005C198D">
        <w:rPr>
          <w:sz w:val="20"/>
          <w:lang w:eastAsia="ko-KR"/>
        </w:rPr>
        <w:t xml:space="preserve"> </w:t>
      </w:r>
    </w:p>
    <w:p w14:paraId="71179416" w14:textId="77777777" w:rsidR="00A43F7C" w:rsidRDefault="00A43F7C" w:rsidP="00A43F7C">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R1-140253, “Uplink compressed mode considerations,” MediaTek.</w:t>
      </w:r>
    </w:p>
    <w:p w14:paraId="309913F1" w14:textId="77777777" w:rsidR="00A43F7C" w:rsidRDefault="00A43F7C" w:rsidP="00A43F7C">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TS 25.331, 3GPP Technical Specification.</w:t>
      </w:r>
    </w:p>
    <w:p w14:paraId="7B9ED971" w14:textId="77777777" w:rsidR="00A43F7C" w:rsidRDefault="00A43F7C" w:rsidP="00A43F7C">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TS 25.215, 3GPP Technical Specification.</w:t>
      </w:r>
    </w:p>
    <w:p w14:paraId="1808BC8A" w14:textId="77777777" w:rsidR="00A43F7C" w:rsidRDefault="00A43F7C" w:rsidP="00A43F7C">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t>TS 25.133, 3GPP Technical Specification.</w:t>
      </w:r>
    </w:p>
    <w:p w14:paraId="2235B09C" w14:textId="77777777" w:rsidR="00A43F7C" w:rsidRPr="005C198D" w:rsidRDefault="00A43F7C" w:rsidP="00A43F7C">
      <w:pPr>
        <w:pStyle w:val="Reference"/>
        <w:numPr>
          <w:ilvl w:val="0"/>
          <w:numId w:val="12"/>
        </w:numPr>
        <w:overflowPunct/>
        <w:autoSpaceDE/>
        <w:autoSpaceDN/>
        <w:adjustRightInd/>
        <w:spacing w:before="120" w:after="0" w:line="280" w:lineRule="atLeast"/>
        <w:textAlignment w:val="auto"/>
        <w:rPr>
          <w:bCs/>
          <w:kern w:val="2"/>
          <w:sz w:val="20"/>
        </w:rPr>
      </w:pPr>
      <w:r>
        <w:rPr>
          <w:bCs/>
          <w:kern w:val="2"/>
          <w:sz w:val="20"/>
        </w:rPr>
        <w:lastRenderedPageBreak/>
        <w:t>TS 25.321, 3GPP Technical Specification.</w:t>
      </w:r>
    </w:p>
    <w:p w14:paraId="161C0042" w14:textId="051FC6B1" w:rsidR="000F7D52" w:rsidRPr="00A43F7C" w:rsidRDefault="000F7D52" w:rsidP="00A43F7C"/>
    <w:sectPr w:rsidR="000F7D52" w:rsidRPr="00A43F7C" w:rsidSect="00A923C1">
      <w:headerReference w:type="even" r:id="rId14"/>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4CAEA" w14:textId="77777777" w:rsidR="00B22C51" w:rsidRDefault="00B22C51">
      <w:r>
        <w:separator/>
      </w:r>
    </w:p>
  </w:endnote>
  <w:endnote w:type="continuationSeparator" w:id="0">
    <w:p w14:paraId="793A6EC4" w14:textId="77777777" w:rsidR="00B22C51" w:rsidRDefault="00B22C51">
      <w:r>
        <w:continuationSeparator/>
      </w:r>
    </w:p>
  </w:endnote>
  <w:endnote w:type="continuationNotice" w:id="1">
    <w:p w14:paraId="19A4F3DE" w14:textId="77777777" w:rsidR="00B727F5" w:rsidRDefault="00B72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C004A" w14:textId="77777777" w:rsidR="00B22C51" w:rsidRPr="006463D7" w:rsidRDefault="00B22C51" w:rsidP="00576222">
    <w:pPr>
      <w:pStyle w:val="Footer"/>
    </w:pPr>
    <w:r w:rsidRPr="006463D7">
      <w:fldChar w:fldCharType="begin"/>
    </w:r>
    <w:r w:rsidRPr="006463D7">
      <w:instrText xml:space="preserve"> PAGE </w:instrText>
    </w:r>
    <w:r w:rsidRPr="006463D7">
      <w:fldChar w:fldCharType="separate"/>
    </w:r>
    <w:r w:rsidR="00856A99">
      <w:t>1</w:t>
    </w:r>
    <w:r w:rsidRPr="006463D7">
      <w:fldChar w:fldCharType="end"/>
    </w:r>
    <w:r w:rsidRPr="006463D7">
      <w:t>/</w:t>
    </w:r>
    <w:r w:rsidRPr="006463D7">
      <w:fldChar w:fldCharType="begin"/>
    </w:r>
    <w:r w:rsidRPr="006463D7">
      <w:instrText xml:space="preserve"> NUMPAGES </w:instrText>
    </w:r>
    <w:r w:rsidRPr="006463D7">
      <w:fldChar w:fldCharType="separate"/>
    </w:r>
    <w:r w:rsidR="00856A99">
      <w:t>5</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BDB77" w14:textId="77777777" w:rsidR="00B22C51" w:rsidRDefault="00B22C51">
      <w:r>
        <w:separator/>
      </w:r>
    </w:p>
  </w:footnote>
  <w:footnote w:type="continuationSeparator" w:id="0">
    <w:p w14:paraId="5B51B016" w14:textId="77777777" w:rsidR="00B22C51" w:rsidRDefault="00B22C51">
      <w:r>
        <w:continuationSeparator/>
      </w:r>
    </w:p>
  </w:footnote>
  <w:footnote w:type="continuationNotice" w:id="1">
    <w:p w14:paraId="133F35DD" w14:textId="77777777" w:rsidR="00B727F5" w:rsidRDefault="00B727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C0049" w14:textId="77777777" w:rsidR="00B22C51" w:rsidRDefault="00B22C5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2">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3">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8">
    <w:nsid w:val="35B6538E"/>
    <w:multiLevelType w:val="hybridMultilevel"/>
    <w:tmpl w:val="790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1">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6">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17">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18">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19">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2">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3">
    <w:nsid w:val="7BC330F5"/>
    <w:multiLevelType w:val="hybridMultilevel"/>
    <w:tmpl w:val="C2769C2A"/>
    <w:lvl w:ilvl="0" w:tplc="43D812AC">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A3407662">
      <w:start w:val="1"/>
      <w:numFmt w:val="bullet"/>
      <w:lvlText w:val="o"/>
      <w:lvlJc w:val="left"/>
      <w:pPr>
        <w:tabs>
          <w:tab w:val="num" w:pos="1440"/>
        </w:tabs>
        <w:ind w:left="1440" w:hanging="360"/>
      </w:pPr>
      <w:rPr>
        <w:rFonts w:ascii="Courier New" w:hAnsi="Courier New" w:cs="Courier New" w:hint="default"/>
      </w:rPr>
    </w:lvl>
    <w:lvl w:ilvl="2" w:tplc="F3525022" w:tentative="1">
      <w:start w:val="1"/>
      <w:numFmt w:val="bullet"/>
      <w:lvlText w:val=""/>
      <w:lvlJc w:val="left"/>
      <w:pPr>
        <w:tabs>
          <w:tab w:val="num" w:pos="2160"/>
        </w:tabs>
        <w:ind w:left="2160" w:hanging="360"/>
      </w:pPr>
      <w:rPr>
        <w:rFonts w:ascii="Wingdings" w:hAnsi="Wingdings" w:hint="default"/>
      </w:rPr>
    </w:lvl>
    <w:lvl w:ilvl="3" w:tplc="8B42CC7C" w:tentative="1">
      <w:start w:val="1"/>
      <w:numFmt w:val="bullet"/>
      <w:lvlText w:val=""/>
      <w:lvlJc w:val="left"/>
      <w:pPr>
        <w:tabs>
          <w:tab w:val="num" w:pos="2880"/>
        </w:tabs>
        <w:ind w:left="2880" w:hanging="360"/>
      </w:pPr>
      <w:rPr>
        <w:rFonts w:ascii="Symbol" w:hAnsi="Symbol" w:hint="default"/>
      </w:rPr>
    </w:lvl>
    <w:lvl w:ilvl="4" w:tplc="63AC4AD8" w:tentative="1">
      <w:start w:val="1"/>
      <w:numFmt w:val="bullet"/>
      <w:lvlText w:val="o"/>
      <w:lvlJc w:val="left"/>
      <w:pPr>
        <w:tabs>
          <w:tab w:val="num" w:pos="3600"/>
        </w:tabs>
        <w:ind w:left="3600" w:hanging="360"/>
      </w:pPr>
      <w:rPr>
        <w:rFonts w:ascii="Courier New" w:hAnsi="Courier New" w:cs="Courier New" w:hint="default"/>
      </w:rPr>
    </w:lvl>
    <w:lvl w:ilvl="5" w:tplc="9DBCC89C" w:tentative="1">
      <w:start w:val="1"/>
      <w:numFmt w:val="bullet"/>
      <w:lvlText w:val=""/>
      <w:lvlJc w:val="left"/>
      <w:pPr>
        <w:tabs>
          <w:tab w:val="num" w:pos="4320"/>
        </w:tabs>
        <w:ind w:left="4320" w:hanging="360"/>
      </w:pPr>
      <w:rPr>
        <w:rFonts w:ascii="Wingdings" w:hAnsi="Wingdings" w:hint="default"/>
      </w:rPr>
    </w:lvl>
    <w:lvl w:ilvl="6" w:tplc="A672FDAA" w:tentative="1">
      <w:start w:val="1"/>
      <w:numFmt w:val="bullet"/>
      <w:lvlText w:val=""/>
      <w:lvlJc w:val="left"/>
      <w:pPr>
        <w:tabs>
          <w:tab w:val="num" w:pos="5040"/>
        </w:tabs>
        <w:ind w:left="5040" w:hanging="360"/>
      </w:pPr>
      <w:rPr>
        <w:rFonts w:ascii="Symbol" w:hAnsi="Symbol" w:hint="default"/>
      </w:rPr>
    </w:lvl>
    <w:lvl w:ilvl="7" w:tplc="046CEF22" w:tentative="1">
      <w:start w:val="1"/>
      <w:numFmt w:val="bullet"/>
      <w:lvlText w:val="o"/>
      <w:lvlJc w:val="left"/>
      <w:pPr>
        <w:tabs>
          <w:tab w:val="num" w:pos="5760"/>
        </w:tabs>
        <w:ind w:left="5760" w:hanging="360"/>
      </w:pPr>
      <w:rPr>
        <w:rFonts w:ascii="Courier New" w:hAnsi="Courier New" w:cs="Courier New" w:hint="default"/>
      </w:rPr>
    </w:lvl>
    <w:lvl w:ilvl="8" w:tplc="8A7E8484" w:tentative="1">
      <w:start w:val="1"/>
      <w:numFmt w:val="bullet"/>
      <w:lvlText w:val=""/>
      <w:lvlJc w:val="left"/>
      <w:pPr>
        <w:tabs>
          <w:tab w:val="num" w:pos="6480"/>
        </w:tabs>
        <w:ind w:left="6480" w:hanging="360"/>
      </w:pPr>
      <w:rPr>
        <w:rFonts w:ascii="Wingdings" w:hAnsi="Wingdings" w:hint="default"/>
      </w:rPr>
    </w:lvl>
  </w:abstractNum>
  <w:abstractNum w:abstractNumId="24">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5"/>
  </w:num>
  <w:num w:numId="3">
    <w:abstractNumId w:val="15"/>
  </w:num>
  <w:num w:numId="4">
    <w:abstractNumId w:val="3"/>
  </w:num>
  <w:num w:numId="5">
    <w:abstractNumId w:val="13"/>
  </w:num>
  <w:num w:numId="6">
    <w:abstractNumId w:val="10"/>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24"/>
  </w:num>
  <w:num w:numId="13">
    <w:abstractNumId w:val="9"/>
  </w:num>
  <w:num w:numId="14">
    <w:abstractNumId w:val="0"/>
  </w:num>
  <w:num w:numId="15">
    <w:abstractNumId w:val="11"/>
  </w:num>
  <w:num w:numId="16">
    <w:abstractNumId w:val="20"/>
  </w:num>
  <w:num w:numId="17">
    <w:abstractNumId w:val="6"/>
  </w:num>
  <w:num w:numId="18">
    <w:abstractNumId w:val="19"/>
  </w:num>
  <w:num w:numId="19">
    <w:abstractNumId w:val="17"/>
  </w:num>
  <w:num w:numId="20">
    <w:abstractNumId w:val="22"/>
  </w:num>
  <w:num w:numId="21">
    <w:abstractNumId w:val="18"/>
  </w:num>
  <w:num w:numId="22">
    <w:abstractNumId w:val="21"/>
  </w:num>
  <w:num w:numId="23">
    <w:abstractNumId w:val="2"/>
  </w:num>
  <w:num w:numId="24">
    <w:abstractNumId w:val="7"/>
  </w:num>
  <w:num w:numId="25">
    <w:abstractNumId w:val="1"/>
  </w:num>
  <w:num w:numId="2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18433">
      <o:colormru v:ext="edit" colors="#0c9,#9fc"/>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343"/>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9D6"/>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78A"/>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7B7"/>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CCC"/>
    <w:rsid w:val="000914D3"/>
    <w:rsid w:val="0009219B"/>
    <w:rsid w:val="000923FC"/>
    <w:rsid w:val="00092F57"/>
    <w:rsid w:val="0009344C"/>
    <w:rsid w:val="00094B6B"/>
    <w:rsid w:val="00094DDA"/>
    <w:rsid w:val="0009573F"/>
    <w:rsid w:val="000962CD"/>
    <w:rsid w:val="0009778B"/>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A4A"/>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2"/>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0F"/>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22B"/>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2C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40B9"/>
    <w:rsid w:val="002C5247"/>
    <w:rsid w:val="002C5580"/>
    <w:rsid w:val="002C57BB"/>
    <w:rsid w:val="002C5A82"/>
    <w:rsid w:val="002C5E25"/>
    <w:rsid w:val="002C7524"/>
    <w:rsid w:val="002D0AC7"/>
    <w:rsid w:val="002D0F1D"/>
    <w:rsid w:val="002D1149"/>
    <w:rsid w:val="002D1D50"/>
    <w:rsid w:val="002D365F"/>
    <w:rsid w:val="002D3D2D"/>
    <w:rsid w:val="002D4202"/>
    <w:rsid w:val="002D44FF"/>
    <w:rsid w:val="002D4BF7"/>
    <w:rsid w:val="002D5499"/>
    <w:rsid w:val="002D5F0B"/>
    <w:rsid w:val="002D64FD"/>
    <w:rsid w:val="002D71C9"/>
    <w:rsid w:val="002D7324"/>
    <w:rsid w:val="002D7FF1"/>
    <w:rsid w:val="002E0138"/>
    <w:rsid w:val="002E0CEE"/>
    <w:rsid w:val="002E28A2"/>
    <w:rsid w:val="002E358B"/>
    <w:rsid w:val="002E48B4"/>
    <w:rsid w:val="002E5630"/>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F6B"/>
    <w:rsid w:val="00364FD3"/>
    <w:rsid w:val="00365969"/>
    <w:rsid w:val="003661D6"/>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4DFD"/>
    <w:rsid w:val="00385FD8"/>
    <w:rsid w:val="0038686A"/>
    <w:rsid w:val="00386A86"/>
    <w:rsid w:val="0038730E"/>
    <w:rsid w:val="003875A8"/>
    <w:rsid w:val="003877A2"/>
    <w:rsid w:val="00390EF7"/>
    <w:rsid w:val="003911A5"/>
    <w:rsid w:val="0039152A"/>
    <w:rsid w:val="00391D2C"/>
    <w:rsid w:val="0039249F"/>
    <w:rsid w:val="00392838"/>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319B"/>
    <w:rsid w:val="003A323C"/>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504"/>
    <w:rsid w:val="003F088F"/>
    <w:rsid w:val="003F1BC8"/>
    <w:rsid w:val="003F2A59"/>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64"/>
    <w:rsid w:val="00403492"/>
    <w:rsid w:val="004035D9"/>
    <w:rsid w:val="004040DC"/>
    <w:rsid w:val="00404917"/>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182"/>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3FF2"/>
    <w:rsid w:val="00474043"/>
    <w:rsid w:val="00474553"/>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B49"/>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C9"/>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73A3"/>
    <w:rsid w:val="005F02D5"/>
    <w:rsid w:val="005F10CB"/>
    <w:rsid w:val="005F15CD"/>
    <w:rsid w:val="005F16E6"/>
    <w:rsid w:val="005F1E75"/>
    <w:rsid w:val="005F20DC"/>
    <w:rsid w:val="005F2356"/>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E1B"/>
    <w:rsid w:val="005F7F50"/>
    <w:rsid w:val="00600A4D"/>
    <w:rsid w:val="00600EEB"/>
    <w:rsid w:val="00602904"/>
    <w:rsid w:val="006035E0"/>
    <w:rsid w:val="00605001"/>
    <w:rsid w:val="00605483"/>
    <w:rsid w:val="006056CB"/>
    <w:rsid w:val="00605A24"/>
    <w:rsid w:val="00605A9C"/>
    <w:rsid w:val="00606224"/>
    <w:rsid w:val="00606529"/>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6A4"/>
    <w:rsid w:val="00626BDA"/>
    <w:rsid w:val="00630656"/>
    <w:rsid w:val="00630EE7"/>
    <w:rsid w:val="006310DD"/>
    <w:rsid w:val="006321A2"/>
    <w:rsid w:val="0063254E"/>
    <w:rsid w:val="00632CC3"/>
    <w:rsid w:val="006333F6"/>
    <w:rsid w:val="00633F54"/>
    <w:rsid w:val="006345C3"/>
    <w:rsid w:val="006345D7"/>
    <w:rsid w:val="0063519F"/>
    <w:rsid w:val="00635586"/>
    <w:rsid w:val="00636033"/>
    <w:rsid w:val="00636575"/>
    <w:rsid w:val="00636B30"/>
    <w:rsid w:val="00636C14"/>
    <w:rsid w:val="00637EE3"/>
    <w:rsid w:val="00641309"/>
    <w:rsid w:val="00641C1C"/>
    <w:rsid w:val="00641ED5"/>
    <w:rsid w:val="00641F26"/>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6F77FB"/>
    <w:rsid w:val="00700169"/>
    <w:rsid w:val="007007A3"/>
    <w:rsid w:val="00700EE7"/>
    <w:rsid w:val="00701068"/>
    <w:rsid w:val="007012EB"/>
    <w:rsid w:val="007020EF"/>
    <w:rsid w:val="007027E6"/>
    <w:rsid w:val="007034B8"/>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0FFF"/>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35E"/>
    <w:rsid w:val="007350F9"/>
    <w:rsid w:val="0073601F"/>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6CFA"/>
    <w:rsid w:val="00777D9D"/>
    <w:rsid w:val="00777F57"/>
    <w:rsid w:val="007805C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69BD"/>
    <w:rsid w:val="007872CF"/>
    <w:rsid w:val="007918C8"/>
    <w:rsid w:val="007919B1"/>
    <w:rsid w:val="00794999"/>
    <w:rsid w:val="00794F35"/>
    <w:rsid w:val="00795448"/>
    <w:rsid w:val="007957B8"/>
    <w:rsid w:val="0079657D"/>
    <w:rsid w:val="00796D69"/>
    <w:rsid w:val="00796EB4"/>
    <w:rsid w:val="0079714E"/>
    <w:rsid w:val="007971EC"/>
    <w:rsid w:val="00797A1A"/>
    <w:rsid w:val="00797AC9"/>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477"/>
    <w:rsid w:val="007A4709"/>
    <w:rsid w:val="007A4F47"/>
    <w:rsid w:val="007A6A6B"/>
    <w:rsid w:val="007A71FE"/>
    <w:rsid w:val="007A7B1F"/>
    <w:rsid w:val="007A7DD9"/>
    <w:rsid w:val="007A7F77"/>
    <w:rsid w:val="007B1C08"/>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0C97"/>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17A"/>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A99"/>
    <w:rsid w:val="00856B45"/>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99D"/>
    <w:rsid w:val="008B2E74"/>
    <w:rsid w:val="008B34AD"/>
    <w:rsid w:val="008B37D1"/>
    <w:rsid w:val="008B4096"/>
    <w:rsid w:val="008B4DAD"/>
    <w:rsid w:val="008B5439"/>
    <w:rsid w:val="008B5D24"/>
    <w:rsid w:val="008B6AF8"/>
    <w:rsid w:val="008B6EF0"/>
    <w:rsid w:val="008B6F8F"/>
    <w:rsid w:val="008B7BD7"/>
    <w:rsid w:val="008C0B4E"/>
    <w:rsid w:val="008C1746"/>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54"/>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17D"/>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077"/>
    <w:rsid w:val="009569F0"/>
    <w:rsid w:val="0095785C"/>
    <w:rsid w:val="00960956"/>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A7602"/>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B7E7B"/>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6F0"/>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10"/>
    <w:rsid w:val="00A01B25"/>
    <w:rsid w:val="00A01ECA"/>
    <w:rsid w:val="00A02850"/>
    <w:rsid w:val="00A029C1"/>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F29"/>
    <w:rsid w:val="00A1727A"/>
    <w:rsid w:val="00A17345"/>
    <w:rsid w:val="00A17366"/>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1BB0"/>
    <w:rsid w:val="00A43287"/>
    <w:rsid w:val="00A43322"/>
    <w:rsid w:val="00A43F7C"/>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824"/>
    <w:rsid w:val="00A57ABC"/>
    <w:rsid w:val="00A57D12"/>
    <w:rsid w:val="00A60663"/>
    <w:rsid w:val="00A60D78"/>
    <w:rsid w:val="00A6143D"/>
    <w:rsid w:val="00A61839"/>
    <w:rsid w:val="00A6235D"/>
    <w:rsid w:val="00A63E03"/>
    <w:rsid w:val="00A6463B"/>
    <w:rsid w:val="00A64AB2"/>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4CD4"/>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6A0"/>
    <w:rsid w:val="00AF5EDC"/>
    <w:rsid w:val="00AF5EF2"/>
    <w:rsid w:val="00AF61C8"/>
    <w:rsid w:val="00AF68F3"/>
    <w:rsid w:val="00AF7029"/>
    <w:rsid w:val="00AF713E"/>
    <w:rsid w:val="00AF76FD"/>
    <w:rsid w:val="00B000C2"/>
    <w:rsid w:val="00B003C4"/>
    <w:rsid w:val="00B0053E"/>
    <w:rsid w:val="00B005ED"/>
    <w:rsid w:val="00B012E2"/>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2B52"/>
    <w:rsid w:val="00B22C51"/>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70A75"/>
    <w:rsid w:val="00B712EF"/>
    <w:rsid w:val="00B71697"/>
    <w:rsid w:val="00B7204A"/>
    <w:rsid w:val="00B7216F"/>
    <w:rsid w:val="00B7267A"/>
    <w:rsid w:val="00B727F5"/>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3C5B"/>
    <w:rsid w:val="00BA413A"/>
    <w:rsid w:val="00BA47A3"/>
    <w:rsid w:val="00BA4B57"/>
    <w:rsid w:val="00BA4F9B"/>
    <w:rsid w:val="00BA5D4D"/>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A07"/>
    <w:rsid w:val="00BF0F75"/>
    <w:rsid w:val="00BF1D48"/>
    <w:rsid w:val="00BF23D7"/>
    <w:rsid w:val="00BF2DA4"/>
    <w:rsid w:val="00BF31CF"/>
    <w:rsid w:val="00BF39F2"/>
    <w:rsid w:val="00BF441D"/>
    <w:rsid w:val="00BF45B0"/>
    <w:rsid w:val="00BF514A"/>
    <w:rsid w:val="00BF5C2C"/>
    <w:rsid w:val="00BF7118"/>
    <w:rsid w:val="00BF7198"/>
    <w:rsid w:val="00C00183"/>
    <w:rsid w:val="00C0026D"/>
    <w:rsid w:val="00C003B5"/>
    <w:rsid w:val="00C00BE2"/>
    <w:rsid w:val="00C02373"/>
    <w:rsid w:val="00C027C7"/>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7411"/>
    <w:rsid w:val="00C276B5"/>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0AC"/>
    <w:rsid w:val="00C40BB3"/>
    <w:rsid w:val="00C413CC"/>
    <w:rsid w:val="00C4190F"/>
    <w:rsid w:val="00C41B64"/>
    <w:rsid w:val="00C4369D"/>
    <w:rsid w:val="00C439DF"/>
    <w:rsid w:val="00C43C7D"/>
    <w:rsid w:val="00C43D87"/>
    <w:rsid w:val="00C44049"/>
    <w:rsid w:val="00C44206"/>
    <w:rsid w:val="00C443E1"/>
    <w:rsid w:val="00C44D36"/>
    <w:rsid w:val="00C45891"/>
    <w:rsid w:val="00C46E82"/>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73"/>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A61"/>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2EC"/>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F58"/>
    <w:rsid w:val="00DB2E78"/>
    <w:rsid w:val="00DB3833"/>
    <w:rsid w:val="00DB3886"/>
    <w:rsid w:val="00DB3AEE"/>
    <w:rsid w:val="00DB45B2"/>
    <w:rsid w:val="00DB568E"/>
    <w:rsid w:val="00DB62D8"/>
    <w:rsid w:val="00DB6581"/>
    <w:rsid w:val="00DB676E"/>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C7BB4"/>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039"/>
    <w:rsid w:val="00DD7639"/>
    <w:rsid w:val="00DD7FE1"/>
    <w:rsid w:val="00DE06E6"/>
    <w:rsid w:val="00DE083C"/>
    <w:rsid w:val="00DE0A7E"/>
    <w:rsid w:val="00DE15B1"/>
    <w:rsid w:val="00DE23BF"/>
    <w:rsid w:val="00DE26D5"/>
    <w:rsid w:val="00DE3506"/>
    <w:rsid w:val="00DE3765"/>
    <w:rsid w:val="00DE41F7"/>
    <w:rsid w:val="00DE4269"/>
    <w:rsid w:val="00DE4577"/>
    <w:rsid w:val="00DE4887"/>
    <w:rsid w:val="00DE6293"/>
    <w:rsid w:val="00DE6A18"/>
    <w:rsid w:val="00DE766E"/>
    <w:rsid w:val="00DF0284"/>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1D"/>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D38"/>
    <w:rsid w:val="00EA6223"/>
    <w:rsid w:val="00EA6366"/>
    <w:rsid w:val="00EA70D0"/>
    <w:rsid w:val="00EA7B84"/>
    <w:rsid w:val="00EB060A"/>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6716"/>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1DAB"/>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23BA"/>
    <w:rsid w:val="00F42425"/>
    <w:rsid w:val="00F4318B"/>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FDF"/>
    <w:rsid w:val="00F96D4D"/>
    <w:rsid w:val="00F9766B"/>
    <w:rsid w:val="00FA02F5"/>
    <w:rsid w:val="00FA0C54"/>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6BA9"/>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0c9,#9fc"/>
    </o:shapedefaults>
    <o:shapelayout v:ext="edit">
      <o:idmap v:ext="edit" data="1"/>
    </o:shapelayout>
  </w:shapeDefaults>
  <w:decimalSymbol w:val="."/>
  <w:listSeparator w:val=","/>
  <w14:docId w14:val="161B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E2F7F47-DAE1-4727-9BFE-9499C648414B}">
  <ds:schemaRef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3.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4.xml><?xml version="1.0" encoding="utf-8"?>
<ds:datastoreItem xmlns:ds="http://schemas.openxmlformats.org/officeDocument/2006/customXml" ds:itemID="{212E13BD-04EB-49ED-832D-97CEB76A5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4734FFE-C5E1-4A0A-91FD-96C852A9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2</cp:revision>
  <cp:lastPrinted>2008-02-05T14:25:00Z</cp:lastPrinted>
  <dcterms:created xsi:type="dcterms:W3CDTF">2014-03-22T07:08:00Z</dcterms:created>
  <dcterms:modified xsi:type="dcterms:W3CDTF">2014-03-22T07:08:00Z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1210803125</vt:i4>
  </property>
  <property fmtid="{D5CDD505-2E9C-101B-9397-08002B2CF9AE}" pid="20" name="_NewReviewCycle">
    <vt:lpwstr/>
  </property>
  <property fmtid="{D5CDD505-2E9C-101B-9397-08002B2CF9AE}" pid="21" name="_EmailSubject">
    <vt:lpwstr>[74-27] TP on Link Level Simulation Results for S-UMTS</vt:lpwstr>
  </property>
  <property fmtid="{D5CDD505-2E9C-101B-9397-08002B2CF9AE}" pid="22" name="_AuthorEmail">
    <vt:lpwstr>sponnuru@qti.qualcomm.com</vt:lpwstr>
  </property>
  <property fmtid="{D5CDD505-2E9C-101B-9397-08002B2CF9AE}" pid="23" name="_AuthorEmailDisplayName">
    <vt:lpwstr>Ponnuru, Sandeep</vt:lpwstr>
  </property>
  <property fmtid="{D5CDD505-2E9C-101B-9397-08002B2CF9AE}" pid="24" name="_ReviewingToolsShownOnce">
    <vt:lpwstr/>
  </property>
  <property fmtid="{D5CDD505-2E9C-101B-9397-08002B2CF9AE}" pid="25" name="Order">
    <vt:lpwstr>8700.00000000000</vt:lpwstr>
  </property>
  <property fmtid="{D5CDD505-2E9C-101B-9397-08002B2CF9AE}" pid="26" name="ContentTypeId">
    <vt:lpwstr>0x010100673E2FB80D1DA44AA6455B39A8E5CD67</vt:lpwstr>
  </property>
</Properties>
</file>