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AE2" w:rsidRPr="00E70914" w:rsidRDefault="00711AE2" w:rsidP="00711AE2">
      <w:pPr>
        <w:tabs>
          <w:tab w:val="right" w:pos="9072"/>
        </w:tabs>
        <w:jc w:val="both"/>
        <w:rPr>
          <w:rFonts w:ascii="Arial" w:eastAsia="MS Mincho" w:hAnsi="Arial"/>
          <w:b/>
        </w:rPr>
      </w:pPr>
      <w:bookmarkStart w:id="0" w:name="OLE_LINK1"/>
      <w:r>
        <w:rPr>
          <w:rFonts w:ascii="Arial" w:eastAsia="MS Mincho" w:hAnsi="Arial"/>
          <w:b/>
          <w:bCs/>
        </w:rPr>
        <w:t>3GPP TSG RAN WG1 Meeting #76,</w:t>
      </w:r>
      <w:r>
        <w:rPr>
          <w:rFonts w:ascii="Arial" w:eastAsia="MS Mincho" w:hAnsi="Arial"/>
          <w:b/>
          <w:bCs/>
        </w:rPr>
        <w:tab/>
        <w:t>R1-140755</w:t>
      </w:r>
    </w:p>
    <w:p w:rsidR="00711AE2" w:rsidRPr="00E70914" w:rsidRDefault="00711AE2" w:rsidP="00711AE2">
      <w:pPr>
        <w:tabs>
          <w:tab w:val="center" w:pos="4536"/>
          <w:tab w:val="right" w:pos="9072"/>
        </w:tabs>
        <w:jc w:val="both"/>
        <w:rPr>
          <w:rFonts w:ascii="Arial" w:eastAsia="MS Mincho" w:hAnsi="Arial"/>
          <w:b/>
        </w:rPr>
      </w:pPr>
      <w:r>
        <w:rPr>
          <w:rFonts w:ascii="Arial" w:eastAsia="MS Mincho" w:hAnsi="Arial"/>
          <w:b/>
        </w:rPr>
        <w:t>Prague</w:t>
      </w:r>
      <w:r w:rsidRPr="00E70914">
        <w:rPr>
          <w:rFonts w:ascii="Arial" w:eastAsia="MS Mincho" w:hAnsi="Arial"/>
          <w:b/>
        </w:rPr>
        <w:t xml:space="preserve">, </w:t>
      </w:r>
      <w:r>
        <w:rPr>
          <w:rFonts w:ascii="Arial" w:eastAsia="MS Mincho" w:hAnsi="Arial"/>
          <w:b/>
        </w:rPr>
        <w:t>Czech Republic</w:t>
      </w:r>
      <w:r w:rsidRPr="00E70914">
        <w:rPr>
          <w:rFonts w:ascii="Arial" w:eastAsia="MS Mincho" w:hAnsi="Arial"/>
          <w:b/>
        </w:rPr>
        <w:t xml:space="preserve">, </w:t>
      </w:r>
      <w:r>
        <w:rPr>
          <w:rFonts w:ascii="Arial" w:eastAsia="MS Mincho" w:hAnsi="Arial"/>
          <w:b/>
        </w:rPr>
        <w:t>10</w:t>
      </w:r>
      <w:r w:rsidRPr="00E70914">
        <w:rPr>
          <w:rFonts w:ascii="Arial" w:eastAsia="MS Mincho" w:hAnsi="Arial"/>
          <w:b/>
          <w:vertAlign w:val="superscript"/>
        </w:rPr>
        <w:t>th</w:t>
      </w:r>
      <w:r w:rsidRPr="00E70914">
        <w:rPr>
          <w:rFonts w:ascii="Arial" w:eastAsia="MS Mincho" w:hAnsi="Arial"/>
          <w:b/>
        </w:rPr>
        <w:t xml:space="preserve"> – </w:t>
      </w:r>
      <w:r>
        <w:rPr>
          <w:rFonts w:ascii="Arial" w:eastAsia="MS Mincho" w:hAnsi="Arial"/>
          <w:b/>
        </w:rPr>
        <w:t>14</w:t>
      </w:r>
      <w:r w:rsidRPr="00E70914">
        <w:rPr>
          <w:rFonts w:ascii="Arial" w:eastAsia="MS Mincho" w:hAnsi="Arial"/>
          <w:b/>
          <w:vertAlign w:val="superscript"/>
        </w:rPr>
        <w:t>th</w:t>
      </w:r>
      <w:r w:rsidRPr="00E70914">
        <w:rPr>
          <w:rFonts w:ascii="Arial" w:eastAsia="MS Mincho" w:hAnsi="Arial"/>
          <w:b/>
        </w:rPr>
        <w:t xml:space="preserve"> </w:t>
      </w:r>
      <w:r>
        <w:rPr>
          <w:rFonts w:ascii="Arial" w:eastAsia="MS Mincho" w:hAnsi="Arial"/>
          <w:b/>
        </w:rPr>
        <w:t>February</w:t>
      </w:r>
      <w:r w:rsidRPr="00E70914">
        <w:rPr>
          <w:rFonts w:ascii="Arial" w:eastAsia="MS Mincho" w:hAnsi="Arial"/>
          <w:b/>
        </w:rPr>
        <w:t xml:space="preserve"> 201</w:t>
      </w:r>
      <w:r>
        <w:rPr>
          <w:rFonts w:ascii="Arial" w:eastAsia="MS Mincho" w:hAnsi="Arial"/>
          <w:b/>
        </w:rPr>
        <w:t>4</w:t>
      </w:r>
    </w:p>
    <w:p w:rsidR="00711AE2" w:rsidRPr="00E70914" w:rsidRDefault="00711AE2" w:rsidP="00711AE2">
      <w:pPr>
        <w:pStyle w:val="Header"/>
        <w:tabs>
          <w:tab w:val="clear" w:pos="4536"/>
          <w:tab w:val="left" w:pos="1800"/>
        </w:tabs>
        <w:ind w:left="1800" w:hanging="1800"/>
        <w:jc w:val="both"/>
      </w:pPr>
    </w:p>
    <w:p w:rsidR="00711AE2" w:rsidRPr="00E70914" w:rsidRDefault="00711AE2" w:rsidP="00711AE2">
      <w:pPr>
        <w:pStyle w:val="Header"/>
        <w:tabs>
          <w:tab w:val="clear" w:pos="4536"/>
          <w:tab w:val="left" w:pos="1800"/>
        </w:tabs>
        <w:ind w:left="1800" w:hanging="1800"/>
        <w:jc w:val="both"/>
      </w:pPr>
      <w:r w:rsidRPr="00E70914">
        <w:t>Source:</w:t>
      </w:r>
      <w:r w:rsidRPr="00E70914">
        <w:tab/>
        <w:t>Ericsson</w:t>
      </w:r>
    </w:p>
    <w:p w:rsidR="00711AE2" w:rsidRPr="00E70914" w:rsidRDefault="00711AE2" w:rsidP="00711AE2">
      <w:pPr>
        <w:pStyle w:val="Header"/>
        <w:tabs>
          <w:tab w:val="clear" w:pos="4536"/>
          <w:tab w:val="left" w:pos="1800"/>
        </w:tabs>
        <w:jc w:val="both"/>
      </w:pPr>
      <w:r w:rsidRPr="00E70914">
        <w:t>Title:</w:t>
      </w:r>
      <w:r w:rsidRPr="00E70914">
        <w:tab/>
      </w:r>
      <w:r>
        <w:t>TBS table design for downlink 256QAM</w:t>
      </w:r>
    </w:p>
    <w:p w:rsidR="00711AE2" w:rsidRPr="00E70914" w:rsidRDefault="00711AE2" w:rsidP="00711AE2">
      <w:pPr>
        <w:pStyle w:val="Header"/>
        <w:tabs>
          <w:tab w:val="left" w:pos="1800"/>
        </w:tabs>
        <w:jc w:val="both"/>
      </w:pPr>
      <w:r w:rsidRPr="00E70914">
        <w:t>Agenda Item:</w:t>
      </w:r>
      <w:r w:rsidRPr="00E70914">
        <w:tab/>
      </w:r>
      <w:r>
        <w:t>7.2.4.1</w:t>
      </w:r>
    </w:p>
    <w:p w:rsidR="00711AE2" w:rsidRPr="00E70914" w:rsidRDefault="00711AE2" w:rsidP="00711AE2">
      <w:pPr>
        <w:pStyle w:val="Header"/>
        <w:tabs>
          <w:tab w:val="left" w:pos="1800"/>
        </w:tabs>
        <w:jc w:val="both"/>
      </w:pPr>
      <w:r w:rsidRPr="00E70914">
        <w:t>Document for:</w:t>
      </w:r>
      <w:r w:rsidRPr="00E70914">
        <w:tab/>
        <w:t>Discussion and Decision</w:t>
      </w:r>
    </w:p>
    <w:bookmarkEnd w:id="0"/>
    <w:p w:rsidR="00711AE2" w:rsidRPr="00E70914" w:rsidRDefault="00711AE2" w:rsidP="00711AE2">
      <w:pPr>
        <w:pBdr>
          <w:bottom w:val="single" w:sz="4" w:space="1" w:color="auto"/>
        </w:pBdr>
        <w:tabs>
          <w:tab w:val="left" w:pos="2552"/>
        </w:tabs>
        <w:jc w:val="both"/>
      </w:pPr>
    </w:p>
    <w:p w:rsidR="00711AE2" w:rsidRPr="00E70914" w:rsidRDefault="00711AE2" w:rsidP="00711AE2">
      <w:pPr>
        <w:pStyle w:val="Heading1"/>
        <w:jc w:val="both"/>
      </w:pPr>
      <w:bookmarkStart w:id="1" w:name="_Ref301342314"/>
      <w:r w:rsidRPr="00E70914">
        <w:t>Introduction</w:t>
      </w:r>
      <w:bookmarkEnd w:id="1"/>
    </w:p>
    <w:p w:rsidR="00711AE2" w:rsidRDefault="00711AE2" w:rsidP="00711AE2">
      <w:pPr>
        <w:pStyle w:val="BodyText"/>
        <w:jc w:val="both"/>
      </w:pPr>
      <w:r>
        <w:t xml:space="preserve">In RAN plenary meeting #62, a new </w:t>
      </w:r>
      <w:r w:rsidRPr="00E255F3">
        <w:t xml:space="preserve">WI </w:t>
      </w:r>
      <w:r>
        <w:t xml:space="preserve">on </w:t>
      </w:r>
      <w:r w:rsidRPr="00E255F3">
        <w:t>small cell enhancements –</w:t>
      </w:r>
      <w:r>
        <w:t xml:space="preserve"> </w:t>
      </w:r>
      <w:r w:rsidRPr="00E255F3">
        <w:t>physical layer aspects was</w:t>
      </w:r>
      <w:r>
        <w:t xml:space="preserve"> approved and it was decided to introduce 256QAM in the downlink for small cells in Rel-12 according to below agreement quoted from </w:t>
      </w:r>
      <w:r>
        <w:fldChar w:fldCharType="begin"/>
      </w:r>
      <w:r>
        <w:instrText xml:space="preserve"> REF _Ref377392850 \r \h </w:instrText>
      </w:r>
      <w:r>
        <w:instrText xml:space="preserve"> \* MERGEFORMAT </w:instrText>
      </w:r>
      <w:r>
        <w:fldChar w:fldCharType="separate"/>
      </w:r>
      <w:r>
        <w:t>[1]</w:t>
      </w:r>
      <w:r>
        <w:fldChar w:fldCharType="end"/>
      </w:r>
      <w:r>
        <w:t xml:space="preserve">: </w:t>
      </w:r>
    </w:p>
    <w:p w:rsidR="00711AE2" w:rsidRPr="00E255F3" w:rsidRDefault="00711AE2" w:rsidP="00711AE2">
      <w:pPr>
        <w:numPr>
          <w:ilvl w:val="0"/>
          <w:numId w:val="8"/>
        </w:numPr>
        <w:overflowPunct w:val="0"/>
        <w:autoSpaceDE w:val="0"/>
        <w:autoSpaceDN w:val="0"/>
        <w:adjustRightInd w:val="0"/>
        <w:spacing w:after="180"/>
        <w:jc w:val="both"/>
        <w:textAlignment w:val="baseline"/>
        <w:rPr>
          <w:i/>
          <w:lang w:eastAsia="zh-CN"/>
        </w:rPr>
      </w:pPr>
      <w:r w:rsidRPr="00E255F3">
        <w:rPr>
          <w:rFonts w:hint="eastAsia"/>
          <w:i/>
          <w:lang w:eastAsia="zh-CN"/>
        </w:rPr>
        <w:t>Spectrum efficiency enhancement with introduction of higher order modulation, i.e., 256QAM, in the downlink transmission, while keeping existing size of CQI feedback field and MCS indication.</w:t>
      </w:r>
    </w:p>
    <w:p w:rsidR="00711AE2" w:rsidRDefault="00711AE2" w:rsidP="00711AE2">
      <w:pPr>
        <w:pStyle w:val="BodyText"/>
        <w:jc w:val="both"/>
      </w:pPr>
      <w:r>
        <w:t xml:space="preserve">The standard impacts of introducing downlink 256QAM have been discussed and the physical layer aspects in RAN1 mainly include CQI/MCS/TBS table design. </w:t>
      </w:r>
    </w:p>
    <w:p w:rsidR="00711AE2" w:rsidRPr="00E70914" w:rsidRDefault="00711AE2" w:rsidP="00711AE2">
      <w:pPr>
        <w:pStyle w:val="BodyText"/>
        <w:jc w:val="both"/>
      </w:pPr>
      <w:r w:rsidRPr="00E70914">
        <w:t xml:space="preserve">In </w:t>
      </w:r>
      <w:r>
        <w:t xml:space="preserve">our companion contributions </w:t>
      </w:r>
      <w:r>
        <w:fldChar w:fldCharType="begin"/>
      </w:r>
      <w:r>
        <w:instrText xml:space="preserve"> REF _Ref377629995 \r \h </w:instrText>
      </w:r>
      <w:r>
        <w:instrText xml:space="preserve"> \* MERGEFORMAT </w:instrText>
      </w:r>
      <w:r>
        <w:fldChar w:fldCharType="separate"/>
      </w:r>
      <w:r>
        <w:t>[2]</w:t>
      </w:r>
      <w:r>
        <w:fldChar w:fldCharType="end"/>
      </w:r>
      <w:r>
        <w:t xml:space="preserve"> and </w:t>
      </w:r>
      <w:r>
        <w:fldChar w:fldCharType="begin"/>
      </w:r>
      <w:r>
        <w:instrText xml:space="preserve"> REF _Ref378862633 \r \h </w:instrText>
      </w:r>
      <w:r>
        <w:instrText xml:space="preserve"> \* MERGEFORMAT </w:instrText>
      </w:r>
      <w:r>
        <w:fldChar w:fldCharType="separate"/>
      </w:r>
      <w:r>
        <w:t>[</w:t>
      </w:r>
      <w:r>
        <w:t>3</w:t>
      </w:r>
      <w:r>
        <w:t>]</w:t>
      </w:r>
      <w:r>
        <w:fldChar w:fldCharType="end"/>
      </w:r>
      <w:r w:rsidRPr="00E70914">
        <w:t xml:space="preserve">, </w:t>
      </w:r>
      <w:r>
        <w:t>CQI table and MCS table for 256QAM are proposed</w:t>
      </w:r>
      <w:r w:rsidRPr="00E70914">
        <w:t>.</w:t>
      </w:r>
      <w:r>
        <w:t xml:space="preserve"> The sizes of both tables are kept and a majority of entries are unchanged to minimize specification and UE implementation/cost impacts. For MCS table, six new entries containing six new TBS indices 27-32 are proposed to be added for 256QAM support as discussed in </w:t>
      </w:r>
      <w:r w:rsidRPr="00F55AFB">
        <w:fldChar w:fldCharType="begin"/>
      </w:r>
      <w:r w:rsidRPr="00F55AFB">
        <w:instrText xml:space="preserve"> REF _Ref378862633 \r \h </w:instrText>
      </w:r>
      <w:r>
        <w:instrText xml:space="preserve"> \* MERGEFORMAT </w:instrText>
      </w:r>
      <w:r w:rsidRPr="00F55AFB">
        <w:fldChar w:fldCharType="separate"/>
      </w:r>
      <w:r w:rsidRPr="00F55AFB">
        <w:t>[3]</w:t>
      </w:r>
      <w:r w:rsidRPr="00F55AFB">
        <w:fldChar w:fldCharType="end"/>
      </w:r>
      <w:r>
        <w:t>. The new TBS indices correspond to six new TBS rows with new TBS values (across all possible bandwidths) that are required to attach to the current TBS table. In this contribution, the design of new TBS table for 256QAM support is discussed and proposed</w:t>
      </w:r>
      <w:r w:rsidRPr="00E255F3">
        <w:t>.</w:t>
      </w:r>
      <w:r w:rsidRPr="00F55AFB">
        <w:t xml:space="preserve"> </w:t>
      </w:r>
    </w:p>
    <w:p w:rsidR="00711AE2" w:rsidRDefault="00711AE2" w:rsidP="00711AE2">
      <w:pPr>
        <w:pStyle w:val="Heading1"/>
        <w:jc w:val="both"/>
      </w:pPr>
      <w:bookmarkStart w:id="2" w:name="_Ref346118000"/>
      <w:r w:rsidRPr="00E70914">
        <w:t>Discussion</w:t>
      </w:r>
      <w:bookmarkEnd w:id="2"/>
    </w:p>
    <w:p w:rsidR="00711AE2" w:rsidRDefault="00711AE2" w:rsidP="00711AE2">
      <w:pPr>
        <w:pStyle w:val="BodyText"/>
        <w:jc w:val="both"/>
      </w:pPr>
      <w:r>
        <w:t xml:space="preserve">In Rel-11 TS 36.213, the 27x110 TBS table for one spatial layer is populated with 178 unique transport block sizes (TBS) as given in Table 7.1.7.2.1-1 in </w:t>
      </w:r>
      <w:r>
        <w:fldChar w:fldCharType="begin"/>
      </w:r>
      <w:r>
        <w:instrText xml:space="preserve"> REF _Ref378925196 \r \h </w:instrText>
      </w:r>
      <w:r>
        <w:instrText xml:space="preserve"> \* MERGEFORMAT </w:instrText>
      </w:r>
      <w:r>
        <w:fldChar w:fldCharType="separate"/>
      </w:r>
      <w:r>
        <w:t>[4]</w:t>
      </w:r>
      <w:r>
        <w:fldChar w:fldCharType="end"/>
      </w:r>
      <w:r>
        <w:t xml:space="preserve">. To support multiple spatial layers, 51 additional unique TBS are defined for one-layer to two-layer, one-layer to three-layer and one-layer to four-layer TBS translation given in </w:t>
      </w:r>
      <w:r w:rsidRPr="007B481D">
        <w:t>Table 7.1.7.2.2-1, Table 7.1.7.2.4-1, Table 7.1.7.2.5-1</w:t>
      </w:r>
      <w:r>
        <w:t xml:space="preserve"> in </w:t>
      </w:r>
      <w:r>
        <w:fldChar w:fldCharType="begin"/>
      </w:r>
      <w:r>
        <w:instrText xml:space="preserve"> REF _Ref378925196 \r \h </w:instrText>
      </w:r>
      <w:r>
        <w:instrText xml:space="preserve"> \* MERGEFORMAT </w:instrText>
      </w:r>
      <w:r>
        <w:fldChar w:fldCharType="separate"/>
      </w:r>
      <w:r>
        <w:t>[4]</w:t>
      </w:r>
      <w:r>
        <w:fldChar w:fldCharType="end"/>
      </w:r>
      <w:r>
        <w:t>. In total, there are 229 unique TBS defined in Rel-11. The design allows the TBS tables to be very efficiently stored using 8-bit indices to the unique TBS list instead of 19-bit integers representing the TBS directly.</w:t>
      </w:r>
    </w:p>
    <w:p w:rsidR="00711AE2" w:rsidRDefault="00711AE2" w:rsidP="00711AE2">
      <w:pPr>
        <w:pStyle w:val="BodyText"/>
        <w:jc w:val="both"/>
      </w:pPr>
      <w:r>
        <w:t xml:space="preserve">The reduction of potentially 27x110=2970 TBS to only 178 TBS in the one layer table is achieved by allowing the actual code rate to deviate from the target code rate by </w:t>
      </w:r>
      <w:r w:rsidRPr="001207CE">
        <w:t>±</w:t>
      </w:r>
      <w:r>
        <w:t xml:space="preserve">2%. This is for example shown in </w:t>
      </w:r>
      <w:r>
        <w:fldChar w:fldCharType="begin"/>
      </w:r>
      <w:r>
        <w:instrText xml:space="preserve"> REF _Ref352976737 \h </w:instrText>
      </w:r>
      <w:r>
        <w:instrText xml:space="preserve"> \* MERGEFORMAT </w:instrText>
      </w:r>
      <w:r>
        <w:fldChar w:fldCharType="separate"/>
      </w:r>
      <w:r w:rsidRPr="00E70914">
        <w:t xml:space="preserve">Figure </w:t>
      </w:r>
      <w:r>
        <w:rPr>
          <w:noProof/>
        </w:rPr>
        <w:t>1</w:t>
      </w:r>
      <w:r>
        <w:fldChar w:fldCharType="end"/>
      </w:r>
      <w:r>
        <w:t xml:space="preserve"> for the 64QAM MCS (17-27), in </w:t>
      </w:r>
      <w:r>
        <w:fldChar w:fldCharType="begin"/>
      </w:r>
      <w:r>
        <w:instrText xml:space="preserve"> REF _Ref378879859 \h </w:instrText>
      </w:r>
      <w:r>
        <w:instrText xml:space="preserve"> \* MERGEFORMAT </w:instrText>
      </w:r>
      <w:r>
        <w:fldChar w:fldCharType="separate"/>
      </w:r>
      <w:r w:rsidRPr="00E70914">
        <w:t xml:space="preserve">Figure </w:t>
      </w:r>
      <w:r>
        <w:rPr>
          <w:noProof/>
        </w:rPr>
        <w:t>2</w:t>
      </w:r>
      <w:r>
        <w:fldChar w:fldCharType="end"/>
      </w:r>
      <w:r>
        <w:t xml:space="preserve"> for the 16QAM MCS (10-16), and </w:t>
      </w:r>
      <w:r>
        <w:fldChar w:fldCharType="begin"/>
      </w:r>
      <w:r>
        <w:instrText xml:space="preserve"> REF _Ref378879869 \h </w:instrText>
      </w:r>
      <w:r>
        <w:instrText xml:space="preserve"> \* MERGEFORMAT </w:instrText>
      </w:r>
      <w:r>
        <w:fldChar w:fldCharType="separate"/>
      </w:r>
      <w:r w:rsidRPr="00E70914">
        <w:t xml:space="preserve">Figure </w:t>
      </w:r>
      <w:r>
        <w:rPr>
          <w:noProof/>
        </w:rPr>
        <w:t>3</w:t>
      </w:r>
      <w:r>
        <w:fldChar w:fldCharType="end"/>
      </w:r>
      <w:r>
        <w:t xml:space="preserve"> for the QPSK MCS (0-9), respectively.</w:t>
      </w:r>
    </w:p>
    <w:p w:rsidR="00711AE2" w:rsidRDefault="00711AE2" w:rsidP="00711AE2">
      <w:pPr>
        <w:pStyle w:val="BodyText"/>
        <w:jc w:val="both"/>
      </w:pPr>
    </w:p>
    <w:p w:rsidR="00711AE2" w:rsidRPr="00492133" w:rsidRDefault="00711AE2" w:rsidP="00711AE2">
      <w:pPr>
        <w:pStyle w:val="StatementHeading"/>
        <w:spacing w:before="0" w:beforeAutospacing="0" w:after="120"/>
        <w:jc w:val="both"/>
      </w:pPr>
      <w:r w:rsidRPr="00492133">
        <w:t>Observation:</w:t>
      </w:r>
    </w:p>
    <w:p w:rsidR="00711AE2" w:rsidRDefault="00711AE2" w:rsidP="00711AE2">
      <w:pPr>
        <w:pStyle w:val="BodyText"/>
        <w:numPr>
          <w:ilvl w:val="0"/>
          <w:numId w:val="8"/>
        </w:numPr>
        <w:jc w:val="both"/>
      </w:pPr>
      <w:r>
        <w:t xml:space="preserve">By allowing the actual code rate to deviate from the target code rate by </w:t>
      </w:r>
      <w:r w:rsidRPr="001207CE">
        <w:t>±</w:t>
      </w:r>
      <w:r>
        <w:t>2%, there are in total 229 unique TBS defined in Rel-11 enabling efficient TBS table storage.</w:t>
      </w:r>
    </w:p>
    <w:p w:rsidR="00711AE2" w:rsidRPr="00E70914" w:rsidRDefault="00711AE2" w:rsidP="00711AE2">
      <w:pPr>
        <w:pStyle w:val="BodyText"/>
        <w:jc w:val="center"/>
      </w:pPr>
      <w:r>
        <w:rPr>
          <w:noProof/>
        </w:rPr>
        <w:lastRenderedPageBreak/>
        <w:drawing>
          <wp:inline distT="0" distB="0" distL="0" distR="0">
            <wp:extent cx="2926080" cy="21869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6080" cy="2186940"/>
                    </a:xfrm>
                    <a:prstGeom prst="rect">
                      <a:avLst/>
                    </a:prstGeom>
                    <a:noFill/>
                    <a:ln>
                      <a:noFill/>
                    </a:ln>
                  </pic:spPr>
                </pic:pic>
              </a:graphicData>
            </a:graphic>
          </wp:inline>
        </w:drawing>
      </w:r>
      <w:r>
        <w:rPr>
          <w:noProof/>
        </w:rPr>
        <w:drawing>
          <wp:inline distT="0" distB="0" distL="0" distR="0">
            <wp:extent cx="2926080" cy="21869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186940"/>
                    </a:xfrm>
                    <a:prstGeom prst="rect">
                      <a:avLst/>
                    </a:prstGeom>
                    <a:noFill/>
                    <a:ln>
                      <a:noFill/>
                    </a:ln>
                  </pic:spPr>
                </pic:pic>
              </a:graphicData>
            </a:graphic>
          </wp:inline>
        </w:drawing>
      </w:r>
    </w:p>
    <w:p w:rsidR="00711AE2" w:rsidRPr="00E70914" w:rsidRDefault="00711AE2" w:rsidP="00711AE2">
      <w:pPr>
        <w:pStyle w:val="Caption"/>
        <w:jc w:val="center"/>
        <w:rPr>
          <w:b w:val="0"/>
        </w:rPr>
      </w:pPr>
      <w:bookmarkStart w:id="3" w:name="_Ref352976737"/>
      <w:r w:rsidRPr="00E70914">
        <w:t xml:space="preserve">Figure </w:t>
      </w:r>
      <w:r w:rsidRPr="00E70914">
        <w:fldChar w:fldCharType="begin"/>
      </w:r>
      <w:r w:rsidRPr="00E70914">
        <w:instrText xml:space="preserve"> SEQ Figure \* ARABIC </w:instrText>
      </w:r>
      <w:r w:rsidRPr="00E70914">
        <w:fldChar w:fldCharType="separate"/>
      </w:r>
      <w:r>
        <w:rPr>
          <w:noProof/>
        </w:rPr>
        <w:t>1</w:t>
      </w:r>
      <w:r w:rsidRPr="00E70914">
        <w:rPr>
          <w:noProof/>
        </w:rPr>
        <w:fldChar w:fldCharType="end"/>
      </w:r>
      <w:bookmarkEnd w:id="3"/>
      <w:r w:rsidRPr="00E70914">
        <w:t xml:space="preserve"> </w:t>
      </w:r>
      <w:r w:rsidRPr="00AA6081">
        <w:rPr>
          <w:lang w:val="en-GB"/>
        </w:rPr>
        <w:t>Actual code rate and code rate inaccuracy in percentage for Rel-11 64QAM</w:t>
      </w:r>
    </w:p>
    <w:p w:rsidR="00711AE2" w:rsidRDefault="00711AE2" w:rsidP="00711AE2">
      <w:pPr>
        <w:jc w:val="center"/>
      </w:pPr>
    </w:p>
    <w:p w:rsidR="00711AE2" w:rsidRPr="00E70914" w:rsidRDefault="00711AE2" w:rsidP="00711AE2">
      <w:pPr>
        <w:pStyle w:val="BodyText"/>
        <w:jc w:val="center"/>
      </w:pPr>
      <w:r>
        <w:rPr>
          <w:noProof/>
        </w:rPr>
        <w:drawing>
          <wp:inline distT="0" distB="0" distL="0" distR="0">
            <wp:extent cx="2910840" cy="2179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0840" cy="2179320"/>
                    </a:xfrm>
                    <a:prstGeom prst="rect">
                      <a:avLst/>
                    </a:prstGeom>
                    <a:noFill/>
                    <a:ln>
                      <a:noFill/>
                    </a:ln>
                  </pic:spPr>
                </pic:pic>
              </a:graphicData>
            </a:graphic>
          </wp:inline>
        </w:drawing>
      </w:r>
      <w:r>
        <w:rPr>
          <w:noProof/>
        </w:rPr>
        <w:drawing>
          <wp:inline distT="0" distB="0" distL="0" distR="0">
            <wp:extent cx="2903220" cy="2179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220" cy="2179320"/>
                    </a:xfrm>
                    <a:prstGeom prst="rect">
                      <a:avLst/>
                    </a:prstGeom>
                    <a:noFill/>
                    <a:ln>
                      <a:noFill/>
                    </a:ln>
                  </pic:spPr>
                </pic:pic>
              </a:graphicData>
            </a:graphic>
          </wp:inline>
        </w:drawing>
      </w:r>
    </w:p>
    <w:p w:rsidR="00711AE2" w:rsidRPr="00E70914" w:rsidRDefault="00711AE2" w:rsidP="00711AE2">
      <w:pPr>
        <w:pStyle w:val="Caption"/>
        <w:jc w:val="center"/>
        <w:rPr>
          <w:b w:val="0"/>
        </w:rPr>
      </w:pPr>
      <w:bookmarkStart w:id="4" w:name="_Ref378879859"/>
      <w:r w:rsidRPr="00E70914">
        <w:t xml:space="preserve">Figure </w:t>
      </w:r>
      <w:r w:rsidRPr="00E70914">
        <w:fldChar w:fldCharType="begin"/>
      </w:r>
      <w:r w:rsidRPr="00E70914">
        <w:instrText xml:space="preserve"> SEQ Figure \* ARABIC </w:instrText>
      </w:r>
      <w:r w:rsidRPr="00E70914">
        <w:fldChar w:fldCharType="separate"/>
      </w:r>
      <w:r>
        <w:rPr>
          <w:noProof/>
        </w:rPr>
        <w:t>2</w:t>
      </w:r>
      <w:r w:rsidRPr="00E70914">
        <w:rPr>
          <w:noProof/>
        </w:rPr>
        <w:fldChar w:fldCharType="end"/>
      </w:r>
      <w:bookmarkEnd w:id="4"/>
      <w:r w:rsidRPr="00E70914">
        <w:t xml:space="preserve"> </w:t>
      </w:r>
      <w:r w:rsidRPr="00AA6081">
        <w:rPr>
          <w:lang w:val="en-GB"/>
        </w:rPr>
        <w:t xml:space="preserve">Actual code rate and code rate inaccuracy in percentage for Rel-11 </w:t>
      </w:r>
      <w:r>
        <w:rPr>
          <w:lang w:val="en-GB"/>
        </w:rPr>
        <w:t>16</w:t>
      </w:r>
      <w:r w:rsidRPr="00AA6081">
        <w:rPr>
          <w:lang w:val="en-GB"/>
        </w:rPr>
        <w:t>QAM</w:t>
      </w:r>
    </w:p>
    <w:p w:rsidR="00711AE2" w:rsidRDefault="00711AE2" w:rsidP="00711AE2">
      <w:pPr>
        <w:jc w:val="center"/>
      </w:pPr>
    </w:p>
    <w:p w:rsidR="00711AE2" w:rsidRPr="00E70914" w:rsidRDefault="00711AE2" w:rsidP="00711AE2">
      <w:pPr>
        <w:pStyle w:val="BodyText"/>
        <w:jc w:val="center"/>
      </w:pPr>
      <w:r>
        <w:rPr>
          <w:noProof/>
        </w:rPr>
        <w:drawing>
          <wp:inline distT="0" distB="0" distL="0" distR="0">
            <wp:extent cx="2903220" cy="2171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r>
        <w:rPr>
          <w:noProof/>
        </w:rPr>
        <w:drawing>
          <wp:inline distT="0" distB="0" distL="0" distR="0">
            <wp:extent cx="2903220" cy="2171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p>
    <w:p w:rsidR="00711AE2" w:rsidRPr="00E70914" w:rsidRDefault="00711AE2" w:rsidP="00711AE2">
      <w:pPr>
        <w:pStyle w:val="Caption"/>
        <w:jc w:val="center"/>
        <w:rPr>
          <w:b w:val="0"/>
        </w:rPr>
      </w:pPr>
      <w:bookmarkStart w:id="5" w:name="_Ref378879869"/>
      <w:r w:rsidRPr="00E70914">
        <w:t xml:space="preserve">Figure </w:t>
      </w:r>
      <w:r w:rsidRPr="00E70914">
        <w:fldChar w:fldCharType="begin"/>
      </w:r>
      <w:r w:rsidRPr="00E70914">
        <w:instrText xml:space="preserve"> SEQ Figure \* ARABIC </w:instrText>
      </w:r>
      <w:r w:rsidRPr="00E70914">
        <w:fldChar w:fldCharType="separate"/>
      </w:r>
      <w:r>
        <w:rPr>
          <w:noProof/>
        </w:rPr>
        <w:t>3</w:t>
      </w:r>
      <w:r w:rsidRPr="00E70914">
        <w:rPr>
          <w:noProof/>
        </w:rPr>
        <w:fldChar w:fldCharType="end"/>
      </w:r>
      <w:bookmarkEnd w:id="5"/>
      <w:r w:rsidRPr="00E70914">
        <w:t xml:space="preserve"> </w:t>
      </w:r>
      <w:r w:rsidRPr="00AA6081">
        <w:rPr>
          <w:lang w:val="en-GB"/>
        </w:rPr>
        <w:t xml:space="preserve">Actual code rate and code rate inaccuracy in percentage for Rel-11 </w:t>
      </w:r>
      <w:r>
        <w:rPr>
          <w:lang w:val="en-GB"/>
        </w:rPr>
        <w:t>QPSK</w:t>
      </w:r>
    </w:p>
    <w:p w:rsidR="00711AE2" w:rsidRPr="00E70914" w:rsidRDefault="00711AE2" w:rsidP="00711AE2">
      <w:pPr>
        <w:jc w:val="both"/>
      </w:pPr>
    </w:p>
    <w:p w:rsidR="00711AE2" w:rsidRDefault="00711AE2" w:rsidP="00711AE2">
      <w:pPr>
        <w:pStyle w:val="BodyText"/>
        <w:jc w:val="both"/>
      </w:pPr>
    </w:p>
    <w:p w:rsidR="00711AE2" w:rsidRDefault="00711AE2" w:rsidP="00711AE2">
      <w:pPr>
        <w:pStyle w:val="BodyText"/>
        <w:jc w:val="both"/>
      </w:pPr>
      <w:r>
        <w:lastRenderedPageBreak/>
        <w:t xml:space="preserve">To support 256QAM in Rel-12, six new entries containing six new TBS indices 27-32 are proposed to be added in the MCS table as discussed in </w:t>
      </w:r>
      <w:r w:rsidRPr="00F55AFB">
        <w:fldChar w:fldCharType="begin"/>
      </w:r>
      <w:r w:rsidRPr="00F55AFB">
        <w:instrText xml:space="preserve"> REF _Ref378862633 \r \h </w:instrText>
      </w:r>
      <w:r>
        <w:instrText xml:space="preserve"> \* MERGEFORMAT </w:instrText>
      </w:r>
      <w:r w:rsidRPr="00F55AFB">
        <w:fldChar w:fldCharType="separate"/>
      </w:r>
      <w:r w:rsidRPr="00F55AFB">
        <w:t>[3]</w:t>
      </w:r>
      <w:r w:rsidRPr="00F55AFB">
        <w:fldChar w:fldCharType="end"/>
      </w:r>
      <w:r>
        <w:t xml:space="preserve">. Consequently, six additional rows of TBS need to be added to the existing 27x110 TBS table for one spatial layer. By allowing up to </w:t>
      </w:r>
      <w:r>
        <w:rPr>
          <w:rFonts w:ascii="Cambria Math" w:hAnsi="Cambria Math"/>
        </w:rPr>
        <w:t>±</w:t>
      </w:r>
      <w:r>
        <w:t xml:space="preserve">2% deviation from the target code rate, the 6x110 TBS can be designed without introducing any new TBS for 256QAM one spatial layer support, as given in </w:t>
      </w:r>
      <w:r>
        <w:fldChar w:fldCharType="begin"/>
      </w:r>
      <w:r>
        <w:instrText xml:space="preserve"> REF _Ref378926054 \h </w:instrText>
      </w:r>
      <w:r>
        <w:instrText xml:space="preserve"> \* MERGEFORMAT </w:instrText>
      </w:r>
      <w:r>
        <w:fldChar w:fldCharType="separate"/>
      </w:r>
      <w:r>
        <w:t xml:space="preserve">Table </w:t>
      </w:r>
      <w:r>
        <w:rPr>
          <w:noProof/>
        </w:rPr>
        <w:t>1</w:t>
      </w:r>
      <w:r>
        <w:fldChar w:fldCharType="end"/>
      </w:r>
      <w:r>
        <w:t>.</w:t>
      </w:r>
    </w:p>
    <w:p w:rsidR="00711AE2" w:rsidRDefault="00711AE2" w:rsidP="00711AE2">
      <w:pPr>
        <w:pStyle w:val="BodyText"/>
        <w:jc w:val="both"/>
      </w:pPr>
      <w:r>
        <w:t xml:space="preserve">It worth noting that the peak data rate in </w:t>
      </w:r>
      <w:r>
        <w:fldChar w:fldCharType="begin"/>
      </w:r>
      <w:r>
        <w:instrText xml:space="preserve"> REF _Ref378926054 \h </w:instrText>
      </w:r>
      <w:r>
        <w:instrText xml:space="preserve"> \* MERGEFORMAT </w:instrText>
      </w:r>
      <w:r>
        <w:fldChar w:fldCharType="separate"/>
      </w:r>
      <w:r>
        <w:t xml:space="preserve">Table </w:t>
      </w:r>
      <w:r>
        <w:rPr>
          <w:noProof/>
        </w:rPr>
        <w:t>1</w:t>
      </w:r>
      <w:r>
        <w:fldChar w:fldCharType="end"/>
      </w:r>
      <w:r>
        <w:t xml:space="preserve"> is set by the largest TBS for </w:t>
      </w:r>
      <w:r w:rsidRPr="00844A74">
        <w:rPr>
          <w:i/>
        </w:rPr>
        <w:t>N</w:t>
      </w:r>
      <w:r w:rsidRPr="00844A74">
        <w:rPr>
          <w:vertAlign w:val="subscript"/>
        </w:rPr>
        <w:t>PRB</w:t>
      </w:r>
      <w:r>
        <w:t xml:space="preserve"> = 100 according to Rel-8 LTE design principles.</w:t>
      </w:r>
    </w:p>
    <w:p w:rsidR="00711AE2" w:rsidRDefault="00711AE2" w:rsidP="00711AE2">
      <w:pPr>
        <w:pStyle w:val="BodyText"/>
        <w:jc w:val="both"/>
      </w:pPr>
      <w:r>
        <w:t xml:space="preserve">With the new TBS table and the new MCS table proposed in </w:t>
      </w:r>
      <w:r w:rsidRPr="00F55AFB">
        <w:fldChar w:fldCharType="begin"/>
      </w:r>
      <w:r w:rsidRPr="00F55AFB">
        <w:instrText xml:space="preserve"> REF _Ref378862633 \r \h </w:instrText>
      </w:r>
      <w:r>
        <w:instrText xml:space="preserve"> \* MERGEFORMAT </w:instrText>
      </w:r>
      <w:r w:rsidRPr="00F55AFB">
        <w:fldChar w:fldCharType="separate"/>
      </w:r>
      <w:r w:rsidRPr="00F55AFB">
        <w:t>[3]</w:t>
      </w:r>
      <w:r w:rsidRPr="00F55AFB">
        <w:fldChar w:fldCharType="end"/>
      </w:r>
      <w:r>
        <w:t xml:space="preserve">, actual code rate and code rate in accuracy in percentage for 256QAM is shown in </w:t>
      </w:r>
      <w:r>
        <w:fldChar w:fldCharType="begin"/>
      </w:r>
      <w:r>
        <w:instrText xml:space="preserve"> REF _Ref378926567 \h </w:instrText>
      </w:r>
      <w:r>
        <w:instrText xml:space="preserve"> \* MERGEFORMAT </w:instrText>
      </w:r>
      <w:r>
        <w:fldChar w:fldCharType="separate"/>
      </w:r>
      <w:r w:rsidRPr="00E70914">
        <w:t xml:space="preserve">Figure </w:t>
      </w:r>
      <w:r>
        <w:rPr>
          <w:noProof/>
        </w:rPr>
        <w:t>4</w:t>
      </w:r>
      <w:r>
        <w:fldChar w:fldCharType="end"/>
      </w:r>
      <w:r>
        <w:t xml:space="preserve">. It can be seen that the deviation is well within </w:t>
      </w:r>
      <w:r w:rsidRPr="001207CE">
        <w:t>±</w:t>
      </w:r>
      <w:r>
        <w:t>2% aligned with Rel-11 design.</w:t>
      </w:r>
    </w:p>
    <w:p w:rsidR="00711AE2" w:rsidRPr="00492133" w:rsidRDefault="00711AE2" w:rsidP="00711AE2">
      <w:pPr>
        <w:pStyle w:val="StatementHeading"/>
        <w:spacing w:before="0" w:beforeAutospacing="0" w:after="120"/>
        <w:jc w:val="both"/>
      </w:pPr>
      <w:r w:rsidRPr="00492133">
        <w:t>Observation:</w:t>
      </w:r>
    </w:p>
    <w:p w:rsidR="00711AE2" w:rsidRDefault="00711AE2" w:rsidP="00711AE2">
      <w:pPr>
        <w:pStyle w:val="BodyText"/>
        <w:numPr>
          <w:ilvl w:val="0"/>
          <w:numId w:val="8"/>
        </w:numPr>
        <w:jc w:val="both"/>
      </w:pPr>
      <w:r>
        <w:t xml:space="preserve">By allowing up to </w:t>
      </w:r>
      <w:r>
        <w:rPr>
          <w:rFonts w:ascii="Cambria Math" w:hAnsi="Cambria Math"/>
        </w:rPr>
        <w:t>±</w:t>
      </w:r>
      <w:r>
        <w:t>2% deviation from the target code rate, the new TBS table can be designed without introducing any new transport block sizes for 256QAM one spatial layer support in Rel-12.</w:t>
      </w:r>
    </w:p>
    <w:p w:rsidR="00711AE2" w:rsidRDefault="00711AE2" w:rsidP="00711AE2">
      <w:pPr>
        <w:pStyle w:val="Caption"/>
        <w:spacing w:after="60"/>
        <w:jc w:val="center"/>
      </w:pPr>
      <w:bookmarkStart w:id="6" w:name="_Ref378926054"/>
      <w:r>
        <w:t xml:space="preserve">Table </w:t>
      </w:r>
      <w:r>
        <w:fldChar w:fldCharType="begin"/>
      </w:r>
      <w:r>
        <w:instrText xml:space="preserve"> SEQ Table \* ARABIC </w:instrText>
      </w:r>
      <w:r>
        <w:fldChar w:fldCharType="separate"/>
      </w:r>
      <w:r>
        <w:rPr>
          <w:noProof/>
        </w:rPr>
        <w:t>1</w:t>
      </w:r>
      <w:r>
        <w:fldChar w:fldCharType="end"/>
      </w:r>
      <w:bookmarkEnd w:id="6"/>
      <w:r>
        <w:t xml:space="preserve"> Six new row in TBS table for 256QAM support</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3"/>
        <w:gridCol w:w="661"/>
        <w:gridCol w:w="661"/>
        <w:gridCol w:w="661"/>
        <w:gridCol w:w="661"/>
        <w:gridCol w:w="661"/>
        <w:gridCol w:w="661"/>
        <w:gridCol w:w="661"/>
        <w:gridCol w:w="661"/>
        <w:gridCol w:w="661"/>
        <w:gridCol w:w="661"/>
      </w:tblGrid>
      <w:tr w:rsidR="00711AE2" w:rsidRPr="00D06F55" w:rsidTr="004A0F75">
        <w:trPr>
          <w:cantSplit/>
          <w:jc w:val="center"/>
        </w:trPr>
        <w:tc>
          <w:tcPr>
            <w:tcW w:w="613" w:type="dxa"/>
            <w:vMerge w:val="restart"/>
            <w:tcBorders>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8pt">
                  <v:imagedata r:id="rId12" o:title=""/>
                </v:shape>
              </w:object>
            </w:r>
          </w:p>
        </w:tc>
        <w:tc>
          <w:tcPr>
            <w:tcW w:w="0" w:type="auto"/>
            <w:gridSpan w:val="10"/>
            <w:tcBorders>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26"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648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1320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2664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3368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4008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4584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5352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6712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2152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4968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7224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744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2984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4584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7480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3240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7224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7992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1672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7736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8504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6200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6968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8760</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27"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28"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7224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7992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8504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9144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9912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10680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11448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11832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12576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12960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7736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8504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9144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9912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10680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12960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14112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8248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9144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9912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10680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12960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15264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9528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10296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12960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15264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15840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9144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10296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11064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11832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15264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16992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9912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10680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15264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15840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17568</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29"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30"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14112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14688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15264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15840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16416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16992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17568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18336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19080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19848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15840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19080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21384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15840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19080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21384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19080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21384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21384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26416</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31"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32"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20616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21384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22152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23688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26416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28336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33"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34"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27376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28336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lastRenderedPageBreak/>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35"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36"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34008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35160</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37"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38"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6"/>
                <w:szCs w:val="16"/>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40576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42368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39"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40"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46888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48936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41"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42"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52752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55056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43"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44"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59256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61664</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r>
      <w:tr w:rsidR="00711AE2" w:rsidRPr="00D06F55" w:rsidTr="004A0F75">
        <w:trPr>
          <w:cantSplit/>
          <w:jc w:val="center"/>
        </w:trPr>
        <w:tc>
          <w:tcPr>
            <w:tcW w:w="613" w:type="dxa"/>
            <w:vMerge w:val="restart"/>
            <w:tcBorders>
              <w:top w:val="thinThickThinSmallGap" w:sz="2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00" w:dyaOrig="340">
                <v:shape id="_x0000_i1045" type="#_x0000_t75" style="width:19.8pt;height:16.8pt">
                  <v:imagedata r:id="rId12" o:title=""/>
                </v:shape>
              </w:object>
            </w:r>
          </w:p>
        </w:tc>
        <w:tc>
          <w:tcPr>
            <w:tcW w:w="0" w:type="auto"/>
            <w:gridSpan w:val="10"/>
            <w:tcBorders>
              <w:top w:val="thinThickThinSmallGap" w:sz="24" w:space="0" w:color="auto"/>
              <w:lef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position w:val="-10"/>
                <w:sz w:val="18"/>
                <w:szCs w:val="18"/>
                <w:lang w:val="en-GB" w:eastAsia="en-GB"/>
              </w:rPr>
              <w:object w:dxaOrig="480" w:dyaOrig="340">
                <v:shape id="_x0000_i1046" type="#_x0000_t75" style="width:24pt;height:16.8pt">
                  <v:imagedata r:id="rId13" o:title=""/>
                </v:shape>
              </w:object>
            </w:r>
          </w:p>
        </w:tc>
      </w:tr>
      <w:tr w:rsidR="00711AE2" w:rsidRPr="00D06F55" w:rsidTr="004A0F75">
        <w:trPr>
          <w:cantSplit/>
          <w:jc w:val="center"/>
        </w:trPr>
        <w:tc>
          <w:tcPr>
            <w:tcW w:w="613" w:type="dxa"/>
            <w:vMerge/>
            <w:tcBorders>
              <w:bottom w:val="double" w:sz="4" w:space="0" w:color="auto"/>
              <w:right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101</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102</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103</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104</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105</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106</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107</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108</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109</w:t>
            </w:r>
          </w:p>
        </w:tc>
        <w:tc>
          <w:tcPr>
            <w:tcW w:w="0" w:type="auto"/>
            <w:tcBorders>
              <w:bottom w:val="double" w:sz="4" w:space="0" w:color="auto"/>
            </w:tcBorders>
            <w:shd w:val="clear" w:color="auto" w:fill="E0E0E0"/>
            <w:vAlign w:val="center"/>
          </w:tcPr>
          <w:p w:rsidR="00711AE2" w:rsidRPr="00D06F55" w:rsidRDefault="00711AE2"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110</w:t>
            </w:r>
          </w:p>
        </w:tc>
      </w:tr>
      <w:tr w:rsidR="00711AE2" w:rsidRPr="00D06F55" w:rsidTr="004A0F75">
        <w:trPr>
          <w:cantSplit/>
          <w:jc w:val="center"/>
        </w:trPr>
        <w:tc>
          <w:tcPr>
            <w:tcW w:w="613" w:type="dxa"/>
            <w:tcBorders>
              <w:top w:val="double" w:sz="4" w:space="0" w:color="auto"/>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66592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68808</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711AE2" w:rsidRPr="00D06F55" w:rsidRDefault="00711AE2" w:rsidP="004A0F75">
            <w:pPr>
              <w:jc w:val="center"/>
              <w:rPr>
                <w:rFonts w:ascii="Arial" w:hAnsi="Arial" w:cs="Arial"/>
                <w:sz w:val="16"/>
                <w:szCs w:val="16"/>
              </w:rPr>
            </w:pPr>
            <w:r w:rsidRPr="00D06F55">
              <w:rPr>
                <w:rFonts w:ascii="Arial" w:hAnsi="Arial" w:cs="Arial"/>
                <w:sz w:val="16"/>
                <w:szCs w:val="16"/>
              </w:rPr>
              <w:t>87936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84760</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r>
      <w:tr w:rsidR="00711AE2" w:rsidRPr="00D06F55" w:rsidTr="004A0F75">
        <w:trPr>
          <w:cantSplit/>
          <w:jc w:val="center"/>
        </w:trPr>
        <w:tc>
          <w:tcPr>
            <w:tcW w:w="613" w:type="dxa"/>
            <w:tcBorders>
              <w:right w:val="double" w:sz="4" w:space="0" w:color="auto"/>
            </w:tcBorders>
            <w:shd w:val="clear" w:color="auto" w:fill="auto"/>
            <w:vAlign w:val="center"/>
          </w:tcPr>
          <w:p w:rsidR="00711AE2" w:rsidRPr="00D06F55" w:rsidRDefault="00711AE2" w:rsidP="004A0F75">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711AE2" w:rsidRPr="00B01C40" w:rsidRDefault="00711AE2" w:rsidP="004A0F75">
            <w:pPr>
              <w:jc w:val="center"/>
              <w:rPr>
                <w:rFonts w:ascii="Arial" w:hAnsi="Arial" w:cs="Arial"/>
                <w:sz w:val="16"/>
                <w:szCs w:val="16"/>
              </w:rPr>
            </w:pPr>
            <w:r w:rsidRPr="00B01C40">
              <w:rPr>
                <w:rFonts w:ascii="Arial" w:hAnsi="Arial" w:cs="Arial"/>
                <w:sz w:val="16"/>
                <w:szCs w:val="16"/>
              </w:rPr>
              <w:t>87936</w:t>
            </w:r>
          </w:p>
        </w:tc>
      </w:tr>
    </w:tbl>
    <w:p w:rsidR="00711AE2" w:rsidRDefault="00711AE2" w:rsidP="00711AE2">
      <w:pPr>
        <w:pStyle w:val="BodyText"/>
        <w:jc w:val="center"/>
      </w:pPr>
    </w:p>
    <w:p w:rsidR="00711AE2" w:rsidRDefault="00711AE2" w:rsidP="00711AE2">
      <w:pPr>
        <w:pStyle w:val="BodyText"/>
        <w:jc w:val="center"/>
        <w:rPr>
          <w:noProof/>
          <w:lang w:eastAsia="zh-CN"/>
        </w:rPr>
      </w:pPr>
      <w:r>
        <w:rPr>
          <w:noProof/>
        </w:rPr>
        <w:lastRenderedPageBreak/>
        <w:drawing>
          <wp:inline distT="0" distB="0" distL="0" distR="0">
            <wp:extent cx="2903220" cy="2171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r>
        <w:rPr>
          <w:noProof/>
        </w:rPr>
        <w:drawing>
          <wp:inline distT="0" distB="0" distL="0" distR="0">
            <wp:extent cx="290322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p>
    <w:p w:rsidR="00711AE2" w:rsidRPr="00E70914" w:rsidRDefault="00711AE2" w:rsidP="00711AE2">
      <w:pPr>
        <w:pStyle w:val="Caption"/>
        <w:jc w:val="center"/>
        <w:rPr>
          <w:b w:val="0"/>
        </w:rPr>
      </w:pPr>
      <w:bookmarkStart w:id="7" w:name="_Ref378926567"/>
      <w:r w:rsidRPr="00E70914">
        <w:t xml:space="preserve">Figure </w:t>
      </w:r>
      <w:r w:rsidRPr="00E70914">
        <w:fldChar w:fldCharType="begin"/>
      </w:r>
      <w:r w:rsidRPr="00E70914">
        <w:instrText xml:space="preserve"> SEQ Figure \* ARABIC </w:instrText>
      </w:r>
      <w:r w:rsidRPr="00E70914">
        <w:fldChar w:fldCharType="separate"/>
      </w:r>
      <w:r>
        <w:rPr>
          <w:noProof/>
        </w:rPr>
        <w:t>4</w:t>
      </w:r>
      <w:r w:rsidRPr="00E70914">
        <w:rPr>
          <w:noProof/>
        </w:rPr>
        <w:fldChar w:fldCharType="end"/>
      </w:r>
      <w:bookmarkEnd w:id="7"/>
      <w:r w:rsidRPr="00E70914">
        <w:t xml:space="preserve"> </w:t>
      </w:r>
      <w:r w:rsidRPr="00AA6081">
        <w:rPr>
          <w:lang w:val="en-GB"/>
        </w:rPr>
        <w:t>Actual code rate and code rate inaccuracy in percentage for Rel-1</w:t>
      </w:r>
      <w:r>
        <w:rPr>
          <w:lang w:val="en-GB"/>
        </w:rPr>
        <w:t>2 256QAM</w:t>
      </w:r>
    </w:p>
    <w:p w:rsidR="00711AE2" w:rsidRDefault="00711AE2" w:rsidP="00711AE2">
      <w:pPr>
        <w:pStyle w:val="BodyText"/>
        <w:jc w:val="both"/>
      </w:pPr>
    </w:p>
    <w:p w:rsidR="00711AE2" w:rsidRDefault="00711AE2" w:rsidP="00711AE2">
      <w:pPr>
        <w:pStyle w:val="BodyText"/>
        <w:jc w:val="both"/>
      </w:pPr>
      <w:r>
        <w:t xml:space="preserve">To support 256QAM transport blocks mapped to multiple spatial multiplexing layers, 3 new tables need to be designed for one-layer to two-layer, one-layer to three-layer and one-layer to four-layer translation. The proposed TBS translation tables are given in </w:t>
      </w:r>
      <w:r>
        <w:fldChar w:fldCharType="begin"/>
      </w:r>
      <w:r>
        <w:instrText xml:space="preserve"> REF _Ref378926054 \h </w:instrText>
      </w:r>
      <w:r>
        <w:instrText xml:space="preserve"> \* MERGEFORMAT </w:instrText>
      </w:r>
      <w:r>
        <w:fldChar w:fldCharType="separate"/>
      </w:r>
      <w:r>
        <w:fldChar w:fldCharType="end"/>
      </w:r>
      <w:r>
        <w:fldChar w:fldCharType="begin"/>
      </w:r>
      <w:r>
        <w:instrText xml:space="preserve"> REF _Ref378764503 \h </w:instrText>
      </w:r>
      <w:r>
        <w:instrText xml:space="preserve"> \* MERGEFORMAT </w:instrText>
      </w:r>
      <w:r>
        <w:fldChar w:fldCharType="separate"/>
      </w:r>
      <w:r>
        <w:t xml:space="preserve">Table </w:t>
      </w:r>
      <w:r>
        <w:rPr>
          <w:noProof/>
        </w:rPr>
        <w:t>2</w:t>
      </w:r>
      <w:r>
        <w:fldChar w:fldCharType="end"/>
      </w:r>
      <w:r>
        <w:t xml:space="preserve">, </w:t>
      </w:r>
      <w:r>
        <w:fldChar w:fldCharType="begin"/>
      </w:r>
      <w:r>
        <w:instrText xml:space="preserve"> REF _Ref378764517 \h </w:instrText>
      </w:r>
      <w:r>
        <w:instrText xml:space="preserve"> \* MERGEFORMAT </w:instrText>
      </w:r>
      <w:r>
        <w:fldChar w:fldCharType="separate"/>
      </w:r>
      <w:r>
        <w:t xml:space="preserve">Table </w:t>
      </w:r>
      <w:r>
        <w:rPr>
          <w:noProof/>
        </w:rPr>
        <w:t>3</w:t>
      </w:r>
      <w:r>
        <w:fldChar w:fldCharType="end"/>
      </w:r>
      <w:r>
        <w:t xml:space="preserve"> and </w:t>
      </w:r>
      <w:r>
        <w:fldChar w:fldCharType="begin"/>
      </w:r>
      <w:r>
        <w:instrText xml:space="preserve"> REF _Ref378764522 \h </w:instrText>
      </w:r>
      <w:r>
        <w:instrText xml:space="preserve"> \* MERGEFORMAT </w:instrText>
      </w:r>
      <w:r>
        <w:fldChar w:fldCharType="separate"/>
      </w:r>
      <w:r>
        <w:t xml:space="preserve">Table </w:t>
      </w:r>
      <w:r>
        <w:rPr>
          <w:noProof/>
        </w:rPr>
        <w:t>4</w:t>
      </w:r>
      <w:r>
        <w:fldChar w:fldCharType="end"/>
      </w:r>
      <w:r>
        <w:t>, respectively. Five new mappings are needed for TBS = 76208, 78704, 81176, 84760 and 87936 for each of the one-to-two, one-to-three and one-to-four TBS translation tables.</w:t>
      </w:r>
    </w:p>
    <w:p w:rsidR="00711AE2" w:rsidRPr="00C06E12" w:rsidRDefault="00711AE2" w:rsidP="00711AE2">
      <w:pPr>
        <w:pStyle w:val="BodyText"/>
        <w:jc w:val="both"/>
      </w:pPr>
      <w:r>
        <w:t xml:space="preserve">Allowing mapping inaccuracy of </w:t>
      </w:r>
      <w:r>
        <w:rPr>
          <w:rFonts w:ascii="Cambria Math" w:hAnsi="Cambria Math"/>
        </w:rPr>
        <w:t>±</w:t>
      </w:r>
      <w:r>
        <w:t xml:space="preserve">0.4%, the additional one-layer to two-layer mappings can be supported without introducing new TBS, as given in </w:t>
      </w:r>
      <w:r>
        <w:fldChar w:fldCharType="begin"/>
      </w:r>
      <w:r>
        <w:instrText xml:space="preserve"> REF _Ref378764503 \h </w:instrText>
      </w:r>
      <w:r>
        <w:instrText xml:space="preserve"> \* MERGEFORMAT </w:instrText>
      </w:r>
      <w:r>
        <w:fldChar w:fldCharType="separate"/>
      </w:r>
      <w:r>
        <w:t xml:space="preserve">Table </w:t>
      </w:r>
      <w:r>
        <w:rPr>
          <w:noProof/>
        </w:rPr>
        <w:t>2</w:t>
      </w:r>
      <w:r>
        <w:fldChar w:fldCharType="end"/>
      </w:r>
      <w:r>
        <w:t>.</w:t>
      </w:r>
    </w:p>
    <w:p w:rsidR="00711AE2" w:rsidRPr="00D52CF7" w:rsidRDefault="00711AE2" w:rsidP="00711AE2">
      <w:pPr>
        <w:pStyle w:val="Caption"/>
        <w:spacing w:after="60"/>
        <w:jc w:val="center"/>
      </w:pPr>
      <w:bookmarkStart w:id="8" w:name="_Ref378764496"/>
      <w:bookmarkStart w:id="9" w:name="_Ref378764503"/>
      <w:r>
        <w:t xml:space="preserve">Table </w:t>
      </w:r>
      <w:r>
        <w:fldChar w:fldCharType="begin"/>
      </w:r>
      <w:r>
        <w:instrText xml:space="preserve"> SEQ Table \* ARABIC </w:instrText>
      </w:r>
      <w:r>
        <w:fldChar w:fldCharType="separate"/>
      </w:r>
      <w:r>
        <w:t>2</w:t>
      </w:r>
      <w:r>
        <w:fldChar w:fldCharType="end"/>
      </w:r>
      <w:bookmarkEnd w:id="9"/>
      <w:r>
        <w:t xml:space="preserve"> </w:t>
      </w:r>
      <w:r w:rsidRPr="00D52CF7">
        <w:t>TBS mapping table for one</w:t>
      </w:r>
      <w:r>
        <w:t>-layer to two-</w:t>
      </w:r>
      <w:r w:rsidRPr="00D52CF7">
        <w:t>layer</w:t>
      </w:r>
      <w:bookmarkEnd w:id="8"/>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711AE2" w:rsidRPr="00390522" w:rsidTr="004A0F75">
        <w:tc>
          <w:tcPr>
            <w:tcW w:w="1700" w:type="dxa"/>
            <w:tcBorders>
              <w:bottom w:val="double" w:sz="4" w:space="0" w:color="auto"/>
            </w:tcBorders>
            <w:shd w:val="clear" w:color="auto" w:fill="E0E0E0"/>
          </w:tcPr>
          <w:p w:rsidR="00711AE2" w:rsidRPr="00390522" w:rsidRDefault="00711AE2" w:rsidP="004A0F75">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711AE2" w:rsidRPr="00390522" w:rsidRDefault="00711AE2" w:rsidP="004A0F75">
            <w:pPr>
              <w:keepNext/>
              <w:keepLines/>
              <w:overflowPunct w:val="0"/>
              <w:autoSpaceDE w:val="0"/>
              <w:autoSpaceDN w:val="0"/>
              <w:adjustRightInd w:val="0"/>
              <w:jc w:val="center"/>
              <w:textAlignment w:val="baseline"/>
              <w:rPr>
                <w:b/>
                <w:sz w:val="18"/>
                <w:lang w:eastAsia="en-GB"/>
              </w:rPr>
            </w:pPr>
            <w:r w:rsidRPr="00390522">
              <w:rPr>
                <w:b/>
                <w:sz w:val="18"/>
                <w:lang w:eastAsia="en-GB"/>
              </w:rPr>
              <w:t>TBS_L2</w:t>
            </w:r>
          </w:p>
        </w:tc>
      </w:tr>
      <w:tr w:rsidR="00711AE2" w:rsidRPr="00390522" w:rsidTr="004A0F75">
        <w:tc>
          <w:tcPr>
            <w:tcW w:w="1700" w:type="dxa"/>
            <w:tcBorders>
              <w:top w:val="doub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152976</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157432</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161760</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169544</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175600</w:t>
            </w:r>
          </w:p>
        </w:tc>
      </w:tr>
    </w:tbl>
    <w:p w:rsidR="00711AE2" w:rsidRDefault="00711AE2" w:rsidP="00711AE2">
      <w:pPr>
        <w:pStyle w:val="BodyText"/>
        <w:jc w:val="both"/>
      </w:pPr>
    </w:p>
    <w:p w:rsidR="00711AE2" w:rsidRDefault="00711AE2" w:rsidP="00711AE2">
      <w:pPr>
        <w:pStyle w:val="BodyText"/>
        <w:jc w:val="both"/>
      </w:pPr>
      <w:r>
        <w:t xml:space="preserve">Allowing mapping inaccuracy of </w:t>
      </w:r>
      <w:r>
        <w:rPr>
          <w:rFonts w:ascii="Cambria Math" w:hAnsi="Cambria Math"/>
        </w:rPr>
        <w:t>±</w:t>
      </w:r>
      <w:r w:rsidRPr="0065651E">
        <w:t>1.25</w:t>
      </w:r>
      <w:r>
        <w:t xml:space="preserve">%, the additional one-layer to three-layer mappings can be supported without introducing new TBS, as given in </w:t>
      </w:r>
      <w:r>
        <w:fldChar w:fldCharType="begin"/>
      </w:r>
      <w:r>
        <w:instrText xml:space="preserve"> REF _Ref378764517 \h </w:instrText>
      </w:r>
      <w:r>
        <w:instrText xml:space="preserve"> \* MERGEFORMAT </w:instrText>
      </w:r>
      <w:r>
        <w:fldChar w:fldCharType="separate"/>
      </w:r>
      <w:r>
        <w:t xml:space="preserve">Table </w:t>
      </w:r>
      <w:r>
        <w:rPr>
          <w:noProof/>
        </w:rPr>
        <w:t>3</w:t>
      </w:r>
      <w:r>
        <w:fldChar w:fldCharType="end"/>
      </w:r>
      <w:r>
        <w:t>.</w:t>
      </w:r>
    </w:p>
    <w:p w:rsidR="00711AE2" w:rsidRDefault="00711AE2" w:rsidP="00711AE2">
      <w:pPr>
        <w:pStyle w:val="Caption"/>
        <w:spacing w:after="60"/>
        <w:jc w:val="center"/>
      </w:pPr>
      <w:bookmarkStart w:id="10" w:name="_Ref378764517"/>
      <w:r>
        <w:t xml:space="preserve">Table </w:t>
      </w:r>
      <w:r>
        <w:fldChar w:fldCharType="begin"/>
      </w:r>
      <w:r>
        <w:instrText xml:space="preserve"> SEQ Table \* ARABIC </w:instrText>
      </w:r>
      <w:r>
        <w:fldChar w:fldCharType="separate"/>
      </w:r>
      <w:r>
        <w:t>3</w:t>
      </w:r>
      <w:r>
        <w:fldChar w:fldCharType="end"/>
      </w:r>
      <w:bookmarkEnd w:id="10"/>
      <w:r>
        <w:t xml:space="preserve"> </w:t>
      </w:r>
      <w:r w:rsidRPr="00D52CF7">
        <w:t xml:space="preserve">TBS mapping table for </w:t>
      </w:r>
      <w:r>
        <w:t>one-</w:t>
      </w:r>
      <w:r w:rsidRPr="00D52CF7">
        <w:t>layer to t</w:t>
      </w:r>
      <w:r>
        <w:t>hree-</w:t>
      </w:r>
      <w:r w:rsidRPr="00D52CF7">
        <w:t>layer</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711AE2" w:rsidRPr="00390522" w:rsidTr="004A0F75">
        <w:tc>
          <w:tcPr>
            <w:tcW w:w="1700" w:type="dxa"/>
            <w:tcBorders>
              <w:bottom w:val="double" w:sz="4" w:space="0" w:color="auto"/>
            </w:tcBorders>
            <w:shd w:val="clear" w:color="auto" w:fill="E0E0E0"/>
          </w:tcPr>
          <w:p w:rsidR="00711AE2" w:rsidRPr="00390522" w:rsidRDefault="00711AE2" w:rsidP="004A0F75">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711AE2" w:rsidRPr="00390522" w:rsidRDefault="00711AE2" w:rsidP="004A0F75">
            <w:pPr>
              <w:keepNext/>
              <w:keepLines/>
              <w:overflowPunct w:val="0"/>
              <w:autoSpaceDE w:val="0"/>
              <w:autoSpaceDN w:val="0"/>
              <w:adjustRightInd w:val="0"/>
              <w:jc w:val="center"/>
              <w:textAlignment w:val="baseline"/>
              <w:rPr>
                <w:b/>
                <w:sz w:val="18"/>
                <w:lang w:eastAsia="en-GB"/>
              </w:rPr>
            </w:pPr>
            <w:r w:rsidRPr="00390522">
              <w:rPr>
                <w:b/>
                <w:sz w:val="18"/>
                <w:lang w:eastAsia="en-GB"/>
              </w:rPr>
              <w:t>TBS_L3</w:t>
            </w:r>
          </w:p>
        </w:tc>
      </w:tr>
      <w:tr w:rsidR="00711AE2" w:rsidRPr="00390522" w:rsidTr="004A0F75">
        <w:tc>
          <w:tcPr>
            <w:tcW w:w="1700" w:type="dxa"/>
            <w:tcBorders>
              <w:top w:val="doub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230104</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236160</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245648</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254328</w:t>
            </w:r>
          </w:p>
        </w:tc>
      </w:tr>
      <w:tr w:rsidR="00711AE2" w:rsidRPr="00390522" w:rsidTr="004A0F75">
        <w:tc>
          <w:tcPr>
            <w:tcW w:w="1700" w:type="dxa"/>
            <w:tcBorders>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tcPr>
          <w:p w:rsidR="00711AE2" w:rsidRPr="00390522" w:rsidRDefault="00711AE2" w:rsidP="004A0F75">
            <w:pPr>
              <w:jc w:val="center"/>
              <w:rPr>
                <w:rFonts w:cs="Arial"/>
                <w:sz w:val="18"/>
                <w:szCs w:val="16"/>
              </w:rPr>
            </w:pPr>
            <w:r w:rsidRPr="00390522">
              <w:rPr>
                <w:rFonts w:cs="Arial"/>
                <w:sz w:val="18"/>
                <w:szCs w:val="16"/>
              </w:rPr>
              <w:t>266440</w:t>
            </w:r>
          </w:p>
        </w:tc>
      </w:tr>
    </w:tbl>
    <w:p w:rsidR="00711AE2" w:rsidRDefault="00711AE2" w:rsidP="00711AE2">
      <w:pPr>
        <w:pStyle w:val="BodyText"/>
        <w:jc w:val="both"/>
      </w:pPr>
    </w:p>
    <w:p w:rsidR="00711AE2" w:rsidRDefault="00711AE2" w:rsidP="00711AE2">
      <w:pPr>
        <w:pStyle w:val="BodyText"/>
        <w:jc w:val="both"/>
      </w:pPr>
      <w:r>
        <w:t xml:space="preserve">The additional one-layer to four-layer mappings can be supported with five new TBS, as given in </w:t>
      </w:r>
      <w:r>
        <w:fldChar w:fldCharType="begin"/>
      </w:r>
      <w:r>
        <w:instrText xml:space="preserve"> REF _Ref378764522 \h </w:instrText>
      </w:r>
      <w:r>
        <w:instrText xml:space="preserve"> \* MERGEFORMAT </w:instrText>
      </w:r>
      <w:r>
        <w:fldChar w:fldCharType="separate"/>
      </w:r>
      <w:r>
        <w:t xml:space="preserve">Table </w:t>
      </w:r>
      <w:r>
        <w:rPr>
          <w:noProof/>
        </w:rPr>
        <w:t>4</w:t>
      </w:r>
      <w:r>
        <w:fldChar w:fldCharType="end"/>
      </w:r>
      <w:r>
        <w:t>.</w:t>
      </w:r>
    </w:p>
    <w:p w:rsidR="00711AE2" w:rsidRDefault="00711AE2" w:rsidP="00711AE2">
      <w:pPr>
        <w:pStyle w:val="Caption"/>
        <w:spacing w:after="60"/>
        <w:jc w:val="center"/>
      </w:pPr>
      <w:bookmarkStart w:id="11" w:name="_Ref378764522"/>
      <w:r>
        <w:t xml:space="preserve">Table </w:t>
      </w:r>
      <w:r>
        <w:fldChar w:fldCharType="begin"/>
      </w:r>
      <w:r>
        <w:instrText xml:space="preserve"> SEQ Table \* ARABIC </w:instrText>
      </w:r>
      <w:r>
        <w:fldChar w:fldCharType="separate"/>
      </w:r>
      <w:r>
        <w:t>4</w:t>
      </w:r>
      <w:r>
        <w:fldChar w:fldCharType="end"/>
      </w:r>
      <w:bookmarkEnd w:id="11"/>
      <w:r>
        <w:t xml:space="preserve"> </w:t>
      </w:r>
      <w:r w:rsidRPr="00D52CF7">
        <w:t xml:space="preserve">TBS mapping table for </w:t>
      </w:r>
      <w:r>
        <w:t>one-</w:t>
      </w:r>
      <w:r w:rsidRPr="00D52CF7">
        <w:t xml:space="preserve">layer to </w:t>
      </w:r>
      <w:r>
        <w:t>four-</w:t>
      </w:r>
      <w:r w:rsidRPr="00D52CF7">
        <w:t>layer</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711AE2" w:rsidRPr="00390522" w:rsidTr="004A0F75">
        <w:tc>
          <w:tcPr>
            <w:tcW w:w="1700" w:type="dxa"/>
            <w:tcBorders>
              <w:bottom w:val="double" w:sz="4" w:space="0" w:color="auto"/>
            </w:tcBorders>
            <w:shd w:val="clear" w:color="auto" w:fill="E0E0E0"/>
          </w:tcPr>
          <w:p w:rsidR="00711AE2" w:rsidRPr="00390522" w:rsidRDefault="00711AE2" w:rsidP="004A0F75">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711AE2" w:rsidRPr="00390522" w:rsidRDefault="00711AE2" w:rsidP="004A0F75">
            <w:pPr>
              <w:keepNext/>
              <w:keepLines/>
              <w:overflowPunct w:val="0"/>
              <w:autoSpaceDE w:val="0"/>
              <w:autoSpaceDN w:val="0"/>
              <w:adjustRightInd w:val="0"/>
              <w:jc w:val="center"/>
              <w:textAlignment w:val="baseline"/>
              <w:rPr>
                <w:b/>
                <w:sz w:val="18"/>
                <w:lang w:eastAsia="en-GB"/>
              </w:rPr>
            </w:pPr>
            <w:r w:rsidRPr="00390522">
              <w:rPr>
                <w:b/>
                <w:sz w:val="18"/>
                <w:lang w:eastAsia="en-GB"/>
              </w:rPr>
              <w:t>TBS_L4</w:t>
            </w:r>
          </w:p>
        </w:tc>
      </w:tr>
      <w:tr w:rsidR="00711AE2" w:rsidRPr="00390522" w:rsidTr="004A0F75">
        <w:tc>
          <w:tcPr>
            <w:tcW w:w="1700" w:type="dxa"/>
            <w:tcBorders>
              <w:top w:val="double" w:sz="4" w:space="0" w:color="auto"/>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305976</w:t>
            </w:r>
          </w:p>
        </w:tc>
      </w:tr>
      <w:tr w:rsidR="00711AE2" w:rsidRPr="00390522" w:rsidTr="004A0F75">
        <w:tc>
          <w:tcPr>
            <w:tcW w:w="1700" w:type="dxa"/>
            <w:tcBorders>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314888</w:t>
            </w:r>
          </w:p>
        </w:tc>
      </w:tr>
      <w:tr w:rsidR="00711AE2" w:rsidRPr="00390522" w:rsidTr="004A0F75">
        <w:tc>
          <w:tcPr>
            <w:tcW w:w="1700" w:type="dxa"/>
            <w:tcBorders>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327000</w:t>
            </w:r>
          </w:p>
        </w:tc>
      </w:tr>
      <w:tr w:rsidR="00711AE2" w:rsidRPr="00390522" w:rsidTr="004A0F75">
        <w:tc>
          <w:tcPr>
            <w:tcW w:w="1700" w:type="dxa"/>
            <w:tcBorders>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339112</w:t>
            </w:r>
          </w:p>
        </w:tc>
      </w:tr>
      <w:tr w:rsidR="00711AE2" w:rsidRPr="00390522" w:rsidTr="004A0F75">
        <w:tc>
          <w:tcPr>
            <w:tcW w:w="1700" w:type="dxa"/>
            <w:tcBorders>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vAlign w:val="bottom"/>
          </w:tcPr>
          <w:p w:rsidR="00711AE2" w:rsidRPr="00390522" w:rsidRDefault="00711AE2" w:rsidP="004A0F75">
            <w:pPr>
              <w:jc w:val="center"/>
              <w:rPr>
                <w:rFonts w:cs="Arial"/>
                <w:sz w:val="18"/>
                <w:szCs w:val="16"/>
              </w:rPr>
            </w:pPr>
            <w:r w:rsidRPr="00390522">
              <w:rPr>
                <w:rFonts w:cs="Arial"/>
                <w:sz w:val="18"/>
                <w:szCs w:val="16"/>
              </w:rPr>
              <w:t>354936</w:t>
            </w:r>
          </w:p>
        </w:tc>
      </w:tr>
    </w:tbl>
    <w:p w:rsidR="00711AE2" w:rsidRDefault="00711AE2" w:rsidP="00711AE2">
      <w:pPr>
        <w:pStyle w:val="BodyText"/>
        <w:jc w:val="both"/>
      </w:pPr>
    </w:p>
    <w:p w:rsidR="00711AE2" w:rsidRDefault="00711AE2" w:rsidP="00711AE2">
      <w:pPr>
        <w:pStyle w:val="BodyText"/>
        <w:jc w:val="both"/>
      </w:pPr>
      <w:r>
        <w:t xml:space="preserve">With the TBS table design given in </w:t>
      </w:r>
      <w:r>
        <w:fldChar w:fldCharType="begin"/>
      </w:r>
      <w:r>
        <w:instrText xml:space="preserve"> REF _Ref378926054 \h </w:instrText>
      </w:r>
      <w:r>
        <w:fldChar w:fldCharType="separate"/>
      </w:r>
      <w:r>
        <w:t xml:space="preserve">Table </w:t>
      </w:r>
      <w:r>
        <w:rPr>
          <w:noProof/>
        </w:rPr>
        <w:t>1</w:t>
      </w:r>
      <w:r>
        <w:fldChar w:fldCharType="end"/>
      </w:r>
      <w:r>
        <w:t xml:space="preserve">, </w:t>
      </w:r>
      <w:r>
        <w:fldChar w:fldCharType="begin"/>
      </w:r>
      <w:r>
        <w:instrText xml:space="preserve"> REF _Ref378764503 \h </w:instrText>
      </w:r>
      <w:r>
        <w:instrText xml:space="preserve"> \* MERGEFORMAT </w:instrText>
      </w:r>
      <w:r>
        <w:fldChar w:fldCharType="separate"/>
      </w:r>
      <w:r>
        <w:t xml:space="preserve">Table </w:t>
      </w:r>
      <w:r>
        <w:rPr>
          <w:noProof/>
        </w:rPr>
        <w:t>2</w:t>
      </w:r>
      <w:r>
        <w:fldChar w:fldCharType="end"/>
      </w:r>
      <w:r>
        <w:t xml:space="preserve">, </w:t>
      </w:r>
      <w:r>
        <w:fldChar w:fldCharType="begin"/>
      </w:r>
      <w:r>
        <w:instrText xml:space="preserve"> REF _Ref378764517 \h </w:instrText>
      </w:r>
      <w:r>
        <w:instrText xml:space="preserve"> \* MERGEFORMAT </w:instrText>
      </w:r>
      <w:r>
        <w:fldChar w:fldCharType="separate"/>
      </w:r>
      <w:r>
        <w:t xml:space="preserve">Table </w:t>
      </w:r>
      <w:r>
        <w:rPr>
          <w:noProof/>
        </w:rPr>
        <w:t>3</w:t>
      </w:r>
      <w:r>
        <w:fldChar w:fldCharType="end"/>
      </w:r>
      <w:r>
        <w:t xml:space="preserve"> and </w:t>
      </w:r>
      <w:r>
        <w:fldChar w:fldCharType="begin"/>
      </w:r>
      <w:r>
        <w:instrText xml:space="preserve"> REF _Ref378764522 \h </w:instrText>
      </w:r>
      <w:r>
        <w:instrText xml:space="preserve"> \* MERGEFORMAT </w:instrText>
      </w:r>
      <w:r>
        <w:fldChar w:fldCharType="separate"/>
      </w:r>
      <w:r>
        <w:t xml:space="preserve">Table </w:t>
      </w:r>
      <w:r>
        <w:rPr>
          <w:noProof/>
        </w:rPr>
        <w:t>4</w:t>
      </w:r>
      <w:r>
        <w:fldChar w:fldCharType="end"/>
      </w:r>
      <w:r>
        <w:t xml:space="preserve">, there are </w:t>
      </w:r>
      <w:r w:rsidRPr="00390522">
        <w:t xml:space="preserve">5 new TBS </w:t>
      </w:r>
      <w:r>
        <w:t>added to the existing 229 TBS, i.e., 234 TBS in total to support all modulations up to 256QAM.</w:t>
      </w:r>
      <w:r w:rsidRPr="00390522">
        <w:t xml:space="preserve"> This allows the TBS table to be stored with 8-bit indices instead of 19-bit integers, which reduces storage requirement by at least half</w:t>
      </w:r>
      <w:r>
        <w:t>.</w:t>
      </w:r>
    </w:p>
    <w:p w:rsidR="00711AE2" w:rsidRPr="00492133" w:rsidRDefault="00711AE2" w:rsidP="00711AE2">
      <w:pPr>
        <w:pStyle w:val="StatementHeading"/>
        <w:spacing w:before="0" w:beforeAutospacing="0" w:after="120"/>
        <w:jc w:val="both"/>
      </w:pPr>
      <w:r w:rsidRPr="00492133">
        <w:t>Observation:</w:t>
      </w:r>
    </w:p>
    <w:p w:rsidR="00711AE2" w:rsidRDefault="00711AE2" w:rsidP="00711AE2">
      <w:pPr>
        <w:pStyle w:val="BodyText"/>
        <w:numPr>
          <w:ilvl w:val="0"/>
          <w:numId w:val="8"/>
        </w:numPr>
        <w:jc w:val="both"/>
      </w:pPr>
      <w:r>
        <w:t xml:space="preserve">The proposed TBS table design need 5 new TBS added to the existing 229 TBS. </w:t>
      </w:r>
      <w:r w:rsidRPr="00390522">
        <w:t>This allows the TBS table to be stored with 8-bit indices instead of 19-bit integers, which reduces storage requirement by at least half</w:t>
      </w:r>
      <w:r>
        <w:t>.</w:t>
      </w:r>
    </w:p>
    <w:p w:rsidR="00711AE2" w:rsidRDefault="00711AE2" w:rsidP="00711AE2">
      <w:pPr>
        <w:pStyle w:val="BodyText"/>
        <w:ind w:left="720"/>
        <w:jc w:val="both"/>
      </w:pPr>
    </w:p>
    <w:p w:rsidR="00711AE2" w:rsidRDefault="00711AE2" w:rsidP="00711AE2">
      <w:pPr>
        <w:pStyle w:val="BodyText"/>
        <w:jc w:val="both"/>
      </w:pPr>
      <w:r>
        <w:t>Based on above discussion, the new TBS table has a minimum specification impacts, with a good support for 256QAM. In the new TBS table, all entries of Rel-11 TBS are kept and a few TBS rows are added containing TBS to support 256QAM. All the TBS in the new rows are the existing TBS from Rel-11 TBS table. As for the multi-layer TBS translation tables, similarly, the existing TBS are used for one-layer to two-layer translation, and one-layer to three-layer translation table without introducing new TBS. As for one-layer to four-layer TBS translation table, only five new TBS are introduced to support higher peak rates with 256QAM. With this design, the new TBS table can be stored with 8-bit indices, which reduce the storage requirement and have minimum impact on implementation/cost. Therefore, we propose to introduce the proposed TBS table for 256QAM support in Rel-12.</w:t>
      </w:r>
    </w:p>
    <w:p w:rsidR="00711AE2" w:rsidRPr="00492133" w:rsidRDefault="00711AE2" w:rsidP="00711AE2">
      <w:pPr>
        <w:pStyle w:val="StatementHeading"/>
        <w:spacing w:before="0" w:beforeAutospacing="0" w:after="120"/>
        <w:jc w:val="both"/>
      </w:pPr>
      <w:r>
        <w:t>Proposal</w:t>
      </w:r>
      <w:r w:rsidRPr="00492133">
        <w:t>:</w:t>
      </w:r>
    </w:p>
    <w:p w:rsidR="00711AE2" w:rsidRPr="0021554C" w:rsidRDefault="00711AE2" w:rsidP="00711AE2">
      <w:pPr>
        <w:pStyle w:val="BodyText"/>
        <w:numPr>
          <w:ilvl w:val="0"/>
          <w:numId w:val="8"/>
        </w:numPr>
        <w:jc w:val="both"/>
      </w:pPr>
      <w:r>
        <w:t>Introduce the proposed TBS table for 256QAM support in Rel-12.</w:t>
      </w:r>
    </w:p>
    <w:p w:rsidR="00711AE2" w:rsidRPr="00E70914" w:rsidRDefault="00711AE2" w:rsidP="00711AE2">
      <w:pPr>
        <w:pStyle w:val="Heading1"/>
        <w:jc w:val="both"/>
      </w:pPr>
      <w:r w:rsidRPr="00E70914">
        <w:t>Conclusions</w:t>
      </w:r>
    </w:p>
    <w:p w:rsidR="00711AE2" w:rsidRPr="00E70914" w:rsidRDefault="00711AE2" w:rsidP="00711AE2">
      <w:pPr>
        <w:pStyle w:val="BodyText"/>
        <w:jc w:val="both"/>
      </w:pPr>
      <w:r w:rsidRPr="00E70914">
        <w:t xml:space="preserve">In this contribution, we </w:t>
      </w:r>
      <w:r>
        <w:t>propose a TBS table for</w:t>
      </w:r>
      <w:r w:rsidRPr="00E70914">
        <w:t xml:space="preserve"> 256QAM </w:t>
      </w:r>
      <w:r>
        <w:t xml:space="preserve">support </w:t>
      </w:r>
      <w:r w:rsidRPr="00E70914">
        <w:t xml:space="preserve">in </w:t>
      </w:r>
      <w:r>
        <w:t xml:space="preserve">Rel-12, </w:t>
      </w:r>
      <w:r w:rsidRPr="00E70914">
        <w:t>and made the following observations and proposals</w:t>
      </w:r>
      <w:r>
        <w:t>:</w:t>
      </w:r>
      <w:r w:rsidRPr="00E70914">
        <w:t xml:space="preserve"> </w:t>
      </w:r>
    </w:p>
    <w:p w:rsidR="00711AE2" w:rsidRPr="00E70914" w:rsidRDefault="00711AE2" w:rsidP="00711AE2">
      <w:pPr>
        <w:pStyle w:val="StatementHeading"/>
        <w:spacing w:before="0" w:beforeAutospacing="0" w:after="120"/>
        <w:jc w:val="both"/>
      </w:pPr>
      <w:r w:rsidRPr="00E70914">
        <w:t>Observations:</w:t>
      </w:r>
    </w:p>
    <w:p w:rsidR="00711AE2" w:rsidRPr="00295121" w:rsidRDefault="00711AE2" w:rsidP="00711AE2">
      <w:pPr>
        <w:pStyle w:val="BodyText"/>
        <w:numPr>
          <w:ilvl w:val="0"/>
          <w:numId w:val="8"/>
        </w:numPr>
        <w:jc w:val="both"/>
      </w:pPr>
      <w:r>
        <w:t xml:space="preserve">By allowing the actual code rate to deviate from the target code rate by </w:t>
      </w:r>
      <w:r w:rsidRPr="001207CE">
        <w:t>±</w:t>
      </w:r>
      <w:r>
        <w:t>2%, there are in total 229 unique TBS defined in Rel-11.</w:t>
      </w:r>
    </w:p>
    <w:p w:rsidR="00711AE2" w:rsidRDefault="00711AE2" w:rsidP="00711AE2">
      <w:pPr>
        <w:pStyle w:val="BodyText"/>
        <w:numPr>
          <w:ilvl w:val="0"/>
          <w:numId w:val="8"/>
        </w:numPr>
        <w:jc w:val="both"/>
      </w:pPr>
      <w:r>
        <w:t xml:space="preserve">By allowing up to </w:t>
      </w:r>
      <w:r w:rsidRPr="00295121">
        <w:t>±</w:t>
      </w:r>
      <w:r>
        <w:t>2% deviation from the target code rate, the new TBS table can be designed without introducing any new transport block sizes for 256QAM one spatial layer support in Rel-12.</w:t>
      </w:r>
    </w:p>
    <w:p w:rsidR="00711AE2" w:rsidRPr="00295121" w:rsidRDefault="00711AE2" w:rsidP="00711AE2">
      <w:pPr>
        <w:pStyle w:val="BodyText"/>
        <w:numPr>
          <w:ilvl w:val="0"/>
          <w:numId w:val="8"/>
        </w:numPr>
        <w:jc w:val="both"/>
      </w:pPr>
      <w:r>
        <w:t xml:space="preserve">The proposed TBS table design need 5 new TBS added to the existing 229 TBS. </w:t>
      </w:r>
      <w:r w:rsidRPr="00390522">
        <w:t>This allows the TBS table to be stored with 8-bit indices instead of 19-bit integers, which reduces storage requirement by at least half</w:t>
      </w:r>
      <w:r>
        <w:t>.</w:t>
      </w:r>
    </w:p>
    <w:p w:rsidR="00711AE2" w:rsidRPr="00E70914" w:rsidRDefault="00711AE2" w:rsidP="00711AE2">
      <w:pPr>
        <w:pStyle w:val="StatementHeading"/>
        <w:spacing w:before="0" w:beforeAutospacing="0" w:after="120"/>
        <w:jc w:val="both"/>
      </w:pPr>
      <w:r w:rsidRPr="00E70914">
        <w:t xml:space="preserve">Proposals: </w:t>
      </w:r>
    </w:p>
    <w:p w:rsidR="00711AE2" w:rsidRPr="00D06F55" w:rsidRDefault="00711AE2" w:rsidP="00711AE2">
      <w:pPr>
        <w:pStyle w:val="BodyText"/>
        <w:numPr>
          <w:ilvl w:val="0"/>
          <w:numId w:val="5"/>
        </w:numPr>
        <w:jc w:val="both"/>
      </w:pPr>
      <w:r>
        <w:t>Introduce the proposed TBS table for 256QAM support in Rel-12.</w:t>
      </w:r>
    </w:p>
    <w:p w:rsidR="00711AE2" w:rsidRPr="00E70914" w:rsidRDefault="00711AE2" w:rsidP="00711AE2">
      <w:pPr>
        <w:pStyle w:val="Heading1"/>
        <w:jc w:val="both"/>
      </w:pPr>
      <w:r w:rsidRPr="00E70914">
        <w:t>References</w:t>
      </w:r>
    </w:p>
    <w:p w:rsidR="00711AE2" w:rsidRDefault="00711AE2" w:rsidP="00711AE2">
      <w:pPr>
        <w:pStyle w:val="Reference"/>
      </w:pPr>
      <w:bookmarkStart w:id="12" w:name="_Ref377392850"/>
      <w:r>
        <w:t>RP-132073, “WID Small cell enhancements-PHY</w:t>
      </w:r>
      <w:bookmarkEnd w:id="12"/>
      <w:r>
        <w:t>”, Huawei</w:t>
      </w:r>
    </w:p>
    <w:p w:rsidR="00711AE2" w:rsidRPr="00C52A49" w:rsidRDefault="00711AE2" w:rsidP="00711AE2">
      <w:pPr>
        <w:pStyle w:val="Reference"/>
      </w:pPr>
      <w:bookmarkStart w:id="13" w:name="_Ref377629995"/>
      <w:r w:rsidRPr="00C52A49">
        <w:t>R1-140753, “CQI table design for 256QAM”, Ericsson</w:t>
      </w:r>
      <w:bookmarkEnd w:id="13"/>
    </w:p>
    <w:p w:rsidR="00711AE2" w:rsidRDefault="00711AE2" w:rsidP="00711AE2">
      <w:pPr>
        <w:pStyle w:val="Reference"/>
      </w:pPr>
      <w:bookmarkStart w:id="14" w:name="_Ref378862633"/>
      <w:r w:rsidRPr="00C52A49">
        <w:t>R1-140754, “MCS table design</w:t>
      </w:r>
      <w:r>
        <w:t xml:space="preserve"> for 256QAM”, Ericsson</w:t>
      </w:r>
      <w:bookmarkEnd w:id="14"/>
    </w:p>
    <w:p w:rsidR="00F255C2" w:rsidRDefault="00711AE2" w:rsidP="00711AE2">
      <w:pPr>
        <w:pStyle w:val="Reference"/>
      </w:pPr>
      <w:bookmarkStart w:id="15" w:name="_Ref378925196"/>
      <w:r>
        <w:t>3GPP TS 36.213</w:t>
      </w:r>
      <w:bookmarkStart w:id="16" w:name="_GoBack"/>
      <w:bookmarkEnd w:id="15"/>
      <w:bookmarkEnd w:id="16"/>
    </w:p>
    <w:sectPr w:rsidR="00F255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A36935"/>
    <w:multiLevelType w:val="hybridMultilevel"/>
    <w:tmpl w:val="DD00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2"/>
  </w:num>
  <w:num w:numId="2">
    <w:abstractNumId w:val="23"/>
  </w:num>
  <w:num w:numId="3">
    <w:abstractNumId w:val="4"/>
  </w:num>
  <w:num w:numId="4">
    <w:abstractNumId w:val="20"/>
  </w:num>
  <w:num w:numId="5">
    <w:abstractNumId w:val="8"/>
  </w:num>
  <w:num w:numId="6">
    <w:abstractNumId w:val="19"/>
  </w:num>
  <w:num w:numId="7">
    <w:abstractNumId w:val="0"/>
  </w:num>
  <w:num w:numId="8">
    <w:abstractNumId w:val="9"/>
  </w:num>
  <w:num w:numId="9">
    <w:abstractNumId w:val="18"/>
  </w:num>
  <w:num w:numId="10">
    <w:abstractNumId w:val="12"/>
  </w:num>
  <w:num w:numId="11">
    <w:abstractNumId w:val="7"/>
  </w:num>
  <w:num w:numId="12">
    <w:abstractNumId w:val="1"/>
  </w:num>
  <w:num w:numId="13">
    <w:abstractNumId w:val="2"/>
  </w:num>
  <w:num w:numId="14">
    <w:abstractNumId w:val="16"/>
  </w:num>
  <w:num w:numId="15">
    <w:abstractNumId w:val="5"/>
  </w:num>
  <w:num w:numId="16">
    <w:abstractNumId w:val="10"/>
  </w:num>
  <w:num w:numId="17">
    <w:abstractNumId w:val="6"/>
  </w:num>
  <w:num w:numId="18">
    <w:abstractNumId w:val="17"/>
  </w:num>
  <w:num w:numId="19">
    <w:abstractNumId w:val="14"/>
  </w:num>
  <w:num w:numId="20">
    <w:abstractNumId w:val="15"/>
  </w:num>
  <w:num w:numId="21">
    <w:abstractNumId w:val="13"/>
  </w:num>
  <w:num w:numId="22">
    <w:abstractNumId w:val="3"/>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D6E"/>
    <w:rsid w:val="00377D6E"/>
    <w:rsid w:val="00711AE2"/>
    <w:rsid w:val="00F2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AE2"/>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711AE2"/>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711AE2"/>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711AE2"/>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711AE2"/>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711AE2"/>
    <w:pPr>
      <w:spacing w:before="240" w:after="60"/>
      <w:outlineLvl w:val="4"/>
    </w:pPr>
    <w:rPr>
      <w:rFonts w:ascii="Calibri" w:hAnsi="Calibri"/>
      <w:b/>
      <w:bCs/>
      <w:i/>
      <w:iCs/>
      <w:sz w:val="26"/>
      <w:szCs w:val="26"/>
    </w:rPr>
  </w:style>
  <w:style w:type="paragraph" w:styleId="Heading6">
    <w:name w:val="heading 6"/>
    <w:basedOn w:val="H6"/>
    <w:next w:val="Normal"/>
    <w:link w:val="Heading6Char"/>
    <w:qFormat/>
    <w:rsid w:val="00711AE2"/>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711AE2"/>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711AE2"/>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711A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11AE2"/>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711AE2"/>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711AE2"/>
    <w:rPr>
      <w:rFonts w:ascii="Helvetica" w:eastAsia="MS Mincho" w:hAnsi="Helvetica" w:cs="Helvetica"/>
      <w:b/>
      <w:bCs/>
      <w:szCs w:val="20"/>
    </w:rPr>
  </w:style>
  <w:style w:type="character" w:customStyle="1" w:styleId="Heading4Char">
    <w:name w:val="Heading 4 Char"/>
    <w:aliases w:val="h4 Char"/>
    <w:basedOn w:val="DefaultParagraphFont"/>
    <w:link w:val="Heading4"/>
    <w:rsid w:val="00711AE2"/>
    <w:rPr>
      <w:rFonts w:ascii="Times New Roman" w:eastAsia="MS Mincho" w:hAnsi="Times New Roman" w:cs="Times New Roman"/>
      <w:b/>
      <w:bCs/>
      <w:sz w:val="28"/>
      <w:szCs w:val="28"/>
    </w:rPr>
  </w:style>
  <w:style w:type="character" w:customStyle="1" w:styleId="Heading5Char">
    <w:name w:val="Heading 5 Char"/>
    <w:aliases w:val="h5 Char,Heading5 Char"/>
    <w:basedOn w:val="DefaultParagraphFont"/>
    <w:link w:val="Heading5"/>
    <w:rsid w:val="00711AE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711AE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11AE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11AE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11AE2"/>
    <w:rPr>
      <w:rFonts w:ascii="Arial" w:eastAsia="Times New Roman" w:hAnsi="Arial" w:cs="Times New Roman"/>
      <w:sz w:val="36"/>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11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11AE2"/>
    <w:rPr>
      <w:rFonts w:ascii="Arial" w:eastAsia="MS Mincho" w:hAnsi="Arial" w:cs="Times New Roman"/>
      <w:b/>
      <w:szCs w:val="24"/>
    </w:rPr>
  </w:style>
  <w:style w:type="paragraph" w:customStyle="1" w:styleId="H6">
    <w:name w:val="H6"/>
    <w:basedOn w:val="Heading5"/>
    <w:next w:val="Normal"/>
    <w:rsid w:val="00711AE2"/>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11AE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1AE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711AE2"/>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11AE2"/>
    <w:pPr>
      <w:numPr>
        <w:numId w:val="2"/>
      </w:numPr>
      <w:spacing w:after="100" w:afterAutospacing="1"/>
      <w:contextualSpacing/>
    </w:pPr>
    <w:rPr>
      <w:lang w:eastAsia="ko-KR"/>
    </w:rPr>
  </w:style>
  <w:style w:type="character" w:customStyle="1" w:styleId="StatementBodyChar">
    <w:name w:val="Statement Body Char"/>
    <w:link w:val="StatementBody"/>
    <w:rsid w:val="00711AE2"/>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711AE2"/>
    <w:pPr>
      <w:numPr>
        <w:numId w:val="3"/>
      </w:numPr>
      <w:ind w:left="567" w:hanging="567"/>
      <w:jc w:val="both"/>
    </w:pPr>
    <w:rPr>
      <w:rFonts w:eastAsia="MS Mincho"/>
    </w:rPr>
  </w:style>
  <w:style w:type="character" w:customStyle="1" w:styleId="ReferenceChar">
    <w:name w:val="Reference Char"/>
    <w:link w:val="Reference"/>
    <w:rsid w:val="00711AE2"/>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11AE2"/>
    <w:rPr>
      <w:b/>
      <w:bCs/>
      <w:szCs w:val="20"/>
    </w:rPr>
  </w:style>
  <w:style w:type="paragraph" w:styleId="Bibliography">
    <w:name w:val="Bibliography"/>
    <w:basedOn w:val="Normal"/>
    <w:next w:val="Normal"/>
    <w:uiPriority w:val="37"/>
    <w:semiHidden/>
    <w:unhideWhenUsed/>
    <w:rsid w:val="00711AE2"/>
  </w:style>
  <w:style w:type="character" w:styleId="CommentReference">
    <w:name w:val="annotation reference"/>
    <w:semiHidden/>
    <w:unhideWhenUsed/>
    <w:rsid w:val="00711AE2"/>
    <w:rPr>
      <w:sz w:val="16"/>
      <w:szCs w:val="16"/>
    </w:rPr>
  </w:style>
  <w:style w:type="paragraph" w:styleId="CommentText">
    <w:name w:val="annotation text"/>
    <w:basedOn w:val="Normal"/>
    <w:link w:val="CommentTextChar"/>
    <w:semiHidden/>
    <w:unhideWhenUsed/>
    <w:rsid w:val="00711AE2"/>
    <w:rPr>
      <w:sz w:val="20"/>
      <w:szCs w:val="20"/>
    </w:rPr>
  </w:style>
  <w:style w:type="character" w:customStyle="1" w:styleId="CommentTextChar">
    <w:name w:val="Comment Text Char"/>
    <w:basedOn w:val="DefaultParagraphFont"/>
    <w:link w:val="CommentText"/>
    <w:semiHidden/>
    <w:rsid w:val="00711A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711AE2"/>
    <w:rPr>
      <w:b/>
      <w:bCs/>
    </w:rPr>
  </w:style>
  <w:style w:type="character" w:customStyle="1" w:styleId="CommentSubjectChar">
    <w:name w:val="Comment Subject Char"/>
    <w:basedOn w:val="CommentTextChar"/>
    <w:link w:val="CommentSubject"/>
    <w:semiHidden/>
    <w:rsid w:val="00711AE2"/>
    <w:rPr>
      <w:rFonts w:ascii="Times New Roman" w:eastAsia="Times New Roman" w:hAnsi="Times New Roman" w:cs="Times New Roman"/>
      <w:b/>
      <w:bCs/>
      <w:sz w:val="20"/>
      <w:szCs w:val="20"/>
    </w:rPr>
  </w:style>
  <w:style w:type="paragraph" w:styleId="BalloonText">
    <w:name w:val="Balloon Text"/>
    <w:basedOn w:val="Normal"/>
    <w:link w:val="BalloonTextChar"/>
    <w:semiHidden/>
    <w:unhideWhenUsed/>
    <w:rsid w:val="00711AE2"/>
    <w:rPr>
      <w:rFonts w:ascii="Tahoma" w:hAnsi="Tahoma" w:cs="Tahoma"/>
      <w:sz w:val="16"/>
      <w:szCs w:val="16"/>
    </w:rPr>
  </w:style>
  <w:style w:type="character" w:customStyle="1" w:styleId="BalloonTextChar">
    <w:name w:val="Balloon Text Char"/>
    <w:basedOn w:val="DefaultParagraphFont"/>
    <w:link w:val="BalloonText"/>
    <w:semiHidden/>
    <w:rsid w:val="00711AE2"/>
    <w:rPr>
      <w:rFonts w:ascii="Tahoma" w:eastAsia="Times New Roman" w:hAnsi="Tahoma" w:cs="Tahoma"/>
      <w:sz w:val="16"/>
      <w:szCs w:val="16"/>
    </w:rPr>
  </w:style>
  <w:style w:type="paragraph" w:styleId="TOC2">
    <w:name w:val="toc 2"/>
    <w:basedOn w:val="TOC1"/>
    <w:next w:val="Normal"/>
    <w:autoRedefine/>
    <w:semiHidden/>
    <w:rsid w:val="00711AE2"/>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711AE2"/>
  </w:style>
  <w:style w:type="numbering" w:customStyle="1" w:styleId="NoList1">
    <w:name w:val="No List1"/>
    <w:next w:val="NoList"/>
    <w:uiPriority w:val="99"/>
    <w:semiHidden/>
    <w:unhideWhenUsed/>
    <w:rsid w:val="00711AE2"/>
  </w:style>
  <w:style w:type="paragraph" w:customStyle="1" w:styleId="References">
    <w:name w:val="References"/>
    <w:basedOn w:val="Normal"/>
    <w:next w:val="Normal"/>
    <w:rsid w:val="00711AE2"/>
    <w:pPr>
      <w:numPr>
        <w:numId w:val="16"/>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711AE2"/>
    <w:pPr>
      <w:ind w:left="1418" w:hanging="1418"/>
    </w:pPr>
  </w:style>
  <w:style w:type="paragraph" w:styleId="TOC8">
    <w:name w:val="toc 8"/>
    <w:basedOn w:val="TOC1"/>
    <w:semiHidden/>
    <w:rsid w:val="00711AE2"/>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711AE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11AE2"/>
  </w:style>
  <w:style w:type="paragraph" w:customStyle="1" w:styleId="ZD">
    <w:name w:val="ZD"/>
    <w:rsid w:val="00711AE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711AE2"/>
    <w:pPr>
      <w:ind w:left="1701" w:hanging="1701"/>
    </w:pPr>
  </w:style>
  <w:style w:type="paragraph" w:styleId="TOC4">
    <w:name w:val="toc 4"/>
    <w:basedOn w:val="TOC3"/>
    <w:semiHidden/>
    <w:rsid w:val="00711AE2"/>
    <w:pPr>
      <w:ind w:left="1418" w:hanging="1418"/>
    </w:pPr>
  </w:style>
  <w:style w:type="paragraph" w:styleId="TOC3">
    <w:name w:val="toc 3"/>
    <w:basedOn w:val="TOC2"/>
    <w:semiHidden/>
    <w:rsid w:val="00711AE2"/>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711AE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11AE2"/>
    <w:pPr>
      <w:ind w:left="284"/>
    </w:pPr>
  </w:style>
  <w:style w:type="paragraph" w:customStyle="1" w:styleId="TT">
    <w:name w:val="TT"/>
    <w:basedOn w:val="Heading1"/>
    <w:next w:val="Normal"/>
    <w:rsid w:val="00711AE2"/>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711AE2"/>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711AE2"/>
    <w:rPr>
      <w:rFonts w:ascii="Arial" w:eastAsia="Times New Roman" w:hAnsi="Arial" w:cs="Times New Roman"/>
      <w:b/>
      <w:i/>
      <w:noProof/>
      <w:sz w:val="18"/>
      <w:szCs w:val="20"/>
      <w:lang w:val="en-GB" w:eastAsia="en-GB"/>
    </w:rPr>
  </w:style>
  <w:style w:type="character" w:styleId="FootnoteReference">
    <w:name w:val="footnote reference"/>
    <w:semiHidden/>
    <w:rsid w:val="00711A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1AE2"/>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1AE2"/>
    <w:rPr>
      <w:rFonts w:ascii="Times New Roman" w:eastAsia="Times New Roman" w:hAnsi="Times New Roman" w:cs="Times New Roman"/>
      <w:sz w:val="16"/>
      <w:szCs w:val="20"/>
      <w:lang w:val="en-GB" w:eastAsia="en-GB"/>
    </w:rPr>
  </w:style>
  <w:style w:type="paragraph" w:customStyle="1" w:styleId="NF">
    <w:name w:val="NF"/>
    <w:basedOn w:val="NO"/>
    <w:rsid w:val="00711AE2"/>
    <w:pPr>
      <w:keepNext/>
      <w:spacing w:after="0"/>
    </w:pPr>
    <w:rPr>
      <w:rFonts w:ascii="Arial" w:hAnsi="Arial"/>
      <w:sz w:val="18"/>
    </w:rPr>
  </w:style>
  <w:style w:type="paragraph" w:customStyle="1" w:styleId="NO">
    <w:name w:val="NO"/>
    <w:basedOn w:val="Normal"/>
    <w:rsid w:val="00711AE2"/>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711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711AE2"/>
    <w:pPr>
      <w:jc w:val="right"/>
    </w:pPr>
  </w:style>
  <w:style w:type="paragraph" w:customStyle="1" w:styleId="TAL">
    <w:name w:val="TAL"/>
    <w:basedOn w:val="Normal"/>
    <w:rsid w:val="00711AE2"/>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11AE2"/>
    <w:pPr>
      <w:ind w:left="851"/>
    </w:pPr>
  </w:style>
  <w:style w:type="paragraph" w:styleId="ListNumber">
    <w:name w:val="List Number"/>
    <w:basedOn w:val="List"/>
    <w:rsid w:val="00711AE2"/>
  </w:style>
  <w:style w:type="paragraph" w:styleId="List">
    <w:name w:val="List"/>
    <w:basedOn w:val="Normal"/>
    <w:rsid w:val="00711AE2"/>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711AE2"/>
    <w:rPr>
      <w:b/>
    </w:rPr>
  </w:style>
  <w:style w:type="paragraph" w:customStyle="1" w:styleId="TAC">
    <w:name w:val="TAC"/>
    <w:basedOn w:val="TAL"/>
    <w:rsid w:val="00711AE2"/>
    <w:pPr>
      <w:jc w:val="center"/>
    </w:pPr>
  </w:style>
  <w:style w:type="paragraph" w:customStyle="1" w:styleId="LD">
    <w:name w:val="LD"/>
    <w:rsid w:val="00711AE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711AE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11AE2"/>
    <w:pPr>
      <w:overflowPunct w:val="0"/>
      <w:autoSpaceDE w:val="0"/>
      <w:autoSpaceDN w:val="0"/>
      <w:adjustRightInd w:val="0"/>
      <w:textAlignment w:val="baseline"/>
    </w:pPr>
    <w:rPr>
      <w:sz w:val="20"/>
      <w:szCs w:val="20"/>
      <w:lang w:val="en-GB" w:eastAsia="en-GB"/>
    </w:rPr>
  </w:style>
  <w:style w:type="paragraph" w:customStyle="1" w:styleId="NW">
    <w:name w:val="NW"/>
    <w:basedOn w:val="NO"/>
    <w:rsid w:val="00711AE2"/>
    <w:pPr>
      <w:spacing w:after="0"/>
    </w:pPr>
  </w:style>
  <w:style w:type="paragraph" w:customStyle="1" w:styleId="EW">
    <w:name w:val="EW"/>
    <w:basedOn w:val="EX"/>
    <w:rsid w:val="00711AE2"/>
    <w:pPr>
      <w:spacing w:after="0"/>
    </w:pPr>
  </w:style>
  <w:style w:type="paragraph" w:customStyle="1" w:styleId="B1">
    <w:name w:val="B1"/>
    <w:basedOn w:val="List"/>
    <w:link w:val="B1Char1"/>
    <w:rsid w:val="00711AE2"/>
  </w:style>
  <w:style w:type="character" w:customStyle="1" w:styleId="B1Char1">
    <w:name w:val="B1 Char1"/>
    <w:link w:val="B1"/>
    <w:rsid w:val="00711AE2"/>
    <w:rPr>
      <w:rFonts w:ascii="Times New Roman" w:eastAsia="Times New Roman" w:hAnsi="Times New Roman" w:cs="Times New Roman"/>
      <w:sz w:val="20"/>
      <w:szCs w:val="20"/>
      <w:lang w:val="en-GB" w:eastAsia="en-GB"/>
    </w:rPr>
  </w:style>
  <w:style w:type="paragraph" w:styleId="TOC6">
    <w:name w:val="toc 6"/>
    <w:basedOn w:val="TOC5"/>
    <w:next w:val="Normal"/>
    <w:semiHidden/>
    <w:rsid w:val="00711AE2"/>
    <w:pPr>
      <w:ind w:left="1985" w:hanging="1985"/>
    </w:pPr>
  </w:style>
  <w:style w:type="paragraph" w:styleId="TOC7">
    <w:name w:val="toc 7"/>
    <w:basedOn w:val="TOC6"/>
    <w:next w:val="Normal"/>
    <w:semiHidden/>
    <w:rsid w:val="00711AE2"/>
    <w:pPr>
      <w:ind w:left="2268" w:hanging="2268"/>
    </w:pPr>
  </w:style>
  <w:style w:type="paragraph" w:styleId="ListBullet2">
    <w:name w:val="List Bullet 2"/>
    <w:basedOn w:val="ListBullet"/>
    <w:rsid w:val="00711AE2"/>
    <w:pPr>
      <w:ind w:left="851"/>
    </w:pPr>
  </w:style>
  <w:style w:type="paragraph" w:styleId="ListBullet">
    <w:name w:val="List Bullet"/>
    <w:basedOn w:val="List"/>
    <w:rsid w:val="00711AE2"/>
  </w:style>
  <w:style w:type="paragraph" w:customStyle="1" w:styleId="EditorsNote">
    <w:name w:val="Editor's Note"/>
    <w:basedOn w:val="NO"/>
    <w:rsid w:val="00711AE2"/>
    <w:rPr>
      <w:color w:val="FF0000"/>
    </w:rPr>
  </w:style>
  <w:style w:type="paragraph" w:customStyle="1" w:styleId="TH">
    <w:name w:val="TH"/>
    <w:basedOn w:val="Normal"/>
    <w:link w:val="THChar"/>
    <w:rsid w:val="00711AE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711AE2"/>
    <w:rPr>
      <w:rFonts w:ascii="Arial" w:eastAsia="Times New Roman" w:hAnsi="Arial" w:cs="Times New Roman"/>
      <w:b/>
      <w:sz w:val="20"/>
      <w:szCs w:val="20"/>
      <w:lang w:val="en-GB" w:eastAsia="en-GB"/>
    </w:rPr>
  </w:style>
  <w:style w:type="paragraph" w:customStyle="1" w:styleId="ZA">
    <w:name w:val="ZA"/>
    <w:rsid w:val="00711AE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11AE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11A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11AE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711AE2"/>
    <w:pPr>
      <w:ind w:left="851" w:hanging="851"/>
    </w:pPr>
  </w:style>
  <w:style w:type="paragraph" w:customStyle="1" w:styleId="ZH">
    <w:name w:val="ZH"/>
    <w:rsid w:val="00711AE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711AE2"/>
    <w:pPr>
      <w:keepNext w:val="0"/>
      <w:spacing w:before="0" w:after="240"/>
    </w:pPr>
  </w:style>
  <w:style w:type="paragraph" w:customStyle="1" w:styleId="ZG">
    <w:name w:val="ZG"/>
    <w:rsid w:val="00711AE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711AE2"/>
    <w:pPr>
      <w:ind w:left="1135"/>
    </w:pPr>
  </w:style>
  <w:style w:type="paragraph" w:styleId="List2">
    <w:name w:val="List 2"/>
    <w:basedOn w:val="List"/>
    <w:rsid w:val="00711AE2"/>
    <w:pPr>
      <w:ind w:left="851"/>
    </w:pPr>
  </w:style>
  <w:style w:type="paragraph" w:styleId="List3">
    <w:name w:val="List 3"/>
    <w:basedOn w:val="List2"/>
    <w:rsid w:val="00711AE2"/>
    <w:pPr>
      <w:ind w:left="1135"/>
    </w:pPr>
  </w:style>
  <w:style w:type="paragraph" w:styleId="List4">
    <w:name w:val="List 4"/>
    <w:basedOn w:val="List3"/>
    <w:rsid w:val="00711AE2"/>
    <w:pPr>
      <w:ind w:left="1418"/>
    </w:pPr>
  </w:style>
  <w:style w:type="paragraph" w:styleId="List5">
    <w:name w:val="List 5"/>
    <w:basedOn w:val="List4"/>
    <w:rsid w:val="00711AE2"/>
    <w:pPr>
      <w:ind w:left="1702"/>
    </w:pPr>
  </w:style>
  <w:style w:type="paragraph" w:styleId="ListBullet4">
    <w:name w:val="List Bullet 4"/>
    <w:basedOn w:val="ListBullet3"/>
    <w:rsid w:val="00711AE2"/>
    <w:pPr>
      <w:ind w:left="1418"/>
    </w:pPr>
  </w:style>
  <w:style w:type="paragraph" w:styleId="ListBullet5">
    <w:name w:val="List Bullet 5"/>
    <w:basedOn w:val="ListBullet4"/>
    <w:rsid w:val="00711AE2"/>
    <w:pPr>
      <w:ind w:left="1702"/>
    </w:pPr>
  </w:style>
  <w:style w:type="paragraph" w:customStyle="1" w:styleId="B2">
    <w:name w:val="B2"/>
    <w:basedOn w:val="List2"/>
    <w:rsid w:val="00711AE2"/>
  </w:style>
  <w:style w:type="paragraph" w:customStyle="1" w:styleId="B3">
    <w:name w:val="B3"/>
    <w:basedOn w:val="List3"/>
    <w:rsid w:val="00711AE2"/>
  </w:style>
  <w:style w:type="paragraph" w:customStyle="1" w:styleId="B4">
    <w:name w:val="B4"/>
    <w:basedOn w:val="List4"/>
    <w:rsid w:val="00711AE2"/>
  </w:style>
  <w:style w:type="paragraph" w:customStyle="1" w:styleId="B5">
    <w:name w:val="B5"/>
    <w:basedOn w:val="List5"/>
    <w:rsid w:val="00711AE2"/>
  </w:style>
  <w:style w:type="paragraph" w:customStyle="1" w:styleId="ZTD">
    <w:name w:val="ZTD"/>
    <w:basedOn w:val="ZB"/>
    <w:rsid w:val="00711AE2"/>
    <w:pPr>
      <w:framePr w:hRule="auto" w:wrap="notBeside" w:y="852"/>
    </w:pPr>
    <w:rPr>
      <w:i w:val="0"/>
      <w:sz w:val="40"/>
    </w:rPr>
  </w:style>
  <w:style w:type="paragraph" w:customStyle="1" w:styleId="ZV">
    <w:name w:val="ZV"/>
    <w:basedOn w:val="ZU"/>
    <w:rsid w:val="00711AE2"/>
    <w:pPr>
      <w:framePr w:wrap="notBeside" w:y="16161"/>
    </w:pPr>
  </w:style>
  <w:style w:type="paragraph" w:styleId="IndexHeading">
    <w:name w:val="index heading"/>
    <w:basedOn w:val="Normal"/>
    <w:next w:val="Normal"/>
    <w:semiHidden/>
    <w:rsid w:val="00711AE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11AE2"/>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11AE2"/>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11AE2"/>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11A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711AE2"/>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11AE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11AE2"/>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711AE2"/>
    <w:rPr>
      <w:color w:val="0000FF"/>
      <w:u w:val="single"/>
    </w:rPr>
  </w:style>
  <w:style w:type="character" w:styleId="FollowedHyperlink">
    <w:name w:val="FollowedHyperlink"/>
    <w:rsid w:val="00711AE2"/>
    <w:rPr>
      <w:color w:val="800080"/>
      <w:u w:val="single"/>
    </w:rPr>
  </w:style>
  <w:style w:type="paragraph" w:styleId="DocumentMap">
    <w:name w:val="Document Map"/>
    <w:basedOn w:val="Normal"/>
    <w:link w:val="DocumentMapChar"/>
    <w:semiHidden/>
    <w:rsid w:val="00711AE2"/>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711AE2"/>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711AE2"/>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711AE2"/>
    <w:rPr>
      <w:rFonts w:ascii="Courier New" w:eastAsia="Times New Roman" w:hAnsi="Courier New" w:cs="Times New Roman"/>
      <w:sz w:val="20"/>
      <w:szCs w:val="20"/>
      <w:lang w:val="nb-NO" w:eastAsia="en-GB"/>
    </w:rPr>
  </w:style>
  <w:style w:type="paragraph" w:customStyle="1" w:styleId="TAJ">
    <w:name w:val="TAJ"/>
    <w:basedOn w:val="TH"/>
    <w:rsid w:val="00711AE2"/>
  </w:style>
  <w:style w:type="paragraph" w:customStyle="1" w:styleId="Guidance">
    <w:name w:val="Guidance"/>
    <w:basedOn w:val="Normal"/>
    <w:rsid w:val="00711AE2"/>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711AE2"/>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711AE2"/>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711AE2"/>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711AE2"/>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711AE2"/>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11AE2"/>
    <w:rPr>
      <w:rFonts w:ascii="Times New Roman" w:eastAsia="Times New Roman" w:hAnsi="Times New Roman" w:cs="Times New Roman"/>
      <w:sz w:val="20"/>
      <w:szCs w:val="20"/>
      <w:lang w:eastAsia="ja-JP"/>
    </w:rPr>
  </w:style>
  <w:style w:type="paragraph" w:customStyle="1" w:styleId="numberedlist">
    <w:name w:val="numbered list"/>
    <w:basedOn w:val="ListBullet"/>
    <w:rsid w:val="00711AE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11AE2"/>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11AE2"/>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11AE2"/>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11AE2"/>
    <w:pPr>
      <w:numPr>
        <w:numId w:val="22"/>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11AE2"/>
    <w:pPr>
      <w:numPr>
        <w:numId w:val="21"/>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11AE2"/>
    <w:pPr>
      <w:widowControl w:val="0"/>
      <w:numPr>
        <w:numId w:val="19"/>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711AE2"/>
    <w:pPr>
      <w:keepNext/>
      <w:keepLines/>
      <w:numPr>
        <w:numId w:val="20"/>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11AE2"/>
    <w:pPr>
      <w:widowControl/>
      <w:numPr>
        <w:numId w:val="23"/>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11AE2"/>
    <w:pPr>
      <w:widowControl/>
      <w:numPr>
        <w:numId w:val="0"/>
      </w:numPr>
      <w:spacing w:after="120"/>
      <w:ind w:left="720" w:hanging="360"/>
    </w:pPr>
    <w:rPr>
      <w:rFonts w:eastAsia="MS Mincho"/>
      <w:lang w:val="en-US"/>
    </w:rPr>
  </w:style>
  <w:style w:type="paragraph" w:customStyle="1" w:styleId="textintend3">
    <w:name w:val="text intend 3"/>
    <w:basedOn w:val="text"/>
    <w:rsid w:val="00711AE2"/>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711AE2"/>
    <w:pPr>
      <w:widowControl w:val="0"/>
      <w:numPr>
        <w:numId w:val="24"/>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11AE2"/>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711AE2"/>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711AE2"/>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11A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711AE2"/>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11AE2"/>
    <w:pPr>
      <w:spacing w:after="120" w:line="240" w:lineRule="auto"/>
    </w:pPr>
    <w:rPr>
      <w:rFonts w:ascii="Arial" w:eastAsia="MS Mincho" w:hAnsi="Arial" w:cs="Times New Roman"/>
      <w:sz w:val="20"/>
      <w:szCs w:val="20"/>
      <w:lang w:val="en-GB"/>
    </w:rPr>
  </w:style>
  <w:style w:type="paragraph" w:customStyle="1" w:styleId="Cell">
    <w:name w:val="Cell"/>
    <w:basedOn w:val="Normal"/>
    <w:rsid w:val="00711AE2"/>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11AE2"/>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711AE2"/>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711AE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11AE2"/>
    <w:rPr>
      <w:i/>
      <w:color w:val="0000FF"/>
      <w:lang w:val="en-GB" w:eastAsia="ja-JP" w:bidi="ar-SA"/>
    </w:rPr>
  </w:style>
  <w:style w:type="paragraph" w:customStyle="1" w:styleId="CharCharCharChar">
    <w:name w:val="Char Char Char Char"/>
    <w:rsid w:val="00711AE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711A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711AE2"/>
    <w:rPr>
      <w:i/>
      <w:iCs/>
    </w:rPr>
  </w:style>
  <w:style w:type="character" w:customStyle="1" w:styleId="h4CharChar">
    <w:name w:val="h4 Char Char"/>
    <w:rsid w:val="00711AE2"/>
    <w:rPr>
      <w:rFonts w:ascii="Arial" w:hAnsi="Arial"/>
      <w:sz w:val="24"/>
      <w:lang w:val="en-GB" w:eastAsia="ja-JP" w:bidi="ar-SA"/>
    </w:rPr>
  </w:style>
  <w:style w:type="table" w:styleId="TableGrid">
    <w:name w:val="Table Grid"/>
    <w:basedOn w:val="TableNormal"/>
    <w:rsid w:val="00711AE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11AE2"/>
    <w:pPr>
      <w:tabs>
        <w:tab w:val="num" w:pos="2560"/>
      </w:tabs>
      <w:spacing w:after="180"/>
      <w:ind w:left="2560" w:hanging="357"/>
    </w:pPr>
    <w:rPr>
      <w:sz w:val="20"/>
      <w:szCs w:val="20"/>
      <w:lang w:val="en-AU" w:eastAsia="ko-KR"/>
    </w:rPr>
  </w:style>
  <w:style w:type="character" w:customStyle="1" w:styleId="B1Zchn">
    <w:name w:val="B1 Zchn"/>
    <w:rsid w:val="00711AE2"/>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11AE2"/>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11AE2"/>
    <w:rPr>
      <w:rFonts w:ascii="Times New Roman" w:eastAsia="Times New Roman"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AE2"/>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711AE2"/>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711AE2"/>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711AE2"/>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711AE2"/>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711AE2"/>
    <w:pPr>
      <w:spacing w:before="240" w:after="60"/>
      <w:outlineLvl w:val="4"/>
    </w:pPr>
    <w:rPr>
      <w:rFonts w:ascii="Calibri" w:hAnsi="Calibri"/>
      <w:b/>
      <w:bCs/>
      <w:i/>
      <w:iCs/>
      <w:sz w:val="26"/>
      <w:szCs w:val="26"/>
    </w:rPr>
  </w:style>
  <w:style w:type="paragraph" w:styleId="Heading6">
    <w:name w:val="heading 6"/>
    <w:basedOn w:val="H6"/>
    <w:next w:val="Normal"/>
    <w:link w:val="Heading6Char"/>
    <w:qFormat/>
    <w:rsid w:val="00711AE2"/>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711AE2"/>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711AE2"/>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711A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11AE2"/>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711AE2"/>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711AE2"/>
    <w:rPr>
      <w:rFonts w:ascii="Helvetica" w:eastAsia="MS Mincho" w:hAnsi="Helvetica" w:cs="Helvetica"/>
      <w:b/>
      <w:bCs/>
      <w:szCs w:val="20"/>
    </w:rPr>
  </w:style>
  <w:style w:type="character" w:customStyle="1" w:styleId="Heading4Char">
    <w:name w:val="Heading 4 Char"/>
    <w:aliases w:val="h4 Char"/>
    <w:basedOn w:val="DefaultParagraphFont"/>
    <w:link w:val="Heading4"/>
    <w:rsid w:val="00711AE2"/>
    <w:rPr>
      <w:rFonts w:ascii="Times New Roman" w:eastAsia="MS Mincho" w:hAnsi="Times New Roman" w:cs="Times New Roman"/>
      <w:b/>
      <w:bCs/>
      <w:sz w:val="28"/>
      <w:szCs w:val="28"/>
    </w:rPr>
  </w:style>
  <w:style w:type="character" w:customStyle="1" w:styleId="Heading5Char">
    <w:name w:val="Heading 5 Char"/>
    <w:aliases w:val="h5 Char,Heading5 Char"/>
    <w:basedOn w:val="DefaultParagraphFont"/>
    <w:link w:val="Heading5"/>
    <w:rsid w:val="00711AE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711AE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11AE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11AE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11AE2"/>
    <w:rPr>
      <w:rFonts w:ascii="Arial" w:eastAsia="Times New Roman" w:hAnsi="Arial" w:cs="Times New Roman"/>
      <w:sz w:val="36"/>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11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11AE2"/>
    <w:rPr>
      <w:rFonts w:ascii="Arial" w:eastAsia="MS Mincho" w:hAnsi="Arial" w:cs="Times New Roman"/>
      <w:b/>
      <w:szCs w:val="24"/>
    </w:rPr>
  </w:style>
  <w:style w:type="paragraph" w:customStyle="1" w:styleId="H6">
    <w:name w:val="H6"/>
    <w:basedOn w:val="Heading5"/>
    <w:next w:val="Normal"/>
    <w:rsid w:val="00711AE2"/>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11AE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1AE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711AE2"/>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11AE2"/>
    <w:pPr>
      <w:numPr>
        <w:numId w:val="2"/>
      </w:numPr>
      <w:spacing w:after="100" w:afterAutospacing="1"/>
      <w:contextualSpacing/>
    </w:pPr>
    <w:rPr>
      <w:lang w:eastAsia="ko-KR"/>
    </w:rPr>
  </w:style>
  <w:style w:type="character" w:customStyle="1" w:styleId="StatementBodyChar">
    <w:name w:val="Statement Body Char"/>
    <w:link w:val="StatementBody"/>
    <w:rsid w:val="00711AE2"/>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711AE2"/>
    <w:pPr>
      <w:numPr>
        <w:numId w:val="3"/>
      </w:numPr>
      <w:ind w:left="567" w:hanging="567"/>
      <w:jc w:val="both"/>
    </w:pPr>
    <w:rPr>
      <w:rFonts w:eastAsia="MS Mincho"/>
    </w:rPr>
  </w:style>
  <w:style w:type="character" w:customStyle="1" w:styleId="ReferenceChar">
    <w:name w:val="Reference Char"/>
    <w:link w:val="Reference"/>
    <w:rsid w:val="00711AE2"/>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11AE2"/>
    <w:rPr>
      <w:b/>
      <w:bCs/>
      <w:szCs w:val="20"/>
    </w:rPr>
  </w:style>
  <w:style w:type="paragraph" w:styleId="Bibliography">
    <w:name w:val="Bibliography"/>
    <w:basedOn w:val="Normal"/>
    <w:next w:val="Normal"/>
    <w:uiPriority w:val="37"/>
    <w:semiHidden/>
    <w:unhideWhenUsed/>
    <w:rsid w:val="00711AE2"/>
  </w:style>
  <w:style w:type="character" w:styleId="CommentReference">
    <w:name w:val="annotation reference"/>
    <w:semiHidden/>
    <w:unhideWhenUsed/>
    <w:rsid w:val="00711AE2"/>
    <w:rPr>
      <w:sz w:val="16"/>
      <w:szCs w:val="16"/>
    </w:rPr>
  </w:style>
  <w:style w:type="paragraph" w:styleId="CommentText">
    <w:name w:val="annotation text"/>
    <w:basedOn w:val="Normal"/>
    <w:link w:val="CommentTextChar"/>
    <w:semiHidden/>
    <w:unhideWhenUsed/>
    <w:rsid w:val="00711AE2"/>
    <w:rPr>
      <w:sz w:val="20"/>
      <w:szCs w:val="20"/>
    </w:rPr>
  </w:style>
  <w:style w:type="character" w:customStyle="1" w:styleId="CommentTextChar">
    <w:name w:val="Comment Text Char"/>
    <w:basedOn w:val="DefaultParagraphFont"/>
    <w:link w:val="CommentText"/>
    <w:semiHidden/>
    <w:rsid w:val="00711A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711AE2"/>
    <w:rPr>
      <w:b/>
      <w:bCs/>
    </w:rPr>
  </w:style>
  <w:style w:type="character" w:customStyle="1" w:styleId="CommentSubjectChar">
    <w:name w:val="Comment Subject Char"/>
    <w:basedOn w:val="CommentTextChar"/>
    <w:link w:val="CommentSubject"/>
    <w:semiHidden/>
    <w:rsid w:val="00711AE2"/>
    <w:rPr>
      <w:rFonts w:ascii="Times New Roman" w:eastAsia="Times New Roman" w:hAnsi="Times New Roman" w:cs="Times New Roman"/>
      <w:b/>
      <w:bCs/>
      <w:sz w:val="20"/>
      <w:szCs w:val="20"/>
    </w:rPr>
  </w:style>
  <w:style w:type="paragraph" w:styleId="BalloonText">
    <w:name w:val="Balloon Text"/>
    <w:basedOn w:val="Normal"/>
    <w:link w:val="BalloonTextChar"/>
    <w:semiHidden/>
    <w:unhideWhenUsed/>
    <w:rsid w:val="00711AE2"/>
    <w:rPr>
      <w:rFonts w:ascii="Tahoma" w:hAnsi="Tahoma" w:cs="Tahoma"/>
      <w:sz w:val="16"/>
      <w:szCs w:val="16"/>
    </w:rPr>
  </w:style>
  <w:style w:type="character" w:customStyle="1" w:styleId="BalloonTextChar">
    <w:name w:val="Balloon Text Char"/>
    <w:basedOn w:val="DefaultParagraphFont"/>
    <w:link w:val="BalloonText"/>
    <w:semiHidden/>
    <w:rsid w:val="00711AE2"/>
    <w:rPr>
      <w:rFonts w:ascii="Tahoma" w:eastAsia="Times New Roman" w:hAnsi="Tahoma" w:cs="Tahoma"/>
      <w:sz w:val="16"/>
      <w:szCs w:val="16"/>
    </w:rPr>
  </w:style>
  <w:style w:type="paragraph" w:styleId="TOC2">
    <w:name w:val="toc 2"/>
    <w:basedOn w:val="TOC1"/>
    <w:next w:val="Normal"/>
    <w:autoRedefine/>
    <w:semiHidden/>
    <w:rsid w:val="00711AE2"/>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711AE2"/>
  </w:style>
  <w:style w:type="numbering" w:customStyle="1" w:styleId="NoList1">
    <w:name w:val="No List1"/>
    <w:next w:val="NoList"/>
    <w:uiPriority w:val="99"/>
    <w:semiHidden/>
    <w:unhideWhenUsed/>
    <w:rsid w:val="00711AE2"/>
  </w:style>
  <w:style w:type="paragraph" w:customStyle="1" w:styleId="References">
    <w:name w:val="References"/>
    <w:basedOn w:val="Normal"/>
    <w:next w:val="Normal"/>
    <w:rsid w:val="00711AE2"/>
    <w:pPr>
      <w:numPr>
        <w:numId w:val="16"/>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711AE2"/>
    <w:pPr>
      <w:ind w:left="1418" w:hanging="1418"/>
    </w:pPr>
  </w:style>
  <w:style w:type="paragraph" w:styleId="TOC8">
    <w:name w:val="toc 8"/>
    <w:basedOn w:val="TOC1"/>
    <w:semiHidden/>
    <w:rsid w:val="00711AE2"/>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711AE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11AE2"/>
  </w:style>
  <w:style w:type="paragraph" w:customStyle="1" w:styleId="ZD">
    <w:name w:val="ZD"/>
    <w:rsid w:val="00711AE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711AE2"/>
    <w:pPr>
      <w:ind w:left="1701" w:hanging="1701"/>
    </w:pPr>
  </w:style>
  <w:style w:type="paragraph" w:styleId="TOC4">
    <w:name w:val="toc 4"/>
    <w:basedOn w:val="TOC3"/>
    <w:semiHidden/>
    <w:rsid w:val="00711AE2"/>
    <w:pPr>
      <w:ind w:left="1418" w:hanging="1418"/>
    </w:pPr>
  </w:style>
  <w:style w:type="paragraph" w:styleId="TOC3">
    <w:name w:val="toc 3"/>
    <w:basedOn w:val="TOC2"/>
    <w:semiHidden/>
    <w:rsid w:val="00711AE2"/>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711AE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11AE2"/>
    <w:pPr>
      <w:ind w:left="284"/>
    </w:pPr>
  </w:style>
  <w:style w:type="paragraph" w:customStyle="1" w:styleId="TT">
    <w:name w:val="TT"/>
    <w:basedOn w:val="Heading1"/>
    <w:next w:val="Normal"/>
    <w:rsid w:val="00711AE2"/>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711AE2"/>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711AE2"/>
    <w:rPr>
      <w:rFonts w:ascii="Arial" w:eastAsia="Times New Roman" w:hAnsi="Arial" w:cs="Times New Roman"/>
      <w:b/>
      <w:i/>
      <w:noProof/>
      <w:sz w:val="18"/>
      <w:szCs w:val="20"/>
      <w:lang w:val="en-GB" w:eastAsia="en-GB"/>
    </w:rPr>
  </w:style>
  <w:style w:type="character" w:styleId="FootnoteReference">
    <w:name w:val="footnote reference"/>
    <w:semiHidden/>
    <w:rsid w:val="00711A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1AE2"/>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1AE2"/>
    <w:rPr>
      <w:rFonts w:ascii="Times New Roman" w:eastAsia="Times New Roman" w:hAnsi="Times New Roman" w:cs="Times New Roman"/>
      <w:sz w:val="16"/>
      <w:szCs w:val="20"/>
      <w:lang w:val="en-GB" w:eastAsia="en-GB"/>
    </w:rPr>
  </w:style>
  <w:style w:type="paragraph" w:customStyle="1" w:styleId="NF">
    <w:name w:val="NF"/>
    <w:basedOn w:val="NO"/>
    <w:rsid w:val="00711AE2"/>
    <w:pPr>
      <w:keepNext/>
      <w:spacing w:after="0"/>
    </w:pPr>
    <w:rPr>
      <w:rFonts w:ascii="Arial" w:hAnsi="Arial"/>
      <w:sz w:val="18"/>
    </w:rPr>
  </w:style>
  <w:style w:type="paragraph" w:customStyle="1" w:styleId="NO">
    <w:name w:val="NO"/>
    <w:basedOn w:val="Normal"/>
    <w:rsid w:val="00711AE2"/>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711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711AE2"/>
    <w:pPr>
      <w:jc w:val="right"/>
    </w:pPr>
  </w:style>
  <w:style w:type="paragraph" w:customStyle="1" w:styleId="TAL">
    <w:name w:val="TAL"/>
    <w:basedOn w:val="Normal"/>
    <w:rsid w:val="00711AE2"/>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11AE2"/>
    <w:pPr>
      <w:ind w:left="851"/>
    </w:pPr>
  </w:style>
  <w:style w:type="paragraph" w:styleId="ListNumber">
    <w:name w:val="List Number"/>
    <w:basedOn w:val="List"/>
    <w:rsid w:val="00711AE2"/>
  </w:style>
  <w:style w:type="paragraph" w:styleId="List">
    <w:name w:val="List"/>
    <w:basedOn w:val="Normal"/>
    <w:rsid w:val="00711AE2"/>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711AE2"/>
    <w:rPr>
      <w:b/>
    </w:rPr>
  </w:style>
  <w:style w:type="paragraph" w:customStyle="1" w:styleId="TAC">
    <w:name w:val="TAC"/>
    <w:basedOn w:val="TAL"/>
    <w:rsid w:val="00711AE2"/>
    <w:pPr>
      <w:jc w:val="center"/>
    </w:pPr>
  </w:style>
  <w:style w:type="paragraph" w:customStyle="1" w:styleId="LD">
    <w:name w:val="LD"/>
    <w:rsid w:val="00711AE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711AE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11AE2"/>
    <w:pPr>
      <w:overflowPunct w:val="0"/>
      <w:autoSpaceDE w:val="0"/>
      <w:autoSpaceDN w:val="0"/>
      <w:adjustRightInd w:val="0"/>
      <w:textAlignment w:val="baseline"/>
    </w:pPr>
    <w:rPr>
      <w:sz w:val="20"/>
      <w:szCs w:val="20"/>
      <w:lang w:val="en-GB" w:eastAsia="en-GB"/>
    </w:rPr>
  </w:style>
  <w:style w:type="paragraph" w:customStyle="1" w:styleId="NW">
    <w:name w:val="NW"/>
    <w:basedOn w:val="NO"/>
    <w:rsid w:val="00711AE2"/>
    <w:pPr>
      <w:spacing w:after="0"/>
    </w:pPr>
  </w:style>
  <w:style w:type="paragraph" w:customStyle="1" w:styleId="EW">
    <w:name w:val="EW"/>
    <w:basedOn w:val="EX"/>
    <w:rsid w:val="00711AE2"/>
    <w:pPr>
      <w:spacing w:after="0"/>
    </w:pPr>
  </w:style>
  <w:style w:type="paragraph" w:customStyle="1" w:styleId="B1">
    <w:name w:val="B1"/>
    <w:basedOn w:val="List"/>
    <w:link w:val="B1Char1"/>
    <w:rsid w:val="00711AE2"/>
  </w:style>
  <w:style w:type="character" w:customStyle="1" w:styleId="B1Char1">
    <w:name w:val="B1 Char1"/>
    <w:link w:val="B1"/>
    <w:rsid w:val="00711AE2"/>
    <w:rPr>
      <w:rFonts w:ascii="Times New Roman" w:eastAsia="Times New Roman" w:hAnsi="Times New Roman" w:cs="Times New Roman"/>
      <w:sz w:val="20"/>
      <w:szCs w:val="20"/>
      <w:lang w:val="en-GB" w:eastAsia="en-GB"/>
    </w:rPr>
  </w:style>
  <w:style w:type="paragraph" w:styleId="TOC6">
    <w:name w:val="toc 6"/>
    <w:basedOn w:val="TOC5"/>
    <w:next w:val="Normal"/>
    <w:semiHidden/>
    <w:rsid w:val="00711AE2"/>
    <w:pPr>
      <w:ind w:left="1985" w:hanging="1985"/>
    </w:pPr>
  </w:style>
  <w:style w:type="paragraph" w:styleId="TOC7">
    <w:name w:val="toc 7"/>
    <w:basedOn w:val="TOC6"/>
    <w:next w:val="Normal"/>
    <w:semiHidden/>
    <w:rsid w:val="00711AE2"/>
    <w:pPr>
      <w:ind w:left="2268" w:hanging="2268"/>
    </w:pPr>
  </w:style>
  <w:style w:type="paragraph" w:styleId="ListBullet2">
    <w:name w:val="List Bullet 2"/>
    <w:basedOn w:val="ListBullet"/>
    <w:rsid w:val="00711AE2"/>
    <w:pPr>
      <w:ind w:left="851"/>
    </w:pPr>
  </w:style>
  <w:style w:type="paragraph" w:styleId="ListBullet">
    <w:name w:val="List Bullet"/>
    <w:basedOn w:val="List"/>
    <w:rsid w:val="00711AE2"/>
  </w:style>
  <w:style w:type="paragraph" w:customStyle="1" w:styleId="EditorsNote">
    <w:name w:val="Editor's Note"/>
    <w:basedOn w:val="NO"/>
    <w:rsid w:val="00711AE2"/>
    <w:rPr>
      <w:color w:val="FF0000"/>
    </w:rPr>
  </w:style>
  <w:style w:type="paragraph" w:customStyle="1" w:styleId="TH">
    <w:name w:val="TH"/>
    <w:basedOn w:val="Normal"/>
    <w:link w:val="THChar"/>
    <w:rsid w:val="00711AE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711AE2"/>
    <w:rPr>
      <w:rFonts w:ascii="Arial" w:eastAsia="Times New Roman" w:hAnsi="Arial" w:cs="Times New Roman"/>
      <w:b/>
      <w:sz w:val="20"/>
      <w:szCs w:val="20"/>
      <w:lang w:val="en-GB" w:eastAsia="en-GB"/>
    </w:rPr>
  </w:style>
  <w:style w:type="paragraph" w:customStyle="1" w:styleId="ZA">
    <w:name w:val="ZA"/>
    <w:rsid w:val="00711AE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11AE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11A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11AE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711AE2"/>
    <w:pPr>
      <w:ind w:left="851" w:hanging="851"/>
    </w:pPr>
  </w:style>
  <w:style w:type="paragraph" w:customStyle="1" w:styleId="ZH">
    <w:name w:val="ZH"/>
    <w:rsid w:val="00711AE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711AE2"/>
    <w:pPr>
      <w:keepNext w:val="0"/>
      <w:spacing w:before="0" w:after="240"/>
    </w:pPr>
  </w:style>
  <w:style w:type="paragraph" w:customStyle="1" w:styleId="ZG">
    <w:name w:val="ZG"/>
    <w:rsid w:val="00711AE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711AE2"/>
    <w:pPr>
      <w:ind w:left="1135"/>
    </w:pPr>
  </w:style>
  <w:style w:type="paragraph" w:styleId="List2">
    <w:name w:val="List 2"/>
    <w:basedOn w:val="List"/>
    <w:rsid w:val="00711AE2"/>
    <w:pPr>
      <w:ind w:left="851"/>
    </w:pPr>
  </w:style>
  <w:style w:type="paragraph" w:styleId="List3">
    <w:name w:val="List 3"/>
    <w:basedOn w:val="List2"/>
    <w:rsid w:val="00711AE2"/>
    <w:pPr>
      <w:ind w:left="1135"/>
    </w:pPr>
  </w:style>
  <w:style w:type="paragraph" w:styleId="List4">
    <w:name w:val="List 4"/>
    <w:basedOn w:val="List3"/>
    <w:rsid w:val="00711AE2"/>
    <w:pPr>
      <w:ind w:left="1418"/>
    </w:pPr>
  </w:style>
  <w:style w:type="paragraph" w:styleId="List5">
    <w:name w:val="List 5"/>
    <w:basedOn w:val="List4"/>
    <w:rsid w:val="00711AE2"/>
    <w:pPr>
      <w:ind w:left="1702"/>
    </w:pPr>
  </w:style>
  <w:style w:type="paragraph" w:styleId="ListBullet4">
    <w:name w:val="List Bullet 4"/>
    <w:basedOn w:val="ListBullet3"/>
    <w:rsid w:val="00711AE2"/>
    <w:pPr>
      <w:ind w:left="1418"/>
    </w:pPr>
  </w:style>
  <w:style w:type="paragraph" w:styleId="ListBullet5">
    <w:name w:val="List Bullet 5"/>
    <w:basedOn w:val="ListBullet4"/>
    <w:rsid w:val="00711AE2"/>
    <w:pPr>
      <w:ind w:left="1702"/>
    </w:pPr>
  </w:style>
  <w:style w:type="paragraph" w:customStyle="1" w:styleId="B2">
    <w:name w:val="B2"/>
    <w:basedOn w:val="List2"/>
    <w:rsid w:val="00711AE2"/>
  </w:style>
  <w:style w:type="paragraph" w:customStyle="1" w:styleId="B3">
    <w:name w:val="B3"/>
    <w:basedOn w:val="List3"/>
    <w:rsid w:val="00711AE2"/>
  </w:style>
  <w:style w:type="paragraph" w:customStyle="1" w:styleId="B4">
    <w:name w:val="B4"/>
    <w:basedOn w:val="List4"/>
    <w:rsid w:val="00711AE2"/>
  </w:style>
  <w:style w:type="paragraph" w:customStyle="1" w:styleId="B5">
    <w:name w:val="B5"/>
    <w:basedOn w:val="List5"/>
    <w:rsid w:val="00711AE2"/>
  </w:style>
  <w:style w:type="paragraph" w:customStyle="1" w:styleId="ZTD">
    <w:name w:val="ZTD"/>
    <w:basedOn w:val="ZB"/>
    <w:rsid w:val="00711AE2"/>
    <w:pPr>
      <w:framePr w:hRule="auto" w:wrap="notBeside" w:y="852"/>
    </w:pPr>
    <w:rPr>
      <w:i w:val="0"/>
      <w:sz w:val="40"/>
    </w:rPr>
  </w:style>
  <w:style w:type="paragraph" w:customStyle="1" w:styleId="ZV">
    <w:name w:val="ZV"/>
    <w:basedOn w:val="ZU"/>
    <w:rsid w:val="00711AE2"/>
    <w:pPr>
      <w:framePr w:wrap="notBeside" w:y="16161"/>
    </w:pPr>
  </w:style>
  <w:style w:type="paragraph" w:styleId="IndexHeading">
    <w:name w:val="index heading"/>
    <w:basedOn w:val="Normal"/>
    <w:next w:val="Normal"/>
    <w:semiHidden/>
    <w:rsid w:val="00711AE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11AE2"/>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11AE2"/>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11AE2"/>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11A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711AE2"/>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11AE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11AE2"/>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711AE2"/>
    <w:rPr>
      <w:color w:val="0000FF"/>
      <w:u w:val="single"/>
    </w:rPr>
  </w:style>
  <w:style w:type="character" w:styleId="FollowedHyperlink">
    <w:name w:val="FollowedHyperlink"/>
    <w:rsid w:val="00711AE2"/>
    <w:rPr>
      <w:color w:val="800080"/>
      <w:u w:val="single"/>
    </w:rPr>
  </w:style>
  <w:style w:type="paragraph" w:styleId="DocumentMap">
    <w:name w:val="Document Map"/>
    <w:basedOn w:val="Normal"/>
    <w:link w:val="DocumentMapChar"/>
    <w:semiHidden/>
    <w:rsid w:val="00711AE2"/>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711AE2"/>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711AE2"/>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711AE2"/>
    <w:rPr>
      <w:rFonts w:ascii="Courier New" w:eastAsia="Times New Roman" w:hAnsi="Courier New" w:cs="Times New Roman"/>
      <w:sz w:val="20"/>
      <w:szCs w:val="20"/>
      <w:lang w:val="nb-NO" w:eastAsia="en-GB"/>
    </w:rPr>
  </w:style>
  <w:style w:type="paragraph" w:customStyle="1" w:styleId="TAJ">
    <w:name w:val="TAJ"/>
    <w:basedOn w:val="TH"/>
    <w:rsid w:val="00711AE2"/>
  </w:style>
  <w:style w:type="paragraph" w:customStyle="1" w:styleId="Guidance">
    <w:name w:val="Guidance"/>
    <w:basedOn w:val="Normal"/>
    <w:rsid w:val="00711AE2"/>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711AE2"/>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711AE2"/>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711AE2"/>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711AE2"/>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711AE2"/>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11AE2"/>
    <w:rPr>
      <w:rFonts w:ascii="Times New Roman" w:eastAsia="Times New Roman" w:hAnsi="Times New Roman" w:cs="Times New Roman"/>
      <w:sz w:val="20"/>
      <w:szCs w:val="20"/>
      <w:lang w:eastAsia="ja-JP"/>
    </w:rPr>
  </w:style>
  <w:style w:type="paragraph" w:customStyle="1" w:styleId="numberedlist">
    <w:name w:val="numbered list"/>
    <w:basedOn w:val="ListBullet"/>
    <w:rsid w:val="00711AE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11AE2"/>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11AE2"/>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11AE2"/>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11AE2"/>
    <w:pPr>
      <w:numPr>
        <w:numId w:val="22"/>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11AE2"/>
    <w:pPr>
      <w:numPr>
        <w:numId w:val="21"/>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11AE2"/>
    <w:pPr>
      <w:widowControl w:val="0"/>
      <w:numPr>
        <w:numId w:val="19"/>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711AE2"/>
    <w:pPr>
      <w:keepNext/>
      <w:keepLines/>
      <w:numPr>
        <w:numId w:val="20"/>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11AE2"/>
    <w:pPr>
      <w:widowControl/>
      <w:numPr>
        <w:numId w:val="23"/>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11AE2"/>
    <w:pPr>
      <w:widowControl/>
      <w:numPr>
        <w:numId w:val="0"/>
      </w:numPr>
      <w:spacing w:after="120"/>
      <w:ind w:left="720" w:hanging="360"/>
    </w:pPr>
    <w:rPr>
      <w:rFonts w:eastAsia="MS Mincho"/>
      <w:lang w:val="en-US"/>
    </w:rPr>
  </w:style>
  <w:style w:type="paragraph" w:customStyle="1" w:styleId="textintend3">
    <w:name w:val="text intend 3"/>
    <w:basedOn w:val="text"/>
    <w:rsid w:val="00711AE2"/>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711AE2"/>
    <w:pPr>
      <w:widowControl w:val="0"/>
      <w:numPr>
        <w:numId w:val="24"/>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11AE2"/>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711AE2"/>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711AE2"/>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11A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711AE2"/>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11AE2"/>
    <w:pPr>
      <w:spacing w:after="120" w:line="240" w:lineRule="auto"/>
    </w:pPr>
    <w:rPr>
      <w:rFonts w:ascii="Arial" w:eastAsia="MS Mincho" w:hAnsi="Arial" w:cs="Times New Roman"/>
      <w:sz w:val="20"/>
      <w:szCs w:val="20"/>
      <w:lang w:val="en-GB"/>
    </w:rPr>
  </w:style>
  <w:style w:type="paragraph" w:customStyle="1" w:styleId="Cell">
    <w:name w:val="Cell"/>
    <w:basedOn w:val="Normal"/>
    <w:rsid w:val="00711AE2"/>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11AE2"/>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711AE2"/>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711AE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11AE2"/>
    <w:rPr>
      <w:i/>
      <w:color w:val="0000FF"/>
      <w:lang w:val="en-GB" w:eastAsia="ja-JP" w:bidi="ar-SA"/>
    </w:rPr>
  </w:style>
  <w:style w:type="paragraph" w:customStyle="1" w:styleId="CharCharCharChar">
    <w:name w:val="Char Char Char Char"/>
    <w:rsid w:val="00711AE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711A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711AE2"/>
    <w:rPr>
      <w:i/>
      <w:iCs/>
    </w:rPr>
  </w:style>
  <w:style w:type="character" w:customStyle="1" w:styleId="h4CharChar">
    <w:name w:val="h4 Char Char"/>
    <w:rsid w:val="00711AE2"/>
    <w:rPr>
      <w:rFonts w:ascii="Arial" w:hAnsi="Arial"/>
      <w:sz w:val="24"/>
      <w:lang w:val="en-GB" w:eastAsia="ja-JP" w:bidi="ar-SA"/>
    </w:rPr>
  </w:style>
  <w:style w:type="table" w:styleId="TableGrid">
    <w:name w:val="Table Grid"/>
    <w:basedOn w:val="TableNormal"/>
    <w:rsid w:val="00711AE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11AE2"/>
    <w:pPr>
      <w:tabs>
        <w:tab w:val="num" w:pos="2560"/>
      </w:tabs>
      <w:spacing w:after="180"/>
      <w:ind w:left="2560" w:hanging="357"/>
    </w:pPr>
    <w:rPr>
      <w:sz w:val="20"/>
      <w:szCs w:val="20"/>
      <w:lang w:val="en-AU" w:eastAsia="ko-KR"/>
    </w:rPr>
  </w:style>
  <w:style w:type="character" w:customStyle="1" w:styleId="B1Zchn">
    <w:name w:val="B1 Zchn"/>
    <w:rsid w:val="00711AE2"/>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11AE2"/>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11AE2"/>
    <w:rPr>
      <w:rFonts w:ascii="Times New Roman" w:eastAsia="Times New Roman"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w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2086</Words>
  <Characters>11891</Characters>
  <Application>Microsoft Office Word</Application>
  <DocSecurity>0</DocSecurity>
  <Lines>99</Lines>
  <Paragraphs>27</Paragraphs>
  <ScaleCrop>false</ScaleCrop>
  <Company>Ericsson</Company>
  <LinksUpToDate>false</LinksUpToDate>
  <CharactersWithSpaces>13950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2014-01-31T23:12:00Z</dcterms:created>
  <dcterms:modified xsi:type="dcterms:W3CDTF">2014-01-31T23:12:00Z</dcterms:modified>
</cp:coreProperties>
</file>