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D0" w:rsidRPr="00523ED0" w:rsidRDefault="00523ED0" w:rsidP="00523ED0">
      <w:pPr>
        <w:widowControl w:val="0"/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b/>
          <w:bCs/>
          <w:noProof/>
          <w:sz w:val="20"/>
          <w:szCs w:val="18"/>
          <w:lang w:eastAsia="ja-JP"/>
        </w:rPr>
      </w:pPr>
      <w:r w:rsidRPr="00A178B1">
        <w:rPr>
          <w:rFonts w:ascii="Arial" w:eastAsia="Times New Roman" w:hAnsi="Arial" w:cs="Arial"/>
          <w:b/>
          <w:bCs/>
          <w:noProof/>
          <w:sz w:val="20"/>
          <w:szCs w:val="18"/>
          <w:lang w:eastAsia="zh-CN"/>
        </w:rPr>
        <w:t>3GPP TSG-RAN WG1 #73</w:t>
      </w:r>
      <w:r w:rsidRPr="00A178B1">
        <w:rPr>
          <w:rFonts w:ascii="Arial" w:eastAsia="Times New Roman" w:hAnsi="Arial" w:cs="Arial"/>
          <w:b/>
          <w:bCs/>
          <w:noProof/>
          <w:sz w:val="20"/>
          <w:szCs w:val="18"/>
          <w:lang w:eastAsia="zh-CN"/>
        </w:rPr>
        <w:tab/>
      </w:r>
      <w:r>
        <w:rPr>
          <w:rFonts w:ascii="Arial" w:eastAsia="Times New Roman" w:hAnsi="Arial" w:cs="Arial"/>
          <w:b/>
          <w:bCs/>
          <w:noProof/>
          <w:sz w:val="20"/>
          <w:szCs w:val="18"/>
          <w:lang w:eastAsia="zh-CN"/>
        </w:rPr>
        <w:t>R1-13</w:t>
      </w:r>
      <w:r w:rsidR="00670888">
        <w:rPr>
          <w:rFonts w:ascii="Arial" w:eastAsiaTheme="minorEastAsia" w:hAnsi="Arial" w:cs="Arial" w:hint="eastAsia"/>
          <w:b/>
          <w:bCs/>
          <w:noProof/>
          <w:sz w:val="20"/>
          <w:szCs w:val="18"/>
          <w:lang w:eastAsia="ja-JP"/>
        </w:rPr>
        <w:t>2785</w:t>
      </w:r>
    </w:p>
    <w:p w:rsidR="00523ED0" w:rsidRPr="00E314C7" w:rsidRDefault="00523ED0" w:rsidP="00523ED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noProof/>
          <w:sz w:val="20"/>
          <w:szCs w:val="18"/>
          <w:lang w:eastAsia="zh-CN"/>
        </w:rPr>
      </w:pPr>
      <w:r w:rsidRPr="00E314C7">
        <w:rPr>
          <w:rFonts w:ascii="Arial" w:eastAsia="Times New Roman" w:hAnsi="Arial" w:cs="Arial"/>
          <w:b/>
          <w:bCs/>
          <w:noProof/>
          <w:sz w:val="20"/>
          <w:szCs w:val="18"/>
          <w:lang w:eastAsia="zh-CN"/>
        </w:rPr>
        <w:t>Fukuoka, Japan, 20th – 24th May 2013</w:t>
      </w:r>
    </w:p>
    <w:p w:rsidR="00523ED0" w:rsidRPr="00E314C7" w:rsidRDefault="00523ED0" w:rsidP="00523ED0">
      <w:pPr>
        <w:spacing w:after="0" w:line="240" w:lineRule="auto"/>
        <w:jc w:val="both"/>
        <w:rPr>
          <w:rFonts w:ascii="Times" w:eastAsia="Batang" w:hAnsi="Times"/>
          <w:sz w:val="20"/>
          <w:szCs w:val="20"/>
        </w:rPr>
      </w:pPr>
    </w:p>
    <w:p w:rsidR="00523ED0" w:rsidRPr="00614F0C" w:rsidRDefault="00523ED0" w:rsidP="00523ED0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jc w:val="both"/>
        <w:outlineLvl w:val="0"/>
        <w:rPr>
          <w:rFonts w:ascii="Arial" w:eastAsiaTheme="minorEastAsia" w:hAnsi="Arial"/>
          <w:b/>
          <w:sz w:val="20"/>
          <w:szCs w:val="20"/>
          <w:lang w:eastAsia="ja-JP"/>
        </w:rPr>
      </w:pPr>
      <w:r w:rsidRPr="00E314C7">
        <w:rPr>
          <w:rFonts w:ascii="Arial" w:eastAsia="Batang" w:hAnsi="Arial"/>
          <w:b/>
          <w:sz w:val="20"/>
          <w:szCs w:val="20"/>
        </w:rPr>
        <w:t xml:space="preserve">Source: </w:t>
      </w:r>
      <w:r w:rsidRPr="00E314C7">
        <w:rPr>
          <w:rFonts w:ascii="Arial" w:eastAsia="Batang" w:hAnsi="Arial"/>
          <w:b/>
          <w:sz w:val="20"/>
          <w:szCs w:val="20"/>
        </w:rPr>
        <w:tab/>
      </w:r>
      <w:r w:rsidR="00614F0C">
        <w:rPr>
          <w:rFonts w:ascii="Arial" w:eastAsiaTheme="minorEastAsia" w:hAnsi="Arial" w:hint="eastAsia"/>
          <w:b/>
          <w:sz w:val="20"/>
          <w:szCs w:val="20"/>
          <w:lang w:eastAsia="ja-JP"/>
        </w:rPr>
        <w:t>NTT DOCOMO</w:t>
      </w:r>
      <w:r w:rsidR="002B32C9">
        <w:rPr>
          <w:rFonts w:ascii="Arial" w:eastAsiaTheme="minorEastAsia" w:hAnsi="Arial" w:hint="eastAsia"/>
          <w:b/>
          <w:sz w:val="20"/>
          <w:szCs w:val="20"/>
          <w:lang w:eastAsia="ja-JP"/>
        </w:rPr>
        <w:t xml:space="preserve"> (Email rapporteur)</w:t>
      </w:r>
      <w:r w:rsidR="00614F0C">
        <w:rPr>
          <w:rFonts w:ascii="Arial" w:eastAsiaTheme="minorEastAsia" w:hAnsi="Arial" w:hint="eastAsia"/>
          <w:b/>
          <w:sz w:val="20"/>
          <w:szCs w:val="20"/>
          <w:lang w:eastAsia="ja-JP"/>
        </w:rPr>
        <w:t xml:space="preserve">, Huawei, HiSilicon, </w:t>
      </w:r>
      <w:r w:rsidR="00B23F04">
        <w:rPr>
          <w:rFonts w:ascii="Arial" w:eastAsiaTheme="minorEastAsia" w:hAnsi="Arial" w:hint="eastAsia"/>
          <w:b/>
          <w:sz w:val="20"/>
          <w:szCs w:val="20"/>
          <w:lang w:eastAsia="ja-JP"/>
        </w:rPr>
        <w:t>ETRI, ZTE, MediaTek, Panasonic, CMCC, LG Electronics</w:t>
      </w:r>
    </w:p>
    <w:p w:rsidR="00523ED0" w:rsidRPr="00B23F04" w:rsidRDefault="00523ED0" w:rsidP="00523ED0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jc w:val="both"/>
        <w:rPr>
          <w:rFonts w:ascii="Arial" w:eastAsiaTheme="minorEastAsia" w:hAnsi="Arial"/>
          <w:b/>
          <w:sz w:val="20"/>
          <w:szCs w:val="20"/>
          <w:lang w:eastAsia="ja-JP"/>
        </w:rPr>
      </w:pPr>
      <w:r w:rsidRPr="00E314C7">
        <w:rPr>
          <w:rFonts w:ascii="Arial" w:eastAsia="Batang" w:hAnsi="Arial"/>
          <w:b/>
          <w:sz w:val="20"/>
          <w:szCs w:val="20"/>
        </w:rPr>
        <w:t>Title:</w:t>
      </w:r>
      <w:bookmarkStart w:id="0" w:name="Title"/>
      <w:bookmarkEnd w:id="0"/>
      <w:r w:rsidRPr="00E314C7">
        <w:rPr>
          <w:rFonts w:ascii="Arial" w:eastAsia="Batang" w:hAnsi="Arial"/>
          <w:b/>
          <w:sz w:val="20"/>
          <w:szCs w:val="20"/>
        </w:rPr>
        <w:tab/>
      </w:r>
      <w:r w:rsidR="00B23F04">
        <w:rPr>
          <w:rFonts w:ascii="Arial" w:eastAsiaTheme="minorEastAsia" w:hAnsi="Arial" w:hint="eastAsia"/>
          <w:b/>
          <w:sz w:val="20"/>
          <w:szCs w:val="20"/>
          <w:lang w:val="en-GB" w:eastAsia="ja-JP"/>
        </w:rPr>
        <w:t>Assumptions for evaluation related to small cell discovery</w:t>
      </w:r>
    </w:p>
    <w:p w:rsidR="00523ED0" w:rsidRPr="00523ED0" w:rsidRDefault="00523ED0" w:rsidP="00523ED0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jc w:val="both"/>
        <w:rPr>
          <w:rFonts w:ascii="Arial" w:eastAsiaTheme="minorEastAsia" w:hAnsi="Arial"/>
          <w:b/>
          <w:sz w:val="20"/>
          <w:szCs w:val="20"/>
          <w:lang w:eastAsia="ja-JP"/>
        </w:rPr>
      </w:pPr>
      <w:r w:rsidRPr="00E314C7">
        <w:rPr>
          <w:rFonts w:ascii="Arial" w:eastAsia="Batang" w:hAnsi="Arial"/>
          <w:b/>
          <w:sz w:val="20"/>
          <w:szCs w:val="20"/>
        </w:rPr>
        <w:t>Agenda Item:</w:t>
      </w:r>
      <w:r w:rsidRPr="00E314C7">
        <w:rPr>
          <w:rFonts w:ascii="Arial" w:eastAsia="Batang" w:hAnsi="Arial"/>
          <w:b/>
          <w:sz w:val="20"/>
          <w:szCs w:val="20"/>
        </w:rPr>
        <w:tab/>
      </w:r>
      <w:r>
        <w:rPr>
          <w:rFonts w:ascii="Arial" w:eastAsia="Batang" w:hAnsi="Arial"/>
          <w:b/>
          <w:sz w:val="20"/>
          <w:szCs w:val="20"/>
        </w:rPr>
        <w:t>6.2.5.2.</w:t>
      </w:r>
      <w:r>
        <w:rPr>
          <w:rFonts w:ascii="Arial" w:eastAsiaTheme="minorEastAsia" w:hAnsi="Arial" w:hint="eastAsia"/>
          <w:b/>
          <w:sz w:val="20"/>
          <w:szCs w:val="20"/>
          <w:lang w:eastAsia="ja-JP"/>
        </w:rPr>
        <w:t>2</w:t>
      </w:r>
    </w:p>
    <w:p w:rsidR="000D16C0" w:rsidRDefault="00523ED0" w:rsidP="00523ED0">
      <w:pPr>
        <w:widowControl w:val="0"/>
        <w:pBdr>
          <w:bottom w:val="single" w:sz="6" w:space="1" w:color="auto"/>
        </w:pBdr>
        <w:tabs>
          <w:tab w:val="left" w:pos="1701"/>
          <w:tab w:val="right" w:pos="9072"/>
          <w:tab w:val="right" w:pos="10206"/>
        </w:tabs>
        <w:spacing w:after="0" w:line="240" w:lineRule="auto"/>
        <w:jc w:val="both"/>
        <w:rPr>
          <w:rFonts w:ascii="Arial" w:eastAsiaTheme="minorEastAsia" w:hAnsi="Arial"/>
          <w:b/>
          <w:sz w:val="20"/>
          <w:szCs w:val="20"/>
          <w:lang w:eastAsia="ja-JP"/>
        </w:rPr>
      </w:pPr>
      <w:r w:rsidRPr="00E314C7">
        <w:rPr>
          <w:rFonts w:ascii="Arial" w:eastAsia="Batang" w:hAnsi="Arial"/>
          <w:b/>
          <w:sz w:val="20"/>
          <w:szCs w:val="20"/>
        </w:rPr>
        <w:t>Document for:</w:t>
      </w:r>
      <w:r w:rsidRPr="00E314C7">
        <w:rPr>
          <w:rFonts w:ascii="Arial" w:eastAsia="Batang" w:hAnsi="Arial"/>
          <w:b/>
          <w:sz w:val="20"/>
          <w:szCs w:val="20"/>
        </w:rPr>
        <w:tab/>
        <w:t>Discussion and decision</w:t>
      </w:r>
    </w:p>
    <w:p w:rsidR="00523ED0" w:rsidRPr="00614F0C" w:rsidRDefault="00523ED0" w:rsidP="00523ED0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jc w:val="both"/>
        <w:rPr>
          <w:rFonts w:eastAsiaTheme="minorEastAsia"/>
          <w:b/>
          <w:sz w:val="20"/>
          <w:szCs w:val="20"/>
          <w:lang w:eastAsia="ja-JP"/>
        </w:rPr>
      </w:pPr>
    </w:p>
    <w:p w:rsidR="00523ED0" w:rsidRPr="00614F0C" w:rsidRDefault="00523ED0" w:rsidP="00523ED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The further evaluation campaign for the performance of legacy mechanism should be done based on following assumptions in addition to the agreement at RAN1#72bis </w:t>
      </w:r>
    </w:p>
    <w:p w:rsidR="00523ED0" w:rsidRPr="00614F0C" w:rsidRDefault="00523ED0" w:rsidP="00523ED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Target false alarm probability: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0.001 is used for initial evaluation purpose and it should not impact the RAN4 requirement design </w:t>
      </w:r>
    </w:p>
    <w:p w:rsidR="00523ED0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>False alarm probability is defined as a detection probability of cells in the case of noise only input</w:t>
      </w:r>
      <w:r w:rsidRPr="00614F0C">
        <w:rPr>
          <w:rFonts w:eastAsiaTheme="minorEastAsia"/>
          <w:lang w:val="en-GB"/>
        </w:rPr>
        <w:t xml:space="preserve"> </w:t>
      </w:r>
    </w:p>
    <w:p w:rsidR="00FD49F0" w:rsidRPr="00670888" w:rsidRDefault="00FD49F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70888">
        <w:rPr>
          <w:rFonts w:eastAsiaTheme="minorEastAsia" w:hint="eastAsia"/>
          <w:lang w:val="en-GB" w:eastAsia="ja-JP"/>
        </w:rPr>
        <w:t>In the legacy mechanism, the conclusive false alarm probability in the P</w:t>
      </w:r>
      <w:r w:rsidR="004947E6" w:rsidRPr="00670888">
        <w:rPr>
          <w:rFonts w:eastAsiaTheme="minorEastAsia" w:hint="eastAsia"/>
          <w:lang w:val="en-GB" w:eastAsia="ja-JP"/>
        </w:rPr>
        <w:t xml:space="preserve">SS/SSS detection should satisfy the above target </w:t>
      </w:r>
    </w:p>
    <w:p w:rsidR="00523ED0" w:rsidRPr="00614F0C" w:rsidRDefault="00523ED0" w:rsidP="00523ED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Target set of detectable cells: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>Actual target set of detectable cells per carrier frequency should be determined based on gain achievable with, such as, interference coordination and load balancing.</w:t>
      </w:r>
      <w:r w:rsidRPr="00614F0C">
        <w:rPr>
          <w:rFonts w:eastAsiaTheme="minorEastAsia"/>
        </w:rPr>
        <w:t xml:space="preserve">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>Proposals for target set definition:</w:t>
      </w:r>
      <w:r w:rsidRPr="00614F0C">
        <w:rPr>
          <w:rFonts w:eastAsiaTheme="minorEastAsia"/>
          <w:lang w:val="en-GB"/>
        </w:rPr>
        <w:t xml:space="preserve"> </w:t>
      </w:r>
    </w:p>
    <w:p w:rsidR="00523ED0" w:rsidRPr="00614F0C" w:rsidRDefault="00523ED0" w:rsidP="00523ED0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Alt.1: Small cells within RSRP gap = Y, Y=15 dB is baseline at this stage. </w:t>
      </w:r>
    </w:p>
    <w:p w:rsidR="00523ED0" w:rsidRPr="00614F0C" w:rsidRDefault="00523ED0" w:rsidP="00523ED0">
      <w:pPr>
        <w:numPr>
          <w:ilvl w:val="3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Alt.2: Top N small cells of a UE with RSRP &gt;= X, N &gt;= 3 and X=-127 dBm are baseline at this stage. </w:t>
      </w:r>
    </w:p>
    <w:p w:rsidR="00523ED0" w:rsidRPr="00614F0C" w:rsidRDefault="00523ED0" w:rsidP="00523ED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Evaluation metrics: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Detection probabilities and RSRP measurement accuracies for at least top 3 small cells are evaluated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>Number of measurement samples, i.e., PSS/SSS/CRS subframes, used for the detection/measurement should be shown (at least 1 subframe case should be evaluated)</w:t>
      </w:r>
      <w:r w:rsidRPr="00614F0C">
        <w:rPr>
          <w:rFonts w:eastAsiaTheme="minorEastAsia"/>
          <w:lang w:val="en-GB"/>
        </w:rPr>
        <w:t xml:space="preserve"> </w:t>
      </w:r>
    </w:p>
    <w:p w:rsidR="00523ED0" w:rsidRPr="00614F0C" w:rsidRDefault="00523ED0" w:rsidP="00523ED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Other baseline assumptions: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UEs only within cluster region are considered for the evaluation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lastRenderedPageBreak/>
        <w:t xml:space="preserve">It is assumed that UE does not have any PCI information of surrounding small cells in the evaluation of legacy mechanism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Synchronized transmission of PSS/SSS/CRS with timing/frequency offsets is assumed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>Full buffer traffic load is assumed for the discovery performance evaluation</w:t>
      </w:r>
      <w:r w:rsidRPr="00614F0C">
        <w:rPr>
          <w:rFonts w:eastAsiaTheme="minorEastAsia"/>
        </w:rPr>
        <w:t xml:space="preserve">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+/- 3 </w:t>
      </w:r>
      <w:r w:rsidRPr="00614F0C">
        <w:rPr>
          <w:rFonts w:eastAsiaTheme="minorEastAsia"/>
          <w:sz w:val="20"/>
          <w:szCs w:val="20"/>
          <w:lang w:val="en-GB" w:eastAsia="zh-CN"/>
        </w:rPr>
        <w:t>μ</w:t>
      </w:r>
      <w:r w:rsidRPr="00614F0C">
        <w:rPr>
          <w:rFonts w:eastAsiaTheme="minorEastAsia"/>
          <w:sz w:val="20"/>
          <w:szCs w:val="20"/>
        </w:rPr>
        <w:t xml:space="preserve">s timing offset and +/- 0.1 ppm frequency offset among small cells are used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 xml:space="preserve">EPA multipath fading channel (3 km/h) is used </w:t>
      </w:r>
    </w:p>
    <w:p w:rsidR="00523ED0" w:rsidRPr="00614F0C" w:rsidRDefault="00523ED0" w:rsidP="00523ED0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Theme="minorEastAsia"/>
          <w:lang w:val="en-GB"/>
        </w:rPr>
      </w:pPr>
      <w:r w:rsidRPr="00614F0C">
        <w:rPr>
          <w:rFonts w:eastAsiaTheme="minorEastAsia"/>
          <w:sz w:val="20"/>
          <w:szCs w:val="20"/>
        </w:rPr>
        <w:t>Actual detection/measurement algorithms should be implemented</w:t>
      </w:r>
      <w:r w:rsidRPr="00614F0C">
        <w:rPr>
          <w:rFonts w:eastAsiaTheme="minorEastAsia"/>
          <w:lang w:val="en-GB"/>
        </w:rPr>
        <w:t xml:space="preserve"> </w:t>
      </w:r>
    </w:p>
    <w:p w:rsidR="00523ED0" w:rsidRPr="00523ED0" w:rsidRDefault="00523ED0" w:rsidP="00523ED0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jc w:val="both"/>
        <w:rPr>
          <w:rFonts w:ascii="Arial" w:eastAsiaTheme="minorEastAsia" w:hAnsi="Arial"/>
          <w:b/>
          <w:sz w:val="20"/>
          <w:szCs w:val="20"/>
          <w:lang w:val="en-GB" w:eastAsia="ja-JP"/>
        </w:rPr>
      </w:pPr>
    </w:p>
    <w:sectPr w:rsidR="00523ED0" w:rsidRPr="00523ED0" w:rsidSect="000D16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FF2" w:rsidRDefault="00565FF2" w:rsidP="002B32C9">
      <w:pPr>
        <w:spacing w:after="0" w:line="240" w:lineRule="auto"/>
      </w:pPr>
      <w:r>
        <w:separator/>
      </w:r>
    </w:p>
  </w:endnote>
  <w:endnote w:type="continuationSeparator" w:id="0">
    <w:p w:rsidR="00565FF2" w:rsidRDefault="00565FF2" w:rsidP="002B3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FF2" w:rsidRDefault="00565FF2" w:rsidP="002B32C9">
      <w:pPr>
        <w:spacing w:after="0" w:line="240" w:lineRule="auto"/>
      </w:pPr>
      <w:r>
        <w:separator/>
      </w:r>
    </w:p>
  </w:footnote>
  <w:footnote w:type="continuationSeparator" w:id="0">
    <w:p w:rsidR="00565FF2" w:rsidRDefault="00565FF2" w:rsidP="002B32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E0562"/>
    <w:multiLevelType w:val="multilevel"/>
    <w:tmpl w:val="628AD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3ED0"/>
    <w:rsid w:val="000D16C0"/>
    <w:rsid w:val="002B32C9"/>
    <w:rsid w:val="004947E6"/>
    <w:rsid w:val="00523ED0"/>
    <w:rsid w:val="00565FF2"/>
    <w:rsid w:val="005E3935"/>
    <w:rsid w:val="00614F0C"/>
    <w:rsid w:val="00617E2A"/>
    <w:rsid w:val="00670888"/>
    <w:rsid w:val="00AE45BF"/>
    <w:rsid w:val="00B23F04"/>
    <w:rsid w:val="00B55728"/>
    <w:rsid w:val="00DF4D8C"/>
    <w:rsid w:val="00FD4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D0"/>
    <w:pPr>
      <w:spacing w:after="200" w:line="276" w:lineRule="auto"/>
    </w:pPr>
    <w:rPr>
      <w:rFonts w:ascii="Times New Roman" w:eastAsia="SimSun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32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2B32C9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2B32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2B32C9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6DD4C-B58E-49C4-9F86-9EF9F193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株式会社NTTドコモ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5139473</dc:creator>
  <cp:lastModifiedBy>Windows XP Mode</cp:lastModifiedBy>
  <cp:revision>8</cp:revision>
  <dcterms:created xsi:type="dcterms:W3CDTF">2013-06-24T04:10:00Z</dcterms:created>
  <dcterms:modified xsi:type="dcterms:W3CDTF">2013-07-12T04:22:00Z</dcterms:modified>
</cp:coreProperties>
</file>