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23B" w:rsidRPr="00D86887" w:rsidRDefault="00F6723B" w:rsidP="00F6723B">
      <w:pPr>
        <w:pStyle w:val="Title"/>
        <w:pBdr>
          <w:top w:val="single" w:sz="12" w:space="5" w:color="auto"/>
          <w:bottom w:val="single" w:sz="12" w:space="7" w:color="auto"/>
        </w:pBdr>
        <w:tabs>
          <w:tab w:val="clear" w:pos="3780"/>
          <w:tab w:val="right" w:pos="9360"/>
        </w:tabs>
        <w:spacing w:before="0" w:after="0" w:line="240" w:lineRule="exact"/>
      </w:pPr>
      <w:r w:rsidRPr="0008070A">
        <w:rPr>
          <w:lang w:eastAsia="zh-CN"/>
        </w:rPr>
        <w:t>3GPP TSG RAN WG</w:t>
      </w:r>
      <w:r w:rsidR="00BE2471">
        <w:rPr>
          <w:lang w:eastAsia="zh-CN"/>
        </w:rPr>
        <w:t>1</w:t>
      </w:r>
      <w:r w:rsidRPr="0008070A">
        <w:rPr>
          <w:lang w:eastAsia="zh-CN"/>
        </w:rPr>
        <w:t xml:space="preserve"> Meeting #</w:t>
      </w:r>
      <w:r w:rsidR="00BE2471">
        <w:rPr>
          <w:lang w:eastAsia="zh-CN"/>
        </w:rPr>
        <w:t>66</w:t>
      </w:r>
      <w:r w:rsidRPr="0008070A">
        <w:rPr>
          <w:lang w:eastAsia="zh-CN"/>
        </w:rPr>
        <w:t xml:space="preserve">                                                         </w:t>
      </w:r>
      <w:r>
        <w:rPr>
          <w:lang w:eastAsia="zh-CN"/>
        </w:rPr>
        <w:tab/>
      </w:r>
      <w:r w:rsidR="00BE2471">
        <w:t>R1</w:t>
      </w:r>
      <w:r>
        <w:t>-</w:t>
      </w:r>
      <w:r w:rsidR="00896D92">
        <w:t>11</w:t>
      </w:r>
      <w:r w:rsidR="00C142C9">
        <w:t>2369</w:t>
      </w:r>
    </w:p>
    <w:p w:rsidR="00F6723B" w:rsidRPr="006F77CB" w:rsidRDefault="00BE2471" w:rsidP="00F6723B">
      <w:pPr>
        <w:pStyle w:val="Title"/>
        <w:pBdr>
          <w:top w:val="single" w:sz="12" w:space="5" w:color="auto"/>
          <w:bottom w:val="single" w:sz="12" w:space="7" w:color="auto"/>
        </w:pBdr>
        <w:tabs>
          <w:tab w:val="clear" w:pos="3780"/>
        </w:tabs>
        <w:spacing w:after="0" w:line="240" w:lineRule="exact"/>
        <w:rPr>
          <w:lang w:val="en-US" w:eastAsia="zh-CN"/>
        </w:rPr>
      </w:pPr>
      <w:r>
        <w:rPr>
          <w:lang w:val="en-US" w:eastAsia="zh-CN"/>
        </w:rPr>
        <w:t>Athens</w:t>
      </w:r>
      <w:r w:rsidR="00F6723B" w:rsidRPr="00554353">
        <w:rPr>
          <w:lang w:val="en-US" w:eastAsia="zh-CN"/>
        </w:rPr>
        <w:t xml:space="preserve">, </w:t>
      </w:r>
      <w:r>
        <w:rPr>
          <w:lang w:val="en-US" w:eastAsia="zh-CN"/>
        </w:rPr>
        <w:t>Greece</w:t>
      </w:r>
      <w:r w:rsidR="00F6723B">
        <w:rPr>
          <w:lang w:val="en-US" w:eastAsia="zh-CN"/>
        </w:rPr>
        <w:t>,</w:t>
      </w:r>
      <w:r w:rsidR="00F6723B" w:rsidRPr="00554353">
        <w:rPr>
          <w:lang w:val="en-US" w:eastAsia="zh-CN"/>
        </w:rPr>
        <w:t xml:space="preserve"> </w:t>
      </w:r>
      <w:r>
        <w:rPr>
          <w:lang w:val="en-US" w:eastAsia="zh-CN"/>
        </w:rPr>
        <w:t>Aug. 22 – 26</w:t>
      </w:r>
      <w:r w:rsidR="00F6723B">
        <w:rPr>
          <w:lang w:val="en-US" w:eastAsia="zh-CN"/>
        </w:rPr>
        <w:t>, 2011</w:t>
      </w:r>
    </w:p>
    <w:p w:rsidR="00F6723B" w:rsidRPr="006F77CB" w:rsidRDefault="00F6723B" w:rsidP="00F6723B">
      <w:pPr>
        <w:pStyle w:val="Title"/>
        <w:pBdr>
          <w:top w:val="single" w:sz="12" w:space="5" w:color="auto"/>
          <w:bottom w:val="single" w:sz="12" w:space="7" w:color="auto"/>
        </w:pBdr>
        <w:tabs>
          <w:tab w:val="clear" w:pos="3780"/>
        </w:tabs>
        <w:spacing w:after="0" w:line="240" w:lineRule="exact"/>
        <w:rPr>
          <w:lang w:val="en-US"/>
        </w:rPr>
      </w:pP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pPr>
      <w:r w:rsidRPr="0008070A">
        <w:t xml:space="preserve">Title: </w:t>
      </w:r>
      <w:r w:rsidRPr="0008070A">
        <w:tab/>
      </w:r>
      <w:r w:rsidR="00CA48C3">
        <w:t>PSS/SSS</w:t>
      </w:r>
      <w:r w:rsidR="00007CE2">
        <w:t xml:space="preserve"> Detection</w:t>
      </w:r>
      <w:r w:rsidR="00D36557">
        <w:t xml:space="preserve"> </w:t>
      </w:r>
      <w:r w:rsidR="009111A2">
        <w:t>i</w:t>
      </w:r>
      <w:r w:rsidR="0031566D">
        <w:t xml:space="preserve">n </w:t>
      </w:r>
      <w:r w:rsidR="00D36557">
        <w:t>Heterogeneous Network</w:t>
      </w:r>
      <w:r w:rsidR="0031566D">
        <w:t>s</w:t>
      </w: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rsidRPr="0008070A">
        <w:t xml:space="preserve">Source: </w:t>
      </w:r>
      <w:r w:rsidRPr="0008070A">
        <w:tab/>
      </w:r>
      <w:r w:rsidRPr="0008070A">
        <w:rPr>
          <w:lang w:eastAsia="zh-CN"/>
        </w:rPr>
        <w:t>Research In Motion UK Limited</w:t>
      </w:r>
    </w:p>
    <w:p w:rsidR="00F6723B" w:rsidRPr="0008070A" w:rsidRDefault="00896D92"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t>Agenda Item:</w:t>
      </w:r>
      <w:r>
        <w:tab/>
      </w:r>
      <w:r w:rsidR="00C142C9">
        <w:t>6.3.2</w:t>
      </w: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exact"/>
        <w:rPr>
          <w:lang w:eastAsia="zh-CN"/>
        </w:rPr>
      </w:pPr>
      <w:r w:rsidRPr="0008070A">
        <w:t xml:space="preserve">Document for: </w:t>
      </w:r>
      <w:r w:rsidRPr="0008070A">
        <w:tab/>
        <w:t xml:space="preserve">Discussion </w:t>
      </w:r>
    </w:p>
    <w:p w:rsidR="00F6723B" w:rsidRDefault="00F6723B" w:rsidP="00F6723B">
      <w:pPr>
        <w:pStyle w:val="Heading1"/>
        <w:keepLines w:val="0"/>
        <w:pBdr>
          <w:top w:val="none" w:sz="0" w:space="0" w:color="auto"/>
        </w:pBdr>
        <w:tabs>
          <w:tab w:val="clear" w:pos="432"/>
          <w:tab w:val="num" w:pos="360"/>
        </w:tabs>
        <w:spacing w:before="120" w:after="60" w:line="240" w:lineRule="atLeast"/>
        <w:ind w:left="0" w:right="-360" w:firstLine="0"/>
        <w:jc w:val="both"/>
      </w:pPr>
      <w:r w:rsidRPr="006A12EA">
        <w:t xml:space="preserve">Introduction </w:t>
      </w:r>
    </w:p>
    <w:p w:rsidR="001D21D5" w:rsidRDefault="00BB4C22" w:rsidP="00EF27C3">
      <w:pPr>
        <w:jc w:val="both"/>
      </w:pPr>
      <w:r>
        <w:rPr>
          <w:lang w:eastAsia="ja-JP"/>
        </w:rPr>
        <w:t>It wa</w:t>
      </w:r>
      <w:r w:rsidR="0099130D">
        <w:rPr>
          <w:lang w:eastAsia="ja-JP"/>
        </w:rPr>
        <w:t>s agreed in RAN plenary #51 that further enhanced non-CA based ICIC for LTE will be studied for Rel-11 as a work item [1]</w:t>
      </w:r>
      <w:r w:rsidR="00EF27C3">
        <w:t xml:space="preserve">. </w:t>
      </w:r>
      <w:r w:rsidR="00E14F7A">
        <w:t xml:space="preserve">Specifically, one </w:t>
      </w:r>
      <w:r w:rsidR="0099130D">
        <w:t xml:space="preserve">objective </w:t>
      </w:r>
      <w:r w:rsidR="00E14F7A">
        <w:t>of</w:t>
      </w:r>
      <w:r w:rsidR="0099130D">
        <w:t xml:space="preserve"> this WI is to </w:t>
      </w:r>
      <w:r w:rsidR="00C4311B">
        <w:t>“to enable significantly improved detection of PCI and system information (MIB/SIB-1/Paging) in the presence of dominant interferers for FDD and TDD systems, and different network configurations (e.g., subframe offset / no-subframe offset)”.</w:t>
      </w:r>
      <w:r w:rsidR="0099130D">
        <w:t xml:space="preserve"> </w:t>
      </w:r>
      <w:r w:rsidR="00115AE1">
        <w:t>In a heterogeneous network a UE may communicate with a weak cell, for exa</w:t>
      </w:r>
      <w:r w:rsidR="0071655D">
        <w:t>mple a pico UE in the range expansion (RE)</w:t>
      </w:r>
      <w:r w:rsidR="00115AE1">
        <w:t xml:space="preserve"> area or a non-member UE in the coverage area of a CSG. </w:t>
      </w:r>
      <w:r w:rsidR="00C4311B">
        <w:t xml:space="preserve">Although the aggressor cell blanks the transmission or reduces the transmit power as much as possible during ABSs, PSS/SSS/PBCH has to be transmitted </w:t>
      </w:r>
      <w:r w:rsidR="00C4311B">
        <w:rPr>
          <w:lang w:eastAsia="ja-JP"/>
        </w:rPr>
        <w:t>to avoid the impact on legacy UEs</w:t>
      </w:r>
      <w:r w:rsidR="00C4311B">
        <w:t xml:space="preserve">. This could degrade the signal reception of PSS/SSS/PBCH for the UEs in the victim cell, especially without the subframe offset. </w:t>
      </w:r>
      <w:r w:rsidR="006B2994">
        <w:t xml:space="preserve">During the Rel-10 eICIC discussion, </w:t>
      </w:r>
      <w:r w:rsidR="00CA48C3">
        <w:t>contributions [2-4</w:t>
      </w:r>
      <w:r w:rsidR="00D14C4E">
        <w:t>] have shown that this degradation could be significant if no enhancements are considered.</w:t>
      </w:r>
      <w:r w:rsidR="00CA48C3">
        <w:t xml:space="preserve"> </w:t>
      </w:r>
    </w:p>
    <w:p w:rsidR="00666183" w:rsidRDefault="00CA48C3" w:rsidP="00EF27C3">
      <w:pPr>
        <w:jc w:val="both"/>
      </w:pPr>
      <w:r>
        <w:t>In this paper, we proposed an auxiliary PSS/SSS solution</w:t>
      </w:r>
      <w:r w:rsidR="00D14C4E">
        <w:t xml:space="preserve"> to allow the victim UEs (a pico UE in the RE area or a non-member UE in the coverage area of a CSG) to reliably detect th</w:t>
      </w:r>
      <w:r>
        <w:t>e PSS/SSS</w:t>
      </w:r>
      <w:r w:rsidR="00D14C4E">
        <w:t xml:space="preserve"> of the weaker cells.   </w:t>
      </w:r>
    </w:p>
    <w:p w:rsidR="00666183" w:rsidRDefault="005C5425" w:rsidP="00CA48C3">
      <w:pPr>
        <w:pStyle w:val="Heading1"/>
        <w:keepLines w:val="0"/>
        <w:pBdr>
          <w:top w:val="none" w:sz="0" w:space="0" w:color="auto"/>
        </w:pBdr>
        <w:tabs>
          <w:tab w:val="clear" w:pos="432"/>
          <w:tab w:val="num" w:pos="360"/>
        </w:tabs>
        <w:spacing w:before="120" w:after="60" w:line="240" w:lineRule="atLeast"/>
        <w:ind w:left="0" w:right="-360" w:firstLine="0"/>
        <w:jc w:val="both"/>
      </w:pPr>
      <w:r>
        <w:t xml:space="preserve">Motivation of auxiliary </w:t>
      </w:r>
      <w:r w:rsidR="00CA48C3">
        <w:t xml:space="preserve">PSS/SSS </w:t>
      </w:r>
      <w:r w:rsidR="00666183">
        <w:t xml:space="preserve">in the victim cell </w:t>
      </w:r>
      <w:r w:rsidR="00CA48C3">
        <w:t xml:space="preserve"> </w:t>
      </w:r>
    </w:p>
    <w:p w:rsidR="00A92A7D" w:rsidRDefault="005C5425" w:rsidP="00CA48C3">
      <w:r>
        <w:t xml:space="preserve">In Rel-10, a bias of up to 6 dB was supported for pico cell range expansion. If even higher bias is to be supported, the PSS/SSS detection in the victim cell will be severely degraded.  </w:t>
      </w:r>
      <w:r w:rsidR="00666183">
        <w:t>One way to</w:t>
      </w:r>
      <w:r w:rsidR="00CA48C3">
        <w:t xml:space="preserve"> </w:t>
      </w:r>
      <w:r w:rsidR="00666183">
        <w:t xml:space="preserve">avoid the interference from an aggressor cell is to </w:t>
      </w:r>
      <w:r>
        <w:t>provide</w:t>
      </w:r>
      <w:r w:rsidR="00CA48C3">
        <w:t xml:space="preserve"> auxiliary PSS/SSS signalling</w:t>
      </w:r>
      <w:r w:rsidR="00666183">
        <w:t xml:space="preserve"> in a victim cell</w:t>
      </w:r>
      <w:r w:rsidR="0053146A">
        <w:t xml:space="preserve"> to assist time and frequency synchronization</w:t>
      </w:r>
      <w:r w:rsidR="00CA48C3">
        <w:t>.</w:t>
      </w:r>
      <w:r w:rsidR="00666183">
        <w:t xml:space="preserve"> </w:t>
      </w:r>
      <w:r>
        <w:t xml:space="preserve">The auxiliary PSS/SSS is signalled in addition to the existing PSS/SSS. By using time-domain interference avoidance technique, </w:t>
      </w:r>
      <w:r w:rsidR="00A3554D">
        <w:t xml:space="preserve">detection of </w:t>
      </w:r>
      <w:r>
        <w:t xml:space="preserve">auxiliary PSS/SSS is </w:t>
      </w:r>
      <w:r w:rsidR="00A3554D">
        <w:t>simple and</w:t>
      </w:r>
      <w:r w:rsidR="00A3554D" w:rsidRPr="00A3554D">
        <w:t xml:space="preserve"> </w:t>
      </w:r>
      <w:r w:rsidR="00A3554D">
        <w:t xml:space="preserve">the synchronization performance </w:t>
      </w:r>
      <w:r w:rsidR="0084286A">
        <w:t>is significantly impro</w:t>
      </w:r>
      <w:r w:rsidR="00A3554D">
        <w:t>ved</w:t>
      </w:r>
      <w:r>
        <w:t xml:space="preserve">. </w:t>
      </w:r>
      <w:r w:rsidR="0050732D">
        <w:t xml:space="preserve">An example of the auxiliary PSS/SSS is illustrated in </w:t>
      </w:r>
      <w:r w:rsidR="004B4971">
        <w:fldChar w:fldCharType="begin"/>
      </w:r>
      <w:r w:rsidR="0050732D">
        <w:instrText xml:space="preserve"> REF _Ref299716475 \h </w:instrText>
      </w:r>
      <w:r w:rsidR="004B4971">
        <w:fldChar w:fldCharType="separate"/>
      </w:r>
      <w:r w:rsidR="00387E86">
        <w:t xml:space="preserve">Figure </w:t>
      </w:r>
      <w:r w:rsidR="00387E86">
        <w:rPr>
          <w:noProof/>
        </w:rPr>
        <w:t>1</w:t>
      </w:r>
      <w:r w:rsidR="004B4971">
        <w:fldChar w:fldCharType="end"/>
      </w:r>
      <w:r w:rsidR="0050732D">
        <w:t>.</w:t>
      </w:r>
    </w:p>
    <w:p w:rsidR="00A92A7D" w:rsidRDefault="00A92A7D" w:rsidP="00CA48C3"/>
    <w:p w:rsidR="0077738D" w:rsidRDefault="0050732D">
      <w:pPr>
        <w:jc w:val="center"/>
      </w:pPr>
      <w:r>
        <w:object w:dxaOrig="6229" w:dyaOrig="3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156.5pt" o:ole="">
            <v:imagedata r:id="rId8" o:title=""/>
          </v:shape>
          <o:OLEObject Type="Embed" ProgID="Visio.Drawing.11" ShapeID="_x0000_i1025" DrawAspect="Content" ObjectID="_1374867177" r:id="rId9"/>
        </w:object>
      </w:r>
    </w:p>
    <w:p w:rsidR="00A92A7D" w:rsidRDefault="00A92A7D" w:rsidP="00A92A7D">
      <w:pPr>
        <w:pStyle w:val="Caption"/>
        <w:jc w:val="center"/>
      </w:pPr>
      <w:bookmarkStart w:id="0" w:name="_Ref299716475"/>
      <w:r>
        <w:t xml:space="preserve">Figure </w:t>
      </w:r>
      <w:r w:rsidR="004B4971">
        <w:fldChar w:fldCharType="begin"/>
      </w:r>
      <w:r>
        <w:instrText xml:space="preserve"> SEQ Figure \* ARABIC </w:instrText>
      </w:r>
      <w:r w:rsidR="004B4971">
        <w:fldChar w:fldCharType="separate"/>
      </w:r>
      <w:r w:rsidR="00387E86">
        <w:rPr>
          <w:noProof/>
        </w:rPr>
        <w:t>1</w:t>
      </w:r>
      <w:r w:rsidR="004B4971">
        <w:fldChar w:fldCharType="end"/>
      </w:r>
      <w:bookmarkEnd w:id="0"/>
      <w:r>
        <w:t>. Auxiliary PSS and SSS in slot #1 (FDD, normal cyclic prefix).</w:t>
      </w:r>
    </w:p>
    <w:p w:rsidR="0077738D" w:rsidRDefault="0077738D">
      <w:pPr>
        <w:jc w:val="center"/>
      </w:pPr>
    </w:p>
    <w:p w:rsidR="005C5425" w:rsidRDefault="00666183" w:rsidP="00CA48C3">
      <w:r>
        <w:t xml:space="preserve">This solution </w:t>
      </w:r>
      <w:r w:rsidR="00A92A7D">
        <w:t xml:space="preserve">has the advantage of being able to support </w:t>
      </w:r>
      <w:r>
        <w:t xml:space="preserve">both the FDD and the TDD systems and different network configurations (e.g., </w:t>
      </w:r>
      <w:r w:rsidR="00853AE5">
        <w:t xml:space="preserve">with </w:t>
      </w:r>
      <w:r>
        <w:t>subframe offset / no-subframe offset).</w:t>
      </w:r>
      <w:r w:rsidR="005C5425">
        <w:t xml:space="preserve"> </w:t>
      </w:r>
    </w:p>
    <w:p w:rsidR="00CA48C3" w:rsidRDefault="00666183" w:rsidP="00CA48C3">
      <w:r>
        <w:lastRenderedPageBreak/>
        <w:t xml:space="preserve">The following </w:t>
      </w:r>
      <w:r w:rsidR="00CA48C3">
        <w:t>considerations</w:t>
      </w:r>
      <w:r>
        <w:t xml:space="preserve"> should be taken into account</w:t>
      </w:r>
      <w:r w:rsidR="005C621C">
        <w:t xml:space="preserve"> in introducing the auxiliary PSS/SSS</w:t>
      </w:r>
      <w:r w:rsidR="00CA48C3">
        <w:t>:</w:t>
      </w:r>
    </w:p>
    <w:p w:rsidR="00CA48C3" w:rsidRPr="00CA48C3" w:rsidRDefault="00CA48C3" w:rsidP="00CA48C3">
      <w:pPr>
        <w:pStyle w:val="ListParagraph"/>
        <w:numPr>
          <w:ilvl w:val="0"/>
          <w:numId w:val="11"/>
        </w:numPr>
        <w:spacing w:after="120"/>
        <w:contextualSpacing/>
      </w:pPr>
      <w:r w:rsidRPr="00CA48C3">
        <w:t xml:space="preserve">Auxiliary PSS/SSS reside within the central 72 subcarriers but in different OFDM symbols than Rel-8 PSS/SSS. </w:t>
      </w:r>
    </w:p>
    <w:p w:rsidR="00CA48C3" w:rsidRPr="00CA48C3" w:rsidRDefault="00CA48C3" w:rsidP="00CA48C3">
      <w:pPr>
        <w:pStyle w:val="ListParagraph"/>
        <w:numPr>
          <w:ilvl w:val="0"/>
          <w:numId w:val="11"/>
        </w:numPr>
        <w:spacing w:after="120"/>
        <w:contextualSpacing/>
      </w:pPr>
      <w:r w:rsidRPr="00CA48C3">
        <w:t>Auxiliary PSS and SSS are located close to each other so that coherent detection of SSS is possible. While SSS can be detected both coherently and non-coherently, it has been shown that higher accuracy (thus less cell search time) can be achieved by coherent detection using the channel estimation available after detecting PSS. This effect is prominent when the UE has high mobility [5].</w:t>
      </w:r>
    </w:p>
    <w:p w:rsidR="00CA48C3" w:rsidRPr="00CA48C3" w:rsidRDefault="00CA48C3" w:rsidP="00666183">
      <w:pPr>
        <w:pStyle w:val="ListParagraph"/>
        <w:numPr>
          <w:ilvl w:val="0"/>
          <w:numId w:val="11"/>
        </w:numPr>
        <w:spacing w:after="120"/>
        <w:contextualSpacing/>
      </w:pPr>
      <w:r w:rsidRPr="00CA48C3">
        <w:t xml:space="preserve">The auxiliary PSS cannot confuse the legacy UE about the 5ms timing. </w:t>
      </w:r>
      <w:r w:rsidR="00643692">
        <w:t xml:space="preserve"> </w:t>
      </w:r>
      <w:r w:rsidR="00643692" w:rsidRPr="00CA48C3">
        <w:t xml:space="preserve">The auxiliary SSS cannot confuse the legacy UE about the radio frame timing. </w:t>
      </w:r>
      <w:r w:rsidR="00643692">
        <w:t xml:space="preserve"> </w:t>
      </w:r>
      <w:r w:rsidRPr="00CA48C3">
        <w:t>While new UEs are aware that the auxiliary PSS</w:t>
      </w:r>
      <w:r w:rsidR="00643692">
        <w:t>/SSS</w:t>
      </w:r>
      <w:r w:rsidRPr="00CA48C3">
        <w:t xml:space="preserve"> need to be used in conjunction with existing PSS</w:t>
      </w:r>
      <w:r w:rsidR="00643692">
        <w:t>/SSS</w:t>
      </w:r>
      <w:r w:rsidRPr="00CA48C3">
        <w:t>, legacy</w:t>
      </w:r>
      <w:r w:rsidR="00522504">
        <w:t xml:space="preserve"> </w:t>
      </w:r>
      <w:r w:rsidRPr="00CA48C3">
        <w:t>UEs are not aware of this fact</w:t>
      </w:r>
      <w:r w:rsidR="00643692">
        <w:t>.</w:t>
      </w:r>
      <w:r w:rsidRPr="00CA48C3">
        <w:t xml:space="preserve"> </w:t>
      </w:r>
    </w:p>
    <w:p w:rsidR="00CA48C3" w:rsidRPr="00CA48C3" w:rsidRDefault="00CA48C3" w:rsidP="00CA48C3">
      <w:pPr>
        <w:pStyle w:val="ListParagraph"/>
        <w:numPr>
          <w:ilvl w:val="0"/>
          <w:numId w:val="11"/>
        </w:numPr>
        <w:spacing w:after="120"/>
        <w:contextualSpacing/>
      </w:pPr>
      <w:r w:rsidRPr="00CA48C3">
        <w:t xml:space="preserve">Control PDSCH transmission of the </w:t>
      </w:r>
      <w:r w:rsidR="00643692">
        <w:t>victim</w:t>
      </w:r>
      <w:r w:rsidR="00643692" w:rsidRPr="00CA48C3">
        <w:t xml:space="preserve"> </w:t>
      </w:r>
      <w:r w:rsidRPr="00CA48C3">
        <w:t xml:space="preserve">cell and the </w:t>
      </w:r>
      <w:r w:rsidR="00522504">
        <w:t>aggressor</w:t>
      </w:r>
      <w:r w:rsidR="00643692" w:rsidRPr="00CA48C3">
        <w:t xml:space="preserve"> </w:t>
      </w:r>
      <w:r w:rsidRPr="00CA48C3">
        <w:t xml:space="preserve">cell to protect the auxiliary PSS/SSS. </w:t>
      </w:r>
    </w:p>
    <w:p w:rsidR="0031566D" w:rsidRDefault="00F222F6" w:rsidP="00CA48C3">
      <w:pPr>
        <w:pStyle w:val="Heading2"/>
        <w:tabs>
          <w:tab w:val="clear" w:pos="643"/>
          <w:tab w:val="clear" w:pos="2136"/>
          <w:tab w:val="num" w:pos="630"/>
        </w:tabs>
        <w:ind w:left="0" w:firstLine="24"/>
        <w:rPr>
          <w:kern w:val="32"/>
        </w:rPr>
      </w:pPr>
      <w:r>
        <w:rPr>
          <w:kern w:val="32"/>
        </w:rPr>
        <w:t>New Sequences Without Changing Relative Position between Auxiliary PSS and SSS</w:t>
      </w:r>
    </w:p>
    <w:p w:rsidR="00F222F6" w:rsidRPr="00F222F6" w:rsidRDefault="00F222F6" w:rsidP="00F222F6">
      <w:pPr>
        <w:pStyle w:val="Heading3"/>
      </w:pPr>
      <w:r>
        <w:rPr>
          <w:kern w:val="32"/>
        </w:rPr>
        <w:t xml:space="preserve"> New Sequences for Auxiliary PSS</w:t>
      </w:r>
    </w:p>
    <w:p w:rsidR="00F222F6" w:rsidRDefault="00F222F6" w:rsidP="00F222F6">
      <w:r>
        <w:t>One way to avoid the confusion between auxiliary PSS/SSS and existing PSS/SSS is to introduce new Zadoff-Chu sequences for the auxiliary PSS. In this case, there is no need to introduce new sequences for SSS</w:t>
      </w:r>
      <w:r w:rsidRPr="00946E55">
        <w:t xml:space="preserve"> </w:t>
      </w:r>
      <w:r>
        <w:t>because SSS should always be detected after PSS is detected. The introduction of the new auxiliary PSS/ SSS does not confuse a legacy UE.</w:t>
      </w:r>
    </w:p>
    <w:p w:rsidR="00F222F6" w:rsidRDefault="00F222F6" w:rsidP="00F222F6">
      <w:r>
        <w:t xml:space="preserve">The sequence </w:t>
      </w:r>
      <w:r w:rsidRPr="00316222">
        <w:rPr>
          <w:position w:val="-10"/>
        </w:rPr>
        <w:object w:dxaOrig="440" w:dyaOrig="300">
          <v:shape id="_x0000_i1026" type="#_x0000_t75" style="width:21.3pt;height:15.05pt" o:ole="">
            <v:imagedata r:id="rId10" o:title=""/>
          </v:shape>
          <o:OLEObject Type="Embed" ProgID="Equation.3" ShapeID="_x0000_i1026" DrawAspect="Content" ObjectID="_1374867178" r:id="rId11"/>
        </w:object>
      </w:r>
      <w:r>
        <w:t xml:space="preserve"> used for the Rel-8 primary synchronization signal is generated from a frequency-domain Zadoff-Chu sequence according to</w:t>
      </w:r>
    </w:p>
    <w:p w:rsidR="00F222F6" w:rsidRDefault="00F222F6" w:rsidP="00F222F6">
      <w:pPr>
        <w:pStyle w:val="EQ"/>
        <w:jc w:val="center"/>
      </w:pPr>
      <w:r w:rsidRPr="00FA1335">
        <w:rPr>
          <w:position w:val="-44"/>
        </w:rPr>
        <w:object w:dxaOrig="3320" w:dyaOrig="980">
          <v:shape id="_x0000_i1027" type="#_x0000_t75" style="width:165.3pt;height:49.45pt" o:ole="">
            <v:imagedata r:id="rId12" o:title=""/>
          </v:shape>
          <o:OLEObject Type="Embed" ProgID="Equation.3" ShapeID="_x0000_i1027" DrawAspect="Content" ObjectID="_1374867179" r:id="rId13"/>
        </w:object>
      </w:r>
    </w:p>
    <w:p w:rsidR="00F222F6" w:rsidRDefault="00F222F6" w:rsidP="00F222F6">
      <w:proofErr w:type="gramStart"/>
      <w:r>
        <w:t>where</w:t>
      </w:r>
      <w:proofErr w:type="gramEnd"/>
      <w:r>
        <w:t xml:space="preserve"> the Zadoff-Chu root sequence index </w:t>
      </w:r>
      <w:r w:rsidRPr="00223A39">
        <w:rPr>
          <w:position w:val="-6"/>
        </w:rPr>
        <w:object w:dxaOrig="180" w:dyaOrig="200">
          <v:shape id="_x0000_i1028" type="#_x0000_t75" style="width:10pt;height:11.9pt" o:ole="">
            <v:imagedata r:id="rId14" o:title=""/>
          </v:shape>
          <o:OLEObject Type="Embed" ProgID="Equation.3" ShapeID="_x0000_i1028" DrawAspect="Content" ObjectID="_1374867180" r:id="rId15"/>
        </w:object>
      </w:r>
      <w:r>
        <w:t xml:space="preserve"> is given by Table 1.</w:t>
      </w:r>
    </w:p>
    <w:p w:rsidR="00F222F6" w:rsidRDefault="00F222F6" w:rsidP="00F222F6">
      <w:pPr>
        <w:pStyle w:val="TH"/>
      </w:pPr>
      <w:r>
        <w:t>Table 1: Root indices for the primary synchronization signal.</w:t>
      </w:r>
    </w:p>
    <w:tbl>
      <w:tblPr>
        <w:tblW w:w="0" w:type="auto"/>
        <w:jc w:val="center"/>
        <w:tblInd w:w="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3"/>
        <w:gridCol w:w="1704"/>
      </w:tblGrid>
      <w:tr w:rsidR="00F222F6" w:rsidTr="00567E44">
        <w:trPr>
          <w:jc w:val="center"/>
        </w:trPr>
        <w:tc>
          <w:tcPr>
            <w:tcW w:w="1693" w:type="dxa"/>
          </w:tcPr>
          <w:p w:rsidR="00F222F6" w:rsidRDefault="00F222F6" w:rsidP="00567E44">
            <w:pPr>
              <w:pStyle w:val="TAH"/>
            </w:pPr>
            <w:r w:rsidRPr="00423FA0">
              <w:rPr>
                <w:position w:val="-10"/>
              </w:rPr>
              <w:object w:dxaOrig="420" w:dyaOrig="340">
                <v:shape id="_x0000_i1029" type="#_x0000_t75" style="width:21.3pt;height:16.3pt" o:ole="">
                  <v:imagedata r:id="rId16" o:title=""/>
                </v:shape>
                <o:OLEObject Type="Embed" ProgID="Equation.3" ShapeID="_x0000_i1029" DrawAspect="Content" ObjectID="_1374867181" r:id="rId17"/>
              </w:object>
            </w:r>
          </w:p>
        </w:tc>
        <w:tc>
          <w:tcPr>
            <w:tcW w:w="1704" w:type="dxa"/>
          </w:tcPr>
          <w:p w:rsidR="00F222F6" w:rsidRDefault="00F222F6" w:rsidP="00567E44">
            <w:pPr>
              <w:pStyle w:val="TAH"/>
            </w:pPr>
            <w:r>
              <w:t xml:space="preserve">Root index </w:t>
            </w:r>
            <w:r w:rsidRPr="00223A39">
              <w:rPr>
                <w:position w:val="-6"/>
              </w:rPr>
              <w:object w:dxaOrig="180" w:dyaOrig="200">
                <v:shape id="_x0000_i1030" type="#_x0000_t75" style="width:10pt;height:11.9pt" o:ole="">
                  <v:imagedata r:id="rId14" o:title=""/>
                </v:shape>
                <o:OLEObject Type="Embed" ProgID="Equation.3" ShapeID="_x0000_i1030" DrawAspect="Content" ObjectID="_1374867182" r:id="rId18"/>
              </w:object>
            </w:r>
          </w:p>
        </w:tc>
      </w:tr>
      <w:tr w:rsidR="00F222F6" w:rsidTr="00567E44">
        <w:trPr>
          <w:jc w:val="center"/>
        </w:trPr>
        <w:tc>
          <w:tcPr>
            <w:tcW w:w="1693" w:type="dxa"/>
            <w:vAlign w:val="center"/>
          </w:tcPr>
          <w:p w:rsidR="00F222F6" w:rsidRDefault="00F222F6" w:rsidP="00567E44">
            <w:pPr>
              <w:pStyle w:val="TAC"/>
            </w:pPr>
            <w:r>
              <w:t>0</w:t>
            </w:r>
          </w:p>
        </w:tc>
        <w:tc>
          <w:tcPr>
            <w:tcW w:w="1704" w:type="dxa"/>
            <w:vAlign w:val="center"/>
          </w:tcPr>
          <w:p w:rsidR="00F222F6" w:rsidRDefault="00F222F6" w:rsidP="00567E44">
            <w:pPr>
              <w:pStyle w:val="TAC"/>
            </w:pPr>
            <w:r>
              <w:t>25</w:t>
            </w:r>
          </w:p>
        </w:tc>
      </w:tr>
      <w:tr w:rsidR="00F222F6" w:rsidTr="00567E44">
        <w:trPr>
          <w:jc w:val="center"/>
        </w:trPr>
        <w:tc>
          <w:tcPr>
            <w:tcW w:w="1693" w:type="dxa"/>
            <w:vAlign w:val="center"/>
          </w:tcPr>
          <w:p w:rsidR="00F222F6" w:rsidRDefault="00F222F6" w:rsidP="00567E44">
            <w:pPr>
              <w:pStyle w:val="TAC"/>
            </w:pPr>
            <w:r>
              <w:t>1</w:t>
            </w:r>
          </w:p>
        </w:tc>
        <w:tc>
          <w:tcPr>
            <w:tcW w:w="1704" w:type="dxa"/>
            <w:vAlign w:val="center"/>
          </w:tcPr>
          <w:p w:rsidR="00F222F6" w:rsidRDefault="00F222F6" w:rsidP="00567E44">
            <w:pPr>
              <w:pStyle w:val="TAC"/>
            </w:pPr>
            <w:r>
              <w:t>29</w:t>
            </w:r>
          </w:p>
        </w:tc>
      </w:tr>
      <w:tr w:rsidR="00F222F6" w:rsidTr="00567E44">
        <w:trPr>
          <w:jc w:val="center"/>
        </w:trPr>
        <w:tc>
          <w:tcPr>
            <w:tcW w:w="1693" w:type="dxa"/>
            <w:vAlign w:val="center"/>
          </w:tcPr>
          <w:p w:rsidR="00F222F6" w:rsidRDefault="00F222F6" w:rsidP="00567E44">
            <w:pPr>
              <w:pStyle w:val="TAC"/>
            </w:pPr>
            <w:r>
              <w:t>2</w:t>
            </w:r>
          </w:p>
        </w:tc>
        <w:tc>
          <w:tcPr>
            <w:tcW w:w="1704" w:type="dxa"/>
            <w:vAlign w:val="center"/>
          </w:tcPr>
          <w:p w:rsidR="00F222F6" w:rsidRDefault="00F222F6" w:rsidP="00567E44">
            <w:pPr>
              <w:pStyle w:val="TAC"/>
            </w:pPr>
            <w:r>
              <w:t>34</w:t>
            </w:r>
          </w:p>
        </w:tc>
      </w:tr>
    </w:tbl>
    <w:p w:rsidR="009250FD" w:rsidRDefault="009250FD" w:rsidP="009250FD">
      <w:pPr>
        <w:pStyle w:val="TH"/>
        <w:jc w:val="left"/>
        <w:rPr>
          <w:rFonts w:ascii="Times New Roman" w:eastAsia="Batang" w:hAnsi="Times New Roman"/>
          <w:b w:val="0"/>
          <w:lang w:eastAsia="en-US"/>
        </w:rPr>
      </w:pPr>
    </w:p>
    <w:p w:rsidR="009250FD" w:rsidRDefault="009250FD" w:rsidP="009250FD">
      <w:pPr>
        <w:pStyle w:val="TH"/>
        <w:jc w:val="left"/>
        <w:rPr>
          <w:rFonts w:ascii="Times New Roman" w:eastAsia="Batang" w:hAnsi="Times New Roman"/>
          <w:b w:val="0"/>
          <w:lang w:eastAsia="en-US"/>
        </w:rPr>
      </w:pPr>
      <w:r w:rsidRPr="00522504">
        <w:rPr>
          <w:rFonts w:ascii="Times New Roman" w:eastAsia="Batang" w:hAnsi="Times New Roman"/>
          <w:b w:val="0"/>
          <w:lang w:eastAsia="en-US"/>
        </w:rPr>
        <w:t xml:space="preserve">In selecting the root indices u in Table 1, it was taken care that u1 + u2 = N, where N=63 is the length of the Zadoff-Chu sequence (including the DC component).  Here ui corresponds to </w:t>
      </w:r>
      <m:oMath>
        <m:r>
          <m:rPr>
            <m:sty m:val="b"/>
          </m:rPr>
          <w:rPr>
            <w:rFonts w:ascii="Cambria Math" w:eastAsia="Batang" w:hAnsi="Cambria Math"/>
            <w:lang w:eastAsia="en-US"/>
          </w:rPr>
          <m:t>i=</m:t>
        </m:r>
        <m:sSubSup>
          <m:sSubSupPr>
            <m:ctrlPr>
              <w:rPr>
                <w:rFonts w:ascii="Cambria Math" w:eastAsia="Batang" w:hAnsi="Cambria Math"/>
                <w:b w:val="0"/>
                <w:lang w:eastAsia="en-US"/>
              </w:rPr>
            </m:ctrlPr>
          </m:sSubSupPr>
          <m:e>
            <m:r>
              <m:rPr>
                <m:sty m:val="b"/>
              </m:rPr>
              <w:rPr>
                <w:rFonts w:ascii="Cambria Math" w:eastAsia="Batang" w:hAnsi="Cambria Math"/>
                <w:lang w:eastAsia="en-US"/>
              </w:rPr>
              <m:t>N</m:t>
            </m:r>
          </m:e>
          <m:sub>
            <m:r>
              <m:rPr>
                <m:sty m:val="b"/>
              </m:rPr>
              <w:rPr>
                <w:rFonts w:ascii="Cambria Math" w:eastAsia="Batang" w:hAnsi="Cambria Math"/>
                <w:lang w:eastAsia="en-US"/>
              </w:rPr>
              <m:t>ID</m:t>
            </m:r>
          </m:sub>
          <m:sup>
            <m:d>
              <m:dPr>
                <m:ctrlPr>
                  <w:rPr>
                    <w:rFonts w:ascii="Cambria Math" w:eastAsia="Batang" w:hAnsi="Cambria Math"/>
                    <w:b w:val="0"/>
                    <w:lang w:eastAsia="en-US"/>
                  </w:rPr>
                </m:ctrlPr>
              </m:dPr>
              <m:e>
                <m:r>
                  <m:rPr>
                    <m:sty m:val="b"/>
                  </m:rPr>
                  <w:rPr>
                    <w:rFonts w:ascii="Cambria Math" w:eastAsia="Batang" w:hAnsi="Cambria Math"/>
                    <w:lang w:eastAsia="en-US"/>
                  </w:rPr>
                  <m:t>2</m:t>
                </m:r>
              </m:e>
            </m:d>
          </m:sup>
        </m:sSubSup>
      </m:oMath>
      <w:r w:rsidRPr="00522504">
        <w:rPr>
          <w:rFonts w:ascii="Times New Roman" w:eastAsia="Batang" w:hAnsi="Times New Roman"/>
          <w:b w:val="0"/>
          <w:lang w:eastAsia="en-US"/>
        </w:rPr>
        <w:t xml:space="preserve"> i.e. u1 = 29 and u2=34. With this relationship, the resulting time-domain waveform of the PSS(u2) is a complex conjugate of the PSS(u1), i.e., the sequences have time-domain complex conjugate symmetry.  This allows ~33% complexity reduction in PSS detection because the correlation between the received signal and the third PSS can be obtained from the correlation with the second PSS and thus two PSSs can be detected with a single correlator. Thus when selecting auxiliary PSS, the root indices are still preferred to satisfy u1 + u2 = N. It is important to make sure that the resulting sequences with the new indices have good cross correlation properties with the existing Zadoff-Chu sequence. </w:t>
      </w:r>
    </w:p>
    <w:p w:rsidR="00F222F6" w:rsidRDefault="00F222F6" w:rsidP="00F222F6"/>
    <w:p w:rsidR="009250FD" w:rsidRPr="009250FD" w:rsidRDefault="009250FD" w:rsidP="009250FD">
      <w:pPr>
        <w:pStyle w:val="TH"/>
        <w:jc w:val="left"/>
        <w:rPr>
          <w:rFonts w:ascii="Times New Roman" w:eastAsia="Batang" w:hAnsi="Times New Roman"/>
          <w:b w:val="0"/>
          <w:lang w:eastAsia="en-US"/>
        </w:rPr>
      </w:pPr>
      <w:r w:rsidRPr="00522504">
        <w:rPr>
          <w:rFonts w:ascii="Times New Roman" w:eastAsia="Batang" w:hAnsi="Times New Roman"/>
          <w:b w:val="0"/>
          <w:lang w:eastAsia="en-US"/>
        </w:rPr>
        <w:lastRenderedPageBreak/>
        <w:t>In Table 2, three indices u</w:t>
      </w:r>
      <w:r w:rsidRPr="00522504">
        <w:rPr>
          <w:rFonts w:ascii="Times New Roman" w:eastAsia="Batang" w:hAnsi="Times New Roman"/>
          <w:b w:val="0"/>
          <w:lang w:eastAsia="en-US"/>
        </w:rPr>
        <w:sym w:font="Symbol" w:char="F0A2"/>
      </w:r>
      <w:r w:rsidRPr="00522504">
        <w:rPr>
          <w:rFonts w:ascii="Times New Roman" w:eastAsia="Batang" w:hAnsi="Times New Roman"/>
          <w:b w:val="0"/>
          <w:lang w:eastAsia="en-US"/>
        </w:rPr>
        <w:t xml:space="preserve">i  are proposed, one for each ui, i.e., there is a one-to-one mapping between each existing Zadoff-Chu sequence of PSS and the auxiliary sequence. Thus for a cell with </w:t>
      </w:r>
      <w:proofErr w:type="gramStart"/>
      <w:r w:rsidRPr="00522504">
        <w:rPr>
          <w:rFonts w:ascii="Times New Roman" w:eastAsia="Batang" w:hAnsi="Times New Roman"/>
          <w:b w:val="0"/>
          <w:lang w:eastAsia="en-US"/>
        </w:rPr>
        <w:t xml:space="preserve">ID </w:t>
      </w:r>
      <m:oMath>
        <w:proofErr w:type="gramEnd"/>
        <m:sSubSup>
          <m:sSubSupPr>
            <m:ctrlPr>
              <w:rPr>
                <w:rFonts w:ascii="Cambria Math" w:eastAsia="Batang" w:hAnsi="Cambria Math"/>
                <w:b w:val="0"/>
                <w:lang w:eastAsia="en-US"/>
              </w:rPr>
            </m:ctrlPr>
          </m:sSubSupPr>
          <m:e>
            <m:r>
              <m:rPr>
                <m:sty m:val="b"/>
              </m:rPr>
              <w:rPr>
                <w:rFonts w:ascii="Cambria Math" w:eastAsia="Batang" w:hAnsi="Cambria Math"/>
                <w:lang w:eastAsia="en-US"/>
              </w:rPr>
              <m:t>N</m:t>
            </m:r>
          </m:e>
          <m:sub>
            <m:r>
              <m:rPr>
                <m:sty m:val="b"/>
              </m:rPr>
              <w:rPr>
                <w:rFonts w:ascii="Cambria Math" w:eastAsia="Batang" w:hAnsi="Cambria Math"/>
                <w:lang w:eastAsia="en-US"/>
              </w:rPr>
              <m:t>ID</m:t>
            </m:r>
          </m:sub>
          <m:sup>
            <m:d>
              <m:dPr>
                <m:ctrlPr>
                  <w:rPr>
                    <w:rFonts w:ascii="Cambria Math" w:eastAsia="Batang" w:hAnsi="Cambria Math"/>
                    <w:b w:val="0"/>
                    <w:lang w:eastAsia="en-US"/>
                  </w:rPr>
                </m:ctrlPr>
              </m:dPr>
              <m:e>
                <m:r>
                  <m:rPr>
                    <m:sty m:val="b"/>
                  </m:rPr>
                  <w:rPr>
                    <w:rFonts w:ascii="Cambria Math" w:eastAsia="Batang" w:hAnsi="Cambria Math"/>
                    <w:lang w:eastAsia="en-US"/>
                  </w:rPr>
                  <m:t>2</m:t>
                </m:r>
              </m:e>
            </m:d>
          </m:sup>
        </m:sSubSup>
        <m:r>
          <m:rPr>
            <m:sty m:val="b"/>
          </m:rPr>
          <w:rPr>
            <w:rFonts w:ascii="Cambria Math" w:eastAsia="Batang" w:hAnsi="Cambria Math"/>
            <w:lang w:eastAsia="en-US"/>
          </w:rPr>
          <m:t>=i</m:t>
        </m:r>
      </m:oMath>
      <w:r w:rsidRPr="00522504">
        <w:rPr>
          <w:rFonts w:ascii="Times New Roman" w:eastAsia="Batang" w:hAnsi="Times New Roman"/>
          <w:b w:val="0"/>
          <w:lang w:eastAsia="en-US"/>
        </w:rPr>
        <w:t>, two PSS sequences are used, with the existing PSS have index ui, and the auxiliary PSS have index u</w:t>
      </w:r>
      <w:r w:rsidRPr="00522504">
        <w:rPr>
          <w:rFonts w:ascii="Times New Roman" w:eastAsia="Batang" w:hAnsi="Times New Roman"/>
          <w:b w:val="0"/>
          <w:lang w:eastAsia="en-US"/>
        </w:rPr>
        <w:sym w:font="Symbol" w:char="F0A2"/>
      </w:r>
      <w:r w:rsidRPr="00522504">
        <w:rPr>
          <w:rFonts w:ascii="Times New Roman" w:eastAsia="Batang" w:hAnsi="Times New Roman"/>
          <w:b w:val="0"/>
          <w:lang w:eastAsia="en-US"/>
        </w:rPr>
        <w:t xml:space="preserve">i. Detection of the auxiliary PSS will provide </w:t>
      </w:r>
      <w:r w:rsidRPr="00522504">
        <w:rPr>
          <w:rFonts w:ascii="Times New Roman" w:eastAsia="Batang" w:hAnsi="Times New Roman"/>
          <w:b w:val="0"/>
          <w:lang w:eastAsia="en-US"/>
        </w:rPr>
        <w:object w:dxaOrig="420" w:dyaOrig="340">
          <v:shape id="_x0000_i1031" type="#_x0000_t75" style="width:21.3pt;height:16.3pt" o:ole="">
            <v:imagedata r:id="rId16" o:title=""/>
          </v:shape>
          <o:OLEObject Type="Embed" ProgID="Equation.3" ShapeID="_x0000_i1031" DrawAspect="Content" ObjectID="_1374867183" r:id="rId19"/>
        </w:object>
      </w:r>
      <w:r w:rsidRPr="00522504">
        <w:rPr>
          <w:rFonts w:ascii="Times New Roman" w:eastAsia="Batang" w:hAnsi="Times New Roman"/>
          <w:b w:val="0"/>
          <w:lang w:eastAsia="en-US"/>
        </w:rPr>
        <w:t xml:space="preserve"> without any need to detect the existing PSS. </w:t>
      </w:r>
    </w:p>
    <w:p w:rsidR="00F222F6" w:rsidRDefault="00F222F6" w:rsidP="00F222F6">
      <w:pPr>
        <w:pStyle w:val="TH"/>
      </w:pPr>
      <w:r>
        <w:t>Table 2: Root indices for the auxiliary primary synchronization signal.</w:t>
      </w:r>
    </w:p>
    <w:tbl>
      <w:tblPr>
        <w:tblW w:w="5060" w:type="dxa"/>
        <w:jc w:val="center"/>
        <w:tblInd w:w="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1687"/>
        <w:gridCol w:w="1692"/>
      </w:tblGrid>
      <w:tr w:rsidR="00F222F6" w:rsidTr="00567E44">
        <w:trPr>
          <w:jc w:val="center"/>
        </w:trPr>
        <w:tc>
          <w:tcPr>
            <w:tcW w:w="1681" w:type="dxa"/>
          </w:tcPr>
          <w:p w:rsidR="00F222F6" w:rsidRDefault="00F222F6" w:rsidP="00567E44">
            <w:pPr>
              <w:pStyle w:val="TAH"/>
            </w:pPr>
            <w:r w:rsidRPr="00423FA0">
              <w:rPr>
                <w:position w:val="-10"/>
              </w:rPr>
              <w:object w:dxaOrig="420" w:dyaOrig="340">
                <v:shape id="_x0000_i1032" type="#_x0000_t75" style="width:21.3pt;height:16.3pt" o:ole="">
                  <v:imagedata r:id="rId16" o:title=""/>
                </v:shape>
                <o:OLEObject Type="Embed" ProgID="Equation.3" ShapeID="_x0000_i1032" DrawAspect="Content" ObjectID="_1374867184" r:id="rId20"/>
              </w:object>
            </w:r>
          </w:p>
        </w:tc>
        <w:tc>
          <w:tcPr>
            <w:tcW w:w="1687" w:type="dxa"/>
          </w:tcPr>
          <w:p w:rsidR="00F222F6" w:rsidRDefault="00F222F6" w:rsidP="00567E44">
            <w:pPr>
              <w:pStyle w:val="TAH"/>
            </w:pPr>
            <w:r>
              <w:t xml:space="preserve">Root index </w:t>
            </w:r>
            <w:r w:rsidRPr="00223A39">
              <w:rPr>
                <w:position w:val="-6"/>
              </w:rPr>
              <w:object w:dxaOrig="180" w:dyaOrig="200">
                <v:shape id="_x0000_i1033" type="#_x0000_t75" style="width:10pt;height:11.9pt" o:ole="">
                  <v:imagedata r:id="rId14" o:title=""/>
                </v:shape>
                <o:OLEObject Type="Embed" ProgID="Equation.3" ShapeID="_x0000_i1033" DrawAspect="Content" ObjectID="_1374867185" r:id="rId21"/>
              </w:object>
            </w:r>
          </w:p>
        </w:tc>
        <w:tc>
          <w:tcPr>
            <w:tcW w:w="1692" w:type="dxa"/>
          </w:tcPr>
          <w:p w:rsidR="00F222F6" w:rsidRDefault="00F222F6" w:rsidP="00567E44">
            <w:pPr>
              <w:pStyle w:val="TAH"/>
            </w:pPr>
            <w:r>
              <w:t xml:space="preserve">Auxiliary Root index </w:t>
            </w:r>
            <w:r w:rsidRPr="00223A39">
              <w:rPr>
                <w:position w:val="-6"/>
              </w:rPr>
              <w:object w:dxaOrig="260" w:dyaOrig="279">
                <v:shape id="_x0000_i1034" type="#_x0000_t75" style="width:12.5pt;height:15.05pt" o:ole="">
                  <v:imagedata r:id="rId22" o:title=""/>
                </v:shape>
                <o:OLEObject Type="Embed" ProgID="Equation.3" ShapeID="_x0000_i1034" DrawAspect="Content" ObjectID="_1374867186" r:id="rId23"/>
              </w:object>
            </w:r>
          </w:p>
        </w:tc>
      </w:tr>
      <w:tr w:rsidR="00F222F6" w:rsidTr="00567E44">
        <w:trPr>
          <w:jc w:val="center"/>
        </w:trPr>
        <w:tc>
          <w:tcPr>
            <w:tcW w:w="1681" w:type="dxa"/>
            <w:vAlign w:val="center"/>
          </w:tcPr>
          <w:p w:rsidR="00F222F6" w:rsidRDefault="00F222F6" w:rsidP="00567E44">
            <w:pPr>
              <w:pStyle w:val="TAC"/>
            </w:pPr>
            <w:r>
              <w:t>0</w:t>
            </w:r>
          </w:p>
        </w:tc>
        <w:tc>
          <w:tcPr>
            <w:tcW w:w="1687" w:type="dxa"/>
            <w:vAlign w:val="center"/>
          </w:tcPr>
          <w:p w:rsidR="00F222F6" w:rsidRDefault="00F222F6" w:rsidP="00567E44">
            <w:pPr>
              <w:pStyle w:val="TAC"/>
            </w:pPr>
            <w:r>
              <w:t>25</w:t>
            </w:r>
          </w:p>
        </w:tc>
        <w:tc>
          <w:tcPr>
            <w:tcW w:w="1692" w:type="dxa"/>
            <w:vAlign w:val="center"/>
          </w:tcPr>
          <w:p w:rsidR="00F222F6" w:rsidRDefault="00012C17" w:rsidP="00727C02">
            <w:pPr>
              <w:pStyle w:val="TAC"/>
            </w:pPr>
            <w:r w:rsidRPr="00727C02">
              <w:rPr>
                <w:position w:val="-12"/>
              </w:rPr>
              <w:object w:dxaOrig="260" w:dyaOrig="360">
                <v:shape id="_x0000_i1035" type="#_x0000_t75" style="width:12.5pt;height:19.4pt" o:ole="">
                  <v:imagedata r:id="rId24" o:title=""/>
                </v:shape>
                <o:OLEObject Type="Embed" ProgID="Equation.3" ShapeID="_x0000_i1035" DrawAspect="Content" ObjectID="_1374867187" r:id="rId25"/>
              </w:object>
            </w:r>
          </w:p>
        </w:tc>
      </w:tr>
      <w:tr w:rsidR="00F222F6" w:rsidTr="00567E44">
        <w:trPr>
          <w:jc w:val="center"/>
        </w:trPr>
        <w:tc>
          <w:tcPr>
            <w:tcW w:w="1681" w:type="dxa"/>
            <w:vAlign w:val="center"/>
          </w:tcPr>
          <w:p w:rsidR="00F222F6" w:rsidRDefault="00F222F6" w:rsidP="00567E44">
            <w:pPr>
              <w:pStyle w:val="TAC"/>
            </w:pPr>
            <w:r>
              <w:t>1</w:t>
            </w:r>
          </w:p>
        </w:tc>
        <w:tc>
          <w:tcPr>
            <w:tcW w:w="1687" w:type="dxa"/>
            <w:vAlign w:val="center"/>
          </w:tcPr>
          <w:p w:rsidR="00F222F6" w:rsidRDefault="00F222F6" w:rsidP="00567E44">
            <w:pPr>
              <w:pStyle w:val="TAC"/>
            </w:pPr>
            <w:r>
              <w:t>29</w:t>
            </w:r>
          </w:p>
        </w:tc>
        <w:tc>
          <w:tcPr>
            <w:tcW w:w="1692" w:type="dxa"/>
            <w:vAlign w:val="center"/>
          </w:tcPr>
          <w:p w:rsidR="00F222F6" w:rsidRDefault="00012C17" w:rsidP="00567E44">
            <w:pPr>
              <w:pStyle w:val="TAC"/>
            </w:pPr>
            <w:r w:rsidRPr="00727C02">
              <w:rPr>
                <w:position w:val="-10"/>
              </w:rPr>
              <w:object w:dxaOrig="240" w:dyaOrig="340">
                <v:shape id="_x0000_i1036" type="#_x0000_t75" style="width:11.25pt;height:18.8pt" o:ole="">
                  <v:imagedata r:id="rId26" o:title=""/>
                </v:shape>
                <o:OLEObject Type="Embed" ProgID="Equation.3" ShapeID="_x0000_i1036" DrawAspect="Content" ObjectID="_1374867188" r:id="rId27"/>
              </w:object>
            </w:r>
          </w:p>
        </w:tc>
      </w:tr>
      <w:tr w:rsidR="00F222F6" w:rsidTr="00567E44">
        <w:trPr>
          <w:jc w:val="center"/>
        </w:trPr>
        <w:tc>
          <w:tcPr>
            <w:tcW w:w="1681" w:type="dxa"/>
            <w:vAlign w:val="center"/>
          </w:tcPr>
          <w:p w:rsidR="00F222F6" w:rsidRDefault="00F222F6" w:rsidP="00567E44">
            <w:pPr>
              <w:pStyle w:val="TAC"/>
            </w:pPr>
            <w:r>
              <w:t>2</w:t>
            </w:r>
          </w:p>
        </w:tc>
        <w:tc>
          <w:tcPr>
            <w:tcW w:w="1687" w:type="dxa"/>
            <w:vAlign w:val="center"/>
          </w:tcPr>
          <w:p w:rsidR="00F222F6" w:rsidRDefault="00F222F6" w:rsidP="00567E44">
            <w:pPr>
              <w:pStyle w:val="TAC"/>
            </w:pPr>
            <w:r>
              <w:t>34</w:t>
            </w:r>
          </w:p>
        </w:tc>
        <w:tc>
          <w:tcPr>
            <w:tcW w:w="1692" w:type="dxa"/>
            <w:vAlign w:val="center"/>
          </w:tcPr>
          <w:p w:rsidR="00F222F6" w:rsidRDefault="00012C17" w:rsidP="00567E44">
            <w:pPr>
              <w:pStyle w:val="TAC"/>
            </w:pPr>
            <w:r w:rsidRPr="00727C02">
              <w:rPr>
                <w:position w:val="-10"/>
              </w:rPr>
              <w:object w:dxaOrig="260" w:dyaOrig="340">
                <v:shape id="_x0000_i1037" type="#_x0000_t75" style="width:12.5pt;height:18.8pt" o:ole="">
                  <v:imagedata r:id="rId28" o:title=""/>
                </v:shape>
                <o:OLEObject Type="Embed" ProgID="Equation.3" ShapeID="_x0000_i1037" DrawAspect="Content" ObjectID="_1374867189" r:id="rId29"/>
              </w:object>
            </w:r>
          </w:p>
        </w:tc>
      </w:tr>
    </w:tbl>
    <w:p w:rsidR="00F222F6" w:rsidRDefault="00F222F6" w:rsidP="00F222F6">
      <w:r>
        <w:t xml:space="preserve">Alternatively, only one </w:t>
      </w:r>
      <w:r w:rsidRPr="009C4C1A">
        <w:t>auxiliary</w:t>
      </w:r>
      <w:r>
        <w:t xml:space="preserve"> PSS sequence may be configured for the victim cell, as long as there is only one victim cell transmitting the auxiliary PSS in a coverage area. For example, if a pico cell is surrounded by multiple macro cells, one auxiliary PSS is configured by the pico cell. This scenario is possible: (a) if the existing PSS signalling can be relied on for detecting</w:t>
      </w:r>
      <w:r w:rsidRPr="0017251F">
        <w:rPr>
          <w:position w:val="-10"/>
        </w:rPr>
        <w:object w:dxaOrig="420" w:dyaOrig="340">
          <v:shape id="_x0000_i1038" type="#_x0000_t75" style="width:21.3pt;height:16.3pt" o:ole="">
            <v:imagedata r:id="rId16" o:title=""/>
          </v:shape>
          <o:OLEObject Type="Embed" ProgID="Equation.3" ShapeID="_x0000_i1038" DrawAspect="Content" ObjectID="_1374867190" r:id="rId30"/>
        </w:object>
      </w:r>
      <w:r>
        <w:t xml:space="preserve">after correct time and frequency synchronization is provided; or (b) the victim cell is the neighbouring cell and the serving cell gives cell ID information of the victim cell so that the UE only needs the auxiliary PSS sequence to detect the time and frequency synchronization. Using one sequence for the auxiliary PSS, the auxiliary PSS only provide the time and frequency synchronization. This helps to reduce the receiver complexities of the new UE. Any sequence with good properties other than root index 25/29/34 could be used for this purpose. It is preferable to select a Zadoff-Chu sequence with a root index </w:t>
      </w:r>
      <m:oMath>
        <m:r>
          <w:rPr>
            <w:rFonts w:ascii="Cambria Math" w:hAnsi="Cambria Math"/>
          </w:rPr>
          <m:t>u'</m:t>
        </m:r>
      </m:oMath>
      <w:r>
        <w:t xml:space="preserve"> such that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i</m:t>
                </m:r>
              </m:sub>
            </m:sSub>
          </m:e>
        </m:d>
      </m:oMath>
      <w:r>
        <w:t xml:space="preserve"> is prime number to 63, where </w:t>
      </w:r>
      <m:oMath>
        <m:sSub>
          <m:sSubPr>
            <m:ctrlPr>
              <w:rPr>
                <w:rFonts w:ascii="Cambria Math" w:hAnsi="Cambria Math"/>
                <w:i/>
              </w:rPr>
            </m:ctrlPr>
          </m:sSubPr>
          <m:e>
            <m:r>
              <w:rPr>
                <w:rFonts w:ascii="Cambria Math" w:hAnsi="Cambria Math"/>
              </w:rPr>
              <m:t>u</m:t>
            </m:r>
          </m:e>
          <m:sub>
            <m:r>
              <w:rPr>
                <w:rFonts w:ascii="Cambria Math" w:hAnsi="Cambria Math"/>
              </w:rPr>
              <m:t>i</m:t>
            </m:r>
          </m:sub>
        </m:sSub>
      </m:oMath>
      <w:r>
        <w:t xml:space="preserve"> is the root index of PSS transmitted by cell-</w:t>
      </w:r>
      <m:oMath>
        <m:r>
          <w:rPr>
            <w:rFonts w:ascii="Cambria Math" w:hAnsi="Cambria Math"/>
          </w:rPr>
          <m:t>i</m:t>
        </m:r>
      </m:oMath>
      <w:r>
        <w:t xml:space="preserve">. Further, on the UE side, the UE may monitor the auxiliary PSS sequence </w:t>
      </w:r>
      <w:r w:rsidR="0032458B">
        <w:t xml:space="preserve">only </w:t>
      </w:r>
      <w:r>
        <w:t xml:space="preserve">when certain conditions are met or eNB could signal to the UE. For example, in the normal operations, the UE could perform Rel8/9/10 PSS/SSS detection. When the UE is close to the range expansion area or close to the femto cells, the UE may start to detect this new sequence. </w:t>
      </w:r>
    </w:p>
    <w:p w:rsidR="00F222F6" w:rsidRPr="001021AD" w:rsidRDefault="00F222F6" w:rsidP="00F222F6">
      <w:pPr>
        <w:pStyle w:val="Heading3"/>
        <w:rPr>
          <w:kern w:val="32"/>
        </w:rPr>
      </w:pPr>
      <w:r>
        <w:rPr>
          <w:kern w:val="32"/>
        </w:rPr>
        <w:t xml:space="preserve"> Placement of Auxiliary PSS/SSS</w:t>
      </w:r>
    </w:p>
    <w:p w:rsidR="00F222F6" w:rsidRDefault="00F222F6" w:rsidP="00F222F6">
      <w:r>
        <w:t xml:space="preserve"> Since the differentiation between the auxiliary synchronization signal and the existing synchronization signals is achieved via definition of the sequences, the auxiliary synchronization signal can keep the same relative position as the existing synchronization signals. This is illustrated in </w:t>
      </w:r>
      <w:r w:rsidR="004B4971">
        <w:fldChar w:fldCharType="begin"/>
      </w:r>
      <w:r>
        <w:instrText xml:space="preserve"> REF _Ref297759196 \h </w:instrText>
      </w:r>
      <w:r w:rsidR="004B4971">
        <w:fldChar w:fldCharType="separate"/>
      </w:r>
      <w:r w:rsidR="00387E86">
        <w:t xml:space="preserve">Figure </w:t>
      </w:r>
      <w:r w:rsidR="00387E86">
        <w:rPr>
          <w:noProof/>
        </w:rPr>
        <w:t>2</w:t>
      </w:r>
      <w:r w:rsidR="004B4971">
        <w:fldChar w:fldCharType="end"/>
      </w:r>
      <w:r>
        <w:t xml:space="preserve">, where 3 options to locate the auxiliary PSS and SSS are shown.  </w:t>
      </w:r>
    </w:p>
    <w:p w:rsidR="00F222F6" w:rsidRDefault="00F222F6" w:rsidP="00F222F6">
      <w:pPr>
        <w:pStyle w:val="ListParagraph"/>
        <w:numPr>
          <w:ilvl w:val="0"/>
          <w:numId w:val="12"/>
        </w:numPr>
        <w:spacing w:after="120"/>
        <w:contextualSpacing/>
      </w:pPr>
      <w:r>
        <w:t xml:space="preserve">In option (a), the auxiliary synchronization signals are located in the OFDM symbols #5 and #6 of slot #1.  </w:t>
      </w:r>
    </w:p>
    <w:p w:rsidR="00F222F6" w:rsidRDefault="00F222F6" w:rsidP="00F222F6">
      <w:pPr>
        <w:pStyle w:val="ListParagraph"/>
        <w:numPr>
          <w:ilvl w:val="0"/>
          <w:numId w:val="12"/>
        </w:numPr>
        <w:spacing w:after="120"/>
        <w:contextualSpacing/>
      </w:pPr>
      <w:r>
        <w:t xml:space="preserve">In option (b), they are located in the OFM symbols #2 and #3 in slot #11.  </w:t>
      </w:r>
    </w:p>
    <w:p w:rsidR="00F222F6" w:rsidRDefault="00F222F6" w:rsidP="00F222F6">
      <w:pPr>
        <w:pStyle w:val="ListParagraph"/>
        <w:numPr>
          <w:ilvl w:val="0"/>
          <w:numId w:val="12"/>
        </w:numPr>
        <w:spacing w:after="120"/>
        <w:contextualSpacing/>
      </w:pPr>
      <w:r>
        <w:t xml:space="preserve">In option (c), they are located in the OFM symbols #5 and #6 in slot #11.   </w:t>
      </w:r>
    </w:p>
    <w:p w:rsidR="00012C17" w:rsidRDefault="00F222F6" w:rsidP="00F222F6">
      <w:r>
        <w:t>As discussed, the auxiliary PSS and SSS can keep their relative position, where the auxiliary SSS is right before the auxiliary PSS</w:t>
      </w:r>
      <w:r w:rsidR="00012C17">
        <w:t xml:space="preserve"> in FDD, and the auxiliary SSS is 3 OFDM symbols before the auxiliary PSS for TDD</w:t>
      </w:r>
      <w:r>
        <w:t>.</w:t>
      </w:r>
      <w:r w:rsidR="00012C17">
        <w:t xml:space="preserve"> </w:t>
      </w:r>
      <w:r>
        <w:t xml:space="preserve"> </w:t>
      </w:r>
      <w:r w:rsidR="00012C17">
        <w:t>Maintaining the relative position of the auxiliary PSS and SSS as before has the added advantage of allowing the UE to differentiate between FDD and TDD during initial cell search, as is the case in the existing design.</w:t>
      </w:r>
    </w:p>
    <w:p w:rsidR="00F222F6" w:rsidRDefault="00F222F6" w:rsidP="00F222F6">
      <w:r>
        <w:t xml:space="preserve">Additionally, the three options (a)-(c) </w:t>
      </w:r>
      <w:r w:rsidR="00012C17">
        <w:t xml:space="preserve">exemplified for FDD </w:t>
      </w:r>
      <w:r>
        <w:t xml:space="preserve">are chosen so that the auxiliary synchronization signals are located in the same subframes (i.e., subframe #0 or subframe #5) as the existing synchronization signals. While only one set of auxiliary PSS/SSS is added in one radio frame in </w:t>
      </w:r>
      <w:r w:rsidR="004B4971">
        <w:fldChar w:fldCharType="begin"/>
      </w:r>
      <w:r>
        <w:instrText xml:space="preserve"> REF _Ref297759196 \h </w:instrText>
      </w:r>
      <w:r w:rsidR="004B4971">
        <w:fldChar w:fldCharType="separate"/>
      </w:r>
      <w:r w:rsidR="00387E86">
        <w:t xml:space="preserve">Figure </w:t>
      </w:r>
      <w:r w:rsidR="00387E86">
        <w:rPr>
          <w:noProof/>
        </w:rPr>
        <w:t>2</w:t>
      </w:r>
      <w:r w:rsidR="004B4971">
        <w:fldChar w:fldCharType="end"/>
      </w:r>
      <w:r>
        <w:t xml:space="preserve">, it is also acceptable to define more auxiliary PSS/SSS instances if high detection reliability is desired. For example, two new sets of auxiliary PSS/SSS can be defined per radio frame, as illustrated in </w:t>
      </w:r>
      <w:r w:rsidR="004B4971">
        <w:fldChar w:fldCharType="begin"/>
      </w:r>
      <w:r>
        <w:instrText xml:space="preserve"> REF _Ref297761935 \h </w:instrText>
      </w:r>
      <w:r w:rsidR="004B4971">
        <w:fldChar w:fldCharType="separate"/>
      </w:r>
      <w:r w:rsidR="00387E86">
        <w:t xml:space="preserve">Figure </w:t>
      </w:r>
      <w:r w:rsidR="00387E86">
        <w:rPr>
          <w:noProof/>
        </w:rPr>
        <w:t>3</w:t>
      </w:r>
      <w:r w:rsidR="004B4971">
        <w:fldChar w:fldCharType="end"/>
      </w:r>
      <w:r>
        <w:t xml:space="preserve">, where new sequences for auxiliary PSS and/or SSS provide the differentiation from the existing PSS/SSS. In the example of Figure </w:t>
      </w:r>
      <w:r w:rsidR="005C2C37">
        <w:t>2</w:t>
      </w:r>
      <w:r>
        <w:rPr>
          <w:noProof/>
        </w:rPr>
        <w:t xml:space="preserve">, </w:t>
      </w:r>
      <w:r>
        <w:t>the auxiliary synchronization signals are located in the OFDM symbo</w:t>
      </w:r>
      <w:r w:rsidR="005C2C37">
        <w:t xml:space="preserve">ls #5 and #6 of slot #1 and #11. </w:t>
      </w:r>
      <w:r>
        <w:t xml:space="preserve">Analogous to FDD, similar arrangements </w:t>
      </w:r>
      <w:r w:rsidR="005C2C37">
        <w:t xml:space="preserve">could </w:t>
      </w:r>
      <w:r>
        <w:t>exist for TDD</w:t>
      </w:r>
      <w:r w:rsidR="005C2C37">
        <w:t>.</w:t>
      </w:r>
    </w:p>
    <w:p w:rsidR="00012C17" w:rsidRDefault="00012C17" w:rsidP="00012C17">
      <w:r>
        <w:t xml:space="preserve">The auxiliary PSS/SSS occupies REs that normally contain PDSCH, and so PDSCH transmission or reception </w:t>
      </w:r>
      <w:r w:rsidR="004408AB">
        <w:t xml:space="preserve">may need to </w:t>
      </w:r>
      <w:r>
        <w:t xml:space="preserve">be adjusted. </w:t>
      </w:r>
      <w:r w:rsidR="004408AB">
        <w:t xml:space="preserve">The simpliest approach is to avoid allocating PDSCH to the RBs that contains auxiliary </w:t>
      </w:r>
      <w:r w:rsidR="004408AB">
        <w:lastRenderedPageBreak/>
        <w:t>PSS/SSS. This has little impact to the cell capacity. For example, in Figure 2 (a), the six RBs that carry the auxiliary PSS/SSS have already taken up by PBCH and have little room for PDSCH. If the RBs carrying auxiliary PSS/SSS still need to be used for PDSCH, t</w:t>
      </w:r>
      <w:r>
        <w:t>his can be achieved by either replacing REs containing PDSCH with auxiliary PSS/SSS (“puncturing the REs in the PDSCH”), or by increasing the code rate of PDSCH data such that it will fit in the subframe without occupying the REs containing auxiliary PSS/SSS (“rate-matching the PDSCH around the colliding REs”). New UEs can use the rate matched approach, since they can adjust their rate matching to use only the valid REs containing PDSCH. Legacy UEs can only use the punctured approach, since they will not be aware of auxiliary PSS/SSS.  While puncturing will have worse performance than rate matching, the eNB may use a conservative MCS to achieve an acceptable reception error rate.</w:t>
      </w:r>
    </w:p>
    <w:p w:rsidR="00F222F6" w:rsidRDefault="00012C17" w:rsidP="00F222F6">
      <w:r>
        <w:t>Note that, while not shown in the figures, CSI-RS can occupy the same OFDM symbols as the auxiliary synchronization signals.  Since the period of the auxiliary synchronization signal is a multiple of 5 subframes, this can be avoided by configuring CSI-RS to occupy different subframes than the auxiliary synchronization signal.</w:t>
      </w:r>
    </w:p>
    <w:p w:rsidR="00F222F6" w:rsidRDefault="00387E86" w:rsidP="00F222F6">
      <w:pPr>
        <w:jc w:val="center"/>
      </w:pPr>
      <w:r>
        <w:object w:dxaOrig="7161" w:dyaOrig="8571">
          <v:shape id="_x0000_i1039" type="#_x0000_t75" style="width:355.6pt;height:338.1pt" o:ole="">
            <v:imagedata r:id="rId31" o:title=""/>
          </v:shape>
          <o:OLEObject Type="Embed" ProgID="Visio.Drawing.11" ShapeID="_x0000_i1039" DrawAspect="Content" ObjectID="_1374867191" r:id="rId32"/>
        </w:object>
      </w:r>
    </w:p>
    <w:p w:rsidR="00F222F6" w:rsidRDefault="00F222F6" w:rsidP="00387E86">
      <w:pPr>
        <w:pStyle w:val="Caption"/>
        <w:jc w:val="center"/>
      </w:pPr>
      <w:bookmarkStart w:id="1" w:name="_Ref297759196"/>
      <w:r>
        <w:t xml:space="preserve">Figure </w:t>
      </w:r>
      <w:r w:rsidR="004B4971">
        <w:fldChar w:fldCharType="begin"/>
      </w:r>
      <w:r>
        <w:instrText xml:space="preserve"> SEQ Figure \* ARABIC </w:instrText>
      </w:r>
      <w:r w:rsidR="004B4971">
        <w:fldChar w:fldCharType="separate"/>
      </w:r>
      <w:r w:rsidR="00387E86">
        <w:rPr>
          <w:noProof/>
        </w:rPr>
        <w:t>2</w:t>
      </w:r>
      <w:r w:rsidR="004B4971">
        <w:fldChar w:fldCharType="end"/>
      </w:r>
      <w:bookmarkEnd w:id="1"/>
      <w:r>
        <w:t xml:space="preserve"> Auxiliary full PSS and SSS for FDD, assuming normal cyclic prefix.</w:t>
      </w:r>
    </w:p>
    <w:p w:rsidR="00F222F6" w:rsidRDefault="00387E86" w:rsidP="00F222F6">
      <w:pPr>
        <w:jc w:val="center"/>
      </w:pPr>
      <w:r>
        <w:object w:dxaOrig="6229" w:dyaOrig="2047">
          <v:shape id="_x0000_i1040" type="#_x0000_t75" style="width:311.8pt;height:80.75pt" o:ole="">
            <v:imagedata r:id="rId33" o:title=""/>
          </v:shape>
          <o:OLEObject Type="Embed" ProgID="Visio.Drawing.11" ShapeID="_x0000_i1040" DrawAspect="Content" ObjectID="_1374867192" r:id="rId34"/>
        </w:object>
      </w:r>
    </w:p>
    <w:p w:rsidR="00F222F6" w:rsidRDefault="00F222F6" w:rsidP="00F222F6">
      <w:pPr>
        <w:pStyle w:val="Caption"/>
        <w:jc w:val="center"/>
      </w:pPr>
      <w:bookmarkStart w:id="2" w:name="_Ref297761935"/>
      <w:r>
        <w:t xml:space="preserve">Figure </w:t>
      </w:r>
      <w:r w:rsidR="004B4971">
        <w:fldChar w:fldCharType="begin"/>
      </w:r>
      <w:r>
        <w:instrText xml:space="preserve"> SEQ Figure \* ARABIC </w:instrText>
      </w:r>
      <w:r w:rsidR="004B4971">
        <w:fldChar w:fldCharType="separate"/>
      </w:r>
      <w:r w:rsidR="00387E86">
        <w:rPr>
          <w:noProof/>
        </w:rPr>
        <w:t>3</w:t>
      </w:r>
      <w:r w:rsidR="004B4971">
        <w:fldChar w:fldCharType="end"/>
      </w:r>
      <w:bookmarkEnd w:id="2"/>
      <w:r>
        <w:t xml:space="preserve"> Two auxiliary full PSS and SSS per frame for FDD, assuming normal cyclic prefix.</w:t>
      </w:r>
    </w:p>
    <w:p w:rsidR="0031566D" w:rsidRDefault="0031566D" w:rsidP="0031566D"/>
    <w:p w:rsidR="00F222F6" w:rsidRDefault="00666183" w:rsidP="00666183">
      <w:pPr>
        <w:pStyle w:val="Heading2"/>
        <w:tabs>
          <w:tab w:val="clear" w:pos="2136"/>
        </w:tabs>
        <w:ind w:left="0" w:firstLine="24"/>
        <w:rPr>
          <w:kern w:val="32"/>
        </w:rPr>
      </w:pPr>
      <w:r>
        <w:rPr>
          <w:kern w:val="32"/>
        </w:rPr>
        <w:lastRenderedPageBreak/>
        <w:t>New Relative Position between Auxiliary PSS and SSS</w:t>
      </w:r>
    </w:p>
    <w:p w:rsidR="00666183" w:rsidRDefault="00666183" w:rsidP="00666183">
      <w:r>
        <w:t>Another way to avoid the confusion between the auxiliary PSS/SSS and existing PSS/SSS is to define the location of the auxiliary SSS relative to the auxiliary PSS to be different from the relative location of the existing PSS and SSS. For FDD, this means that the auxiliary SSS is not located right before the auxiliary PSS. For TDD, this means that the auxiliary SSS is not located 3 OFDM symbols ahead of the auxiliary PSS.  In this way, there is no need to introduce new sequences for either PSS or SSS. For the legacy UEs, after it detects the PSS, it will fail the detection of the SSS. Th</w:t>
      </w:r>
      <w:r w:rsidR="004408AB">
        <w:t>us</w:t>
      </w:r>
      <w:r>
        <w:t xml:space="preserve"> it will try to </w:t>
      </w:r>
      <w:r w:rsidR="004408AB">
        <w:t>synchronize to other symbols</w:t>
      </w:r>
      <w:r>
        <w:t xml:space="preserve">. This may increase the detection delay for the legacy UEs. </w:t>
      </w:r>
      <w:r w:rsidR="007F51A1">
        <w:t>O</w:t>
      </w:r>
      <w:r>
        <w:t xml:space="preserve">ne way to reduce this </w:t>
      </w:r>
      <w:r w:rsidR="007F51A1">
        <w:t xml:space="preserve">delay </w:t>
      </w:r>
      <w:r>
        <w:t xml:space="preserve">is to put the auxiliary PSS/SSS positions just after the legacy PSS/SSS so the legacy UEs could have high possibility to detect the legacy PSS/SSS first. For the new UEs, since the scenario of concern is high interference, it may be difficult to detect the legacy PSS/SSS so there is no delay concerns. </w:t>
      </w:r>
    </w:p>
    <w:p w:rsidR="00666183" w:rsidRDefault="00666183" w:rsidP="00666183">
      <w:r>
        <w:t xml:space="preserve">As an example, </w:t>
      </w:r>
      <w:r w:rsidR="004B4971">
        <w:fldChar w:fldCharType="begin"/>
      </w:r>
      <w:r>
        <w:instrText xml:space="preserve"> REF _Ref297759200 \h </w:instrText>
      </w:r>
      <w:r w:rsidR="004B4971">
        <w:fldChar w:fldCharType="separate"/>
      </w:r>
      <w:r w:rsidR="00387E86">
        <w:t xml:space="preserve">Figure </w:t>
      </w:r>
      <w:r w:rsidR="00387E86">
        <w:rPr>
          <w:noProof/>
        </w:rPr>
        <w:t>4</w:t>
      </w:r>
      <w:r w:rsidR="004B4971">
        <w:fldChar w:fldCharType="end"/>
      </w:r>
      <w:r>
        <w:t xml:space="preserve"> illustrates some options for FDD, where the relative position of SSS and PSS is chosen such that SSS is right after PSS (i.e., their relative position is swapped compared to </w:t>
      </w:r>
      <w:r w:rsidR="004B4971">
        <w:fldChar w:fldCharType="begin"/>
      </w:r>
      <w:r>
        <w:instrText xml:space="preserve"> REF _Ref297759196 \h </w:instrText>
      </w:r>
      <w:r w:rsidR="004B4971">
        <w:fldChar w:fldCharType="separate"/>
      </w:r>
      <w:r w:rsidR="00387E86">
        <w:t xml:space="preserve">Figure </w:t>
      </w:r>
      <w:r w:rsidR="00387E86">
        <w:rPr>
          <w:noProof/>
        </w:rPr>
        <w:t>2</w:t>
      </w:r>
      <w:r w:rsidR="004B4971">
        <w:fldChar w:fldCharType="end"/>
      </w:r>
      <w:r>
        <w:t>). Specifically,</w:t>
      </w:r>
    </w:p>
    <w:p w:rsidR="00666183" w:rsidRDefault="00666183" w:rsidP="00666183">
      <w:pPr>
        <w:pStyle w:val="ListParagraph"/>
        <w:numPr>
          <w:ilvl w:val="0"/>
          <w:numId w:val="12"/>
        </w:numPr>
        <w:spacing w:after="120"/>
        <w:contextualSpacing/>
      </w:pPr>
      <w:r>
        <w:t xml:space="preserve">In option (a), the auxiliary synchronization signals are located in the OFDM symbols #5 and #6 of slot #1, with PSS just ahead of SSS.  </w:t>
      </w:r>
    </w:p>
    <w:p w:rsidR="00666183" w:rsidRDefault="00666183" w:rsidP="00666183">
      <w:pPr>
        <w:pStyle w:val="ListParagraph"/>
        <w:numPr>
          <w:ilvl w:val="0"/>
          <w:numId w:val="12"/>
        </w:numPr>
        <w:spacing w:after="120"/>
        <w:contextualSpacing/>
      </w:pPr>
      <w:r>
        <w:t xml:space="preserve">In option (b), they are located in the OFM symbols #2 and #3 in slot #11, with PSS just ahead of SSS.  </w:t>
      </w:r>
    </w:p>
    <w:p w:rsidR="00666183" w:rsidRDefault="00666183" w:rsidP="00666183">
      <w:pPr>
        <w:pStyle w:val="ListParagraph"/>
        <w:numPr>
          <w:ilvl w:val="0"/>
          <w:numId w:val="12"/>
        </w:numPr>
        <w:spacing w:after="120"/>
        <w:contextualSpacing/>
      </w:pPr>
      <w:r>
        <w:t xml:space="preserve">In option (c), they are located in the OFM symbols #5 and #6 in slot #11, with PSS just ahead of SSS.   </w:t>
      </w:r>
    </w:p>
    <w:p w:rsidR="00666183" w:rsidRDefault="00666183" w:rsidP="00666183">
      <w:r>
        <w:t>It is straightforward to adopt other relative positions as well, such as SSS is two OFDM symbols before (or after) the PSS.</w:t>
      </w:r>
      <w:r w:rsidR="007F51A1">
        <w:t xml:space="preserve"> </w:t>
      </w:r>
      <w:r>
        <w:t xml:space="preserve">It is simple to apply the same reasoning to TDD. </w:t>
      </w:r>
    </w:p>
    <w:p w:rsidR="00666183" w:rsidRDefault="007F51A1" w:rsidP="00666183">
      <w:pPr>
        <w:jc w:val="center"/>
      </w:pPr>
      <w:r>
        <w:object w:dxaOrig="5428" w:dyaOrig="8571">
          <v:shape id="_x0000_i1041" type="#_x0000_t75" style="width:272.35pt;height:348.75pt" o:ole="">
            <v:imagedata r:id="rId35" o:title=""/>
          </v:shape>
          <o:OLEObject Type="Embed" ProgID="Visio.Drawing.11" ShapeID="_x0000_i1041" DrawAspect="Content" ObjectID="_1374867193" r:id="rId36"/>
        </w:object>
      </w:r>
    </w:p>
    <w:p w:rsidR="00666183" w:rsidRDefault="00666183" w:rsidP="00666183">
      <w:pPr>
        <w:pStyle w:val="Caption"/>
        <w:jc w:val="center"/>
      </w:pPr>
      <w:bookmarkStart w:id="3" w:name="_Ref297759200"/>
      <w:r>
        <w:t xml:space="preserve">Figure </w:t>
      </w:r>
      <w:r w:rsidR="004B4971">
        <w:fldChar w:fldCharType="begin"/>
      </w:r>
      <w:r>
        <w:instrText xml:space="preserve"> SEQ Figure \* ARABIC </w:instrText>
      </w:r>
      <w:r w:rsidR="004B4971">
        <w:fldChar w:fldCharType="separate"/>
      </w:r>
      <w:r w:rsidR="00387E86">
        <w:rPr>
          <w:noProof/>
        </w:rPr>
        <w:t>4</w:t>
      </w:r>
      <w:r w:rsidR="004B4971">
        <w:fldChar w:fldCharType="end"/>
      </w:r>
      <w:bookmarkEnd w:id="3"/>
      <w:r>
        <w:t xml:space="preserve"> Auxiliary full PSS and SSS for FDD where the relative position of PSS and SSS is swapped.</w:t>
      </w:r>
    </w:p>
    <w:p w:rsidR="00666183" w:rsidRDefault="00666183" w:rsidP="00666183">
      <w:pPr>
        <w:pStyle w:val="Heading2"/>
        <w:tabs>
          <w:tab w:val="clear" w:pos="643"/>
          <w:tab w:val="clear" w:pos="2136"/>
          <w:tab w:val="num" w:pos="630"/>
        </w:tabs>
        <w:ind w:left="0" w:firstLine="24"/>
        <w:rPr>
          <w:kern w:val="32"/>
        </w:rPr>
      </w:pPr>
      <w:r>
        <w:rPr>
          <w:kern w:val="32"/>
        </w:rPr>
        <w:lastRenderedPageBreak/>
        <w:t>Blanking to Protect the Auxiliary PSS/SSS</w:t>
      </w:r>
    </w:p>
    <w:p w:rsidR="000E5B8E" w:rsidRDefault="00666183" w:rsidP="00666183">
      <w:r>
        <w:t>To ensure proper detection of the auxiliary PSS/SSS under severe inter-cell inference scenario, it is imperative that the REs used for the PSS/SSS transmission in the victim cell are not used for data transmission by neighbour cells of strong interference.</w:t>
      </w:r>
      <w:r w:rsidR="00137E7B">
        <w:t xml:space="preserve"> </w:t>
      </w:r>
      <w:r w:rsidR="000E5B8E">
        <w:t>The eNB of the aggressor cell has the following options.</w:t>
      </w:r>
    </w:p>
    <w:p w:rsidR="0077738D" w:rsidRDefault="000E5B8E">
      <w:pPr>
        <w:pStyle w:val="ListParagraph"/>
        <w:numPr>
          <w:ilvl w:val="0"/>
          <w:numId w:val="14"/>
        </w:numPr>
      </w:pPr>
      <w:r>
        <w:t>T</w:t>
      </w:r>
      <w:r w:rsidR="00666183">
        <w:t xml:space="preserve">he subframes where the auxiliary PSS/SSS reside are designated as ABS in the aggressor cell. </w:t>
      </w:r>
    </w:p>
    <w:p w:rsidR="0077738D" w:rsidRDefault="000E5B8E">
      <w:pPr>
        <w:pStyle w:val="ListParagraph"/>
        <w:numPr>
          <w:ilvl w:val="0"/>
          <w:numId w:val="14"/>
        </w:numPr>
      </w:pPr>
      <w:r>
        <w:t>T</w:t>
      </w:r>
      <w:r w:rsidR="00666183">
        <w:t>he subframes where the auxiliary PSS/SSS reside are not ABS, but the eNB of the aggressor cell does not allocate any PDSCH or allocate PDSCH with low transmit power in the central 6 RBs. This has the benefit of removing interference to the auxiliary PSS/SSS, without forfeiting the RBs not colliding with PSS/SSS.</w:t>
      </w:r>
    </w:p>
    <w:p w:rsidR="000E5B8E" w:rsidRDefault="000E5B8E" w:rsidP="00666183">
      <w:pPr>
        <w:pStyle w:val="ListParagraph"/>
        <w:numPr>
          <w:ilvl w:val="0"/>
          <w:numId w:val="14"/>
        </w:numPr>
      </w:pPr>
      <w:r>
        <w:t>T</w:t>
      </w:r>
      <w:r w:rsidR="00666183">
        <w:t>he eNB of the aggressor cell is aware of the RE locations of the auxiliary PSS/SSS, and does not transmit any data over those REs, while transmitting data in other non-colliding REs. This can be achieved by either replacing REs containing P</w:t>
      </w:r>
      <w:r w:rsidR="00137E7B">
        <w:t>DSCH with auxiliary PSS/SSS</w:t>
      </w:r>
      <w:r w:rsidR="00666183">
        <w:t xml:space="preserve"> (“puncturing the REs in the PDSCH”), or by increasing the code rate of PDSCH data such that it will fit in the subframe without occupying the REs c</w:t>
      </w:r>
      <w:r w:rsidR="00137E7B">
        <w:t>ontaining auxiliary PSS/SSS</w:t>
      </w:r>
      <w:r w:rsidR="00666183">
        <w:t xml:space="preserve"> (“rate-matching the PDSCH around the colliding REs”). </w:t>
      </w:r>
    </w:p>
    <w:p w:rsidR="00522504" w:rsidRDefault="00522504" w:rsidP="00522504">
      <w:pPr>
        <w:pStyle w:val="ListParagraph"/>
      </w:pPr>
    </w:p>
    <w:p w:rsidR="00666183" w:rsidRPr="00666183" w:rsidRDefault="00666183" w:rsidP="00666183">
      <w:r>
        <w:t>On the UE side, for the new UE, it can demodulate/decode the data by only receiving the valid REs containing PDSCH in the allocated RBs. For the legacy UE, it may receive all the REs in the allocated RBs (even with the REs for the auxiliary PSS/SSS) in order to demodulate/decode the data. In this case, only puncturing the REs is applicable. The eNB may use conservative MCS to protect the data so the reception may be still successful</w:t>
      </w:r>
      <w:r w:rsidR="00137E7B">
        <w:t xml:space="preserve">. </w:t>
      </w:r>
      <w:r>
        <w:t>To enable proper blanking at the aggressor cell, configurati</w:t>
      </w:r>
      <w:r w:rsidR="00137E7B">
        <w:t>on of the auxiliary PSS/SSS</w:t>
      </w:r>
      <w:r>
        <w:t xml:space="preserve"> (e.g., location and size) can be sent from the victim cell to the aggressor cell via X2 signalling.</w:t>
      </w:r>
    </w:p>
    <w:p w:rsidR="00DF235F" w:rsidRDefault="00DF235F" w:rsidP="001E0221">
      <w:pPr>
        <w:pStyle w:val="Heading1"/>
        <w:keepLines w:val="0"/>
        <w:pBdr>
          <w:top w:val="none" w:sz="0" w:space="0" w:color="auto"/>
        </w:pBdr>
        <w:tabs>
          <w:tab w:val="clear" w:pos="432"/>
          <w:tab w:val="num" w:pos="360"/>
        </w:tabs>
        <w:spacing w:before="120" w:after="60" w:line="240" w:lineRule="atLeast"/>
        <w:ind w:left="0" w:right="-360" w:firstLine="0"/>
        <w:jc w:val="both"/>
      </w:pPr>
      <w:r>
        <w:t>Con</w:t>
      </w:r>
      <w:r w:rsidR="00813F99">
        <w:t xml:space="preserve">clusion </w:t>
      </w:r>
    </w:p>
    <w:p w:rsidR="0031566D" w:rsidRDefault="00137E7B" w:rsidP="009F413F">
      <w:r>
        <w:t xml:space="preserve">In this </w:t>
      </w:r>
      <w:r w:rsidR="000E5B8E">
        <w:t>contribution</w:t>
      </w:r>
      <w:r>
        <w:t xml:space="preserve">, we proposed </w:t>
      </w:r>
      <w:r w:rsidR="00D8535F">
        <w:t xml:space="preserve">the </w:t>
      </w:r>
      <w:r>
        <w:t xml:space="preserve">auxiliary PSS/SSS </w:t>
      </w:r>
      <w:r w:rsidR="00D8535F">
        <w:t xml:space="preserve">scheme </w:t>
      </w:r>
      <w:r>
        <w:t xml:space="preserve">in the victim cell in order to avoid the strong interference from an aggressor cell on the legacy PSS/SSS. </w:t>
      </w:r>
      <w:r w:rsidR="000E5B8E">
        <w:t>With time domain interference avoidance, the proposed solution</w:t>
      </w:r>
      <w:r w:rsidR="00D8535F">
        <w:t xml:space="preserve"> avoid</w:t>
      </w:r>
      <w:r w:rsidR="000E5B8E">
        <w:t>s</w:t>
      </w:r>
      <w:r w:rsidR="00D8535F">
        <w:t xml:space="preserve"> the dominant interference from the aggressor cell</w:t>
      </w:r>
      <w:r w:rsidR="000E5B8E">
        <w:t xml:space="preserve"> entirely</w:t>
      </w:r>
      <w:r w:rsidR="00D8535F">
        <w:t>. Further, t</w:t>
      </w:r>
      <w:r>
        <w:t>his solution could be applied for</w:t>
      </w:r>
      <w:r w:rsidR="00D8535F">
        <w:t xml:space="preserve"> both</w:t>
      </w:r>
      <w:r>
        <w:t xml:space="preserve"> </w:t>
      </w:r>
      <w:r w:rsidR="00D8535F">
        <w:t>the</w:t>
      </w:r>
      <w:r>
        <w:t xml:space="preserve"> FDD and the T</w:t>
      </w:r>
      <w:r w:rsidR="00D8535F">
        <w:t>DD systems, as well as the</w:t>
      </w:r>
      <w:r>
        <w:t xml:space="preserve"> network configurations without </w:t>
      </w:r>
      <w:r w:rsidR="00D8535F">
        <w:t xml:space="preserve">any </w:t>
      </w:r>
      <w:r>
        <w:t>subframe-offsets.</w:t>
      </w:r>
    </w:p>
    <w:p w:rsidR="00137E7B" w:rsidRPr="00387E86" w:rsidRDefault="00137E7B" w:rsidP="009F413F">
      <w:pPr>
        <w:rPr>
          <w:b/>
        </w:rPr>
      </w:pPr>
      <w:r w:rsidRPr="00387E86">
        <w:rPr>
          <w:b/>
        </w:rPr>
        <w:t xml:space="preserve">Proposal: </w:t>
      </w:r>
      <w:r w:rsidR="00ED254B" w:rsidRPr="00387E86">
        <w:rPr>
          <w:b/>
        </w:rPr>
        <w:t>To avoid the strong interference on the legacy PSS/SSS in a victim cell, a</w:t>
      </w:r>
      <w:r w:rsidRPr="00387E86">
        <w:rPr>
          <w:b/>
        </w:rPr>
        <w:t xml:space="preserve">uxiliary PSS/SSS scheme should be considered. </w:t>
      </w:r>
    </w:p>
    <w:p w:rsidR="001E0221" w:rsidRDefault="001E0221" w:rsidP="001E0221">
      <w:pPr>
        <w:pStyle w:val="Heading1"/>
        <w:keepLines w:val="0"/>
        <w:pBdr>
          <w:top w:val="none" w:sz="0" w:space="0" w:color="auto"/>
        </w:pBdr>
        <w:tabs>
          <w:tab w:val="clear" w:pos="432"/>
          <w:tab w:val="num" w:pos="360"/>
        </w:tabs>
        <w:spacing w:before="120" w:after="60" w:line="240" w:lineRule="atLeast"/>
        <w:ind w:left="0" w:right="-360" w:firstLine="0"/>
        <w:jc w:val="both"/>
      </w:pPr>
      <w:r>
        <w:t xml:space="preserve">Reference   </w:t>
      </w:r>
    </w:p>
    <w:p w:rsidR="0031566D" w:rsidRDefault="0031566D" w:rsidP="0031566D">
      <w:pPr>
        <w:pStyle w:val="References"/>
        <w:spacing w:after="0"/>
        <w:ind w:firstLineChars="0" w:hanging="720"/>
        <w:jc w:val="both"/>
      </w:pPr>
      <w:bookmarkStart w:id="4" w:name="_Ref262117355"/>
      <w:bookmarkStart w:id="5" w:name="_Ref294471020"/>
      <w:r>
        <w:t>RP</w:t>
      </w:r>
      <w:r>
        <w:rPr>
          <w:lang w:eastAsia="ja-JP"/>
        </w:rPr>
        <w:t>-110420, “Further enhanced non-CA based ICIC for LTE”, Qualcomm etc.</w:t>
      </w:r>
    </w:p>
    <w:p w:rsidR="00CA48C3" w:rsidRDefault="00CA48C3" w:rsidP="00CA48C3">
      <w:pPr>
        <w:pStyle w:val="References"/>
        <w:spacing w:after="0"/>
        <w:ind w:firstLineChars="0" w:hanging="720"/>
        <w:jc w:val="both"/>
      </w:pPr>
      <w:bookmarkStart w:id="6" w:name="_Ref294507593"/>
      <w:r>
        <w:t xml:space="preserve">R1-103560, Qualcomm, “Enabling communication in harsh interference scenarios”, </w:t>
      </w:r>
      <w:bookmarkEnd w:id="6"/>
      <w:r>
        <w:t>3GPP TSG-RAN WG1 #61bis, Dresden, Germany, June 28 – July 2, 2010.</w:t>
      </w:r>
    </w:p>
    <w:p w:rsidR="00CA48C3" w:rsidRDefault="00CA48C3" w:rsidP="00CA48C3">
      <w:pPr>
        <w:pStyle w:val="References"/>
        <w:spacing w:after="0"/>
        <w:ind w:firstLineChars="0" w:hanging="720"/>
        <w:jc w:val="both"/>
      </w:pPr>
      <w:bookmarkStart w:id="7" w:name="_Ref298485223"/>
      <w:r>
        <w:t>R1-106165, Huawei, “Interference coordination for common channels in HetNet”, 3GPP TSG-RAN WG1, #63, Jacksonville, USA, November 2010</w:t>
      </w:r>
      <w:bookmarkEnd w:id="7"/>
    </w:p>
    <w:p w:rsidR="00CA48C3" w:rsidRDefault="00CA48C3" w:rsidP="00CA48C3">
      <w:pPr>
        <w:pStyle w:val="References"/>
        <w:spacing w:after="0"/>
        <w:ind w:firstLineChars="0" w:hanging="738"/>
        <w:jc w:val="both"/>
      </w:pPr>
      <w:bookmarkStart w:id="8" w:name="_Ref298485211"/>
      <w:r>
        <w:t>R1-104064, Ericsson, “Further considerations on non-CA based enhanced ICIC”, 3GPP TSG-RAN WG1 #61bis, Dresden, Germany, June 28 – July 2, 2010.</w:t>
      </w:r>
      <w:bookmarkStart w:id="9" w:name="_Ref298447203"/>
      <w:bookmarkEnd w:id="4"/>
      <w:bookmarkEnd w:id="5"/>
      <w:bookmarkEnd w:id="8"/>
    </w:p>
    <w:p w:rsidR="0031566D" w:rsidRDefault="0031566D" w:rsidP="00CA48C3">
      <w:pPr>
        <w:pStyle w:val="References"/>
        <w:spacing w:after="0"/>
        <w:ind w:firstLineChars="0" w:hanging="738"/>
        <w:jc w:val="both"/>
      </w:pPr>
      <w:r w:rsidRPr="00CD5E85">
        <w:t>R1-063049</w:t>
      </w:r>
      <w:r>
        <w:t xml:space="preserve">, </w:t>
      </w:r>
      <w:r w:rsidRPr="00CD5E85">
        <w:t>Motorola</w:t>
      </w:r>
      <w:r>
        <w:t>,</w:t>
      </w:r>
      <w:r w:rsidRPr="00CD5E85">
        <w:t xml:space="preserve"> </w:t>
      </w:r>
      <w:r>
        <w:t>“</w:t>
      </w:r>
      <w:r w:rsidRPr="00CD5E85">
        <w:t>Placement of P-SCH and S-SCH</w:t>
      </w:r>
      <w:r>
        <w:t xml:space="preserve">,” </w:t>
      </w:r>
      <w:r w:rsidRPr="003A3B95">
        <w:t>3GPP TSG RAN WG1 Meeting #47</w:t>
      </w:r>
      <w:r>
        <w:t xml:space="preserve">, </w:t>
      </w:r>
      <w:r w:rsidRPr="003A3B95">
        <w:t>Riga, Latvia</w:t>
      </w:r>
      <w:r>
        <w:t xml:space="preserve">, </w:t>
      </w:r>
      <w:r w:rsidRPr="003A3B95">
        <w:t>November 6 – 10, 2006</w:t>
      </w:r>
      <w:r>
        <w:t>.</w:t>
      </w:r>
      <w:bookmarkEnd w:id="9"/>
    </w:p>
    <w:p w:rsidR="0031566D" w:rsidRDefault="0031566D" w:rsidP="0031566D">
      <w:pPr>
        <w:pStyle w:val="References"/>
        <w:spacing w:after="0"/>
        <w:ind w:firstLineChars="0" w:hanging="720"/>
        <w:jc w:val="both"/>
      </w:pPr>
      <w:r w:rsidRPr="00972303">
        <w:t>R1-073161</w:t>
      </w:r>
      <w:r>
        <w:t xml:space="preserve">, </w:t>
      </w:r>
      <w:r w:rsidRPr="00972303">
        <w:t>Texas Instruments</w:t>
      </w:r>
      <w:r>
        <w:t>, “</w:t>
      </w:r>
      <w:r w:rsidRPr="00972303">
        <w:t>Primary SCH Design and Performance</w:t>
      </w:r>
      <w:r>
        <w:t xml:space="preserve">,” </w:t>
      </w:r>
      <w:r w:rsidRPr="00972303">
        <w:t>3GPP TSG RAN WG1 49bis</w:t>
      </w:r>
      <w:r>
        <w:t xml:space="preserve">, </w:t>
      </w:r>
      <w:r w:rsidRPr="00972303">
        <w:t>Orlando, USA, 25 – 29 June, 2007</w:t>
      </w:r>
      <w:r>
        <w:t>.</w:t>
      </w:r>
    </w:p>
    <w:p w:rsidR="00CF3809" w:rsidRDefault="00CF3809" w:rsidP="00115AE1"/>
    <w:sectPr w:rsidR="00CF3809" w:rsidSect="007E2A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032" w:rsidRDefault="00015032" w:rsidP="007A6116">
      <w:pPr>
        <w:spacing w:after="0"/>
      </w:pPr>
      <w:r>
        <w:separator/>
      </w:r>
    </w:p>
  </w:endnote>
  <w:endnote w:type="continuationSeparator" w:id="0">
    <w:p w:rsidR="00015032" w:rsidRDefault="00015032" w:rsidP="007A61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032" w:rsidRDefault="00015032" w:rsidP="007A6116">
      <w:pPr>
        <w:spacing w:after="0"/>
      </w:pPr>
      <w:r>
        <w:separator/>
      </w:r>
    </w:p>
  </w:footnote>
  <w:footnote w:type="continuationSeparator" w:id="0">
    <w:p w:rsidR="00015032" w:rsidRDefault="00015032" w:rsidP="007A61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A4EA1"/>
    <w:multiLevelType w:val="hybridMultilevel"/>
    <w:tmpl w:val="66847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1662B9"/>
    <w:multiLevelType w:val="hybridMultilevel"/>
    <w:tmpl w:val="2D54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2136"/>
        </w:tabs>
        <w:ind w:left="213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27ED5A29"/>
    <w:multiLevelType w:val="hybridMultilevel"/>
    <w:tmpl w:val="1BFE6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DF0AA0"/>
    <w:multiLevelType w:val="hybridMultilevel"/>
    <w:tmpl w:val="7354DE64"/>
    <w:lvl w:ilvl="0" w:tplc="19B452E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A82EDA"/>
    <w:multiLevelType w:val="hybridMultilevel"/>
    <w:tmpl w:val="3148E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8769BD"/>
    <w:multiLevelType w:val="hybridMultilevel"/>
    <w:tmpl w:val="5B5EB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F5383D"/>
    <w:multiLevelType w:val="hybridMultilevel"/>
    <w:tmpl w:val="578A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950149E"/>
    <w:multiLevelType w:val="hybridMultilevel"/>
    <w:tmpl w:val="5E4A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0D63CD"/>
    <w:multiLevelType w:val="hybridMultilevel"/>
    <w:tmpl w:val="D8D4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8969DF"/>
    <w:multiLevelType w:val="hybridMultilevel"/>
    <w:tmpl w:val="B6546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330C29"/>
    <w:multiLevelType w:val="hybridMultilevel"/>
    <w:tmpl w:val="4CEC4E8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7D72DA"/>
    <w:multiLevelType w:val="multilevel"/>
    <w:tmpl w:val="ED1E16B6"/>
    <w:lvl w:ilvl="0">
      <w:start w:val="1"/>
      <w:numFmt w:val="decimal"/>
      <w:pStyle w:val="Equation"/>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bullet"/>
      <w:lvlText w:val=""/>
      <w:lvlJc w:val="left"/>
      <w:pPr>
        <w:ind w:left="2880" w:hanging="360"/>
      </w:pPr>
      <w:rPr>
        <w:rFonts w:ascii="Symbol" w:hAnsi="Symbol" w:hint="default"/>
      </w:rPr>
    </w:lvl>
    <w:lvl w:ilvl="8">
      <w:start w:val="1"/>
      <w:numFmt w:val="lowerRoman"/>
      <w:lvlText w:val="%9."/>
      <w:lvlJc w:val="left"/>
      <w:pPr>
        <w:ind w:left="3240" w:hanging="360"/>
      </w:pPr>
      <w:rPr>
        <w:rFonts w:hint="default"/>
      </w:rPr>
    </w:lvl>
  </w:abstractNum>
  <w:num w:numId="1">
    <w:abstractNumId w:val="2"/>
  </w:num>
  <w:num w:numId="2">
    <w:abstractNumId w:val="3"/>
  </w:num>
  <w:num w:numId="3">
    <w:abstractNumId w:val="8"/>
  </w:num>
  <w:num w:numId="4">
    <w:abstractNumId w:val="5"/>
  </w:num>
  <w:num w:numId="5">
    <w:abstractNumId w:val="9"/>
  </w:num>
  <w:num w:numId="6">
    <w:abstractNumId w:val="11"/>
  </w:num>
  <w:num w:numId="7">
    <w:abstractNumId w:val="13"/>
  </w:num>
  <w:num w:numId="8">
    <w:abstractNumId w:val="7"/>
  </w:num>
  <w:num w:numId="9">
    <w:abstractNumId w:val="0"/>
  </w:num>
  <w:num w:numId="10">
    <w:abstractNumId w:val="1"/>
  </w:num>
  <w:num w:numId="11">
    <w:abstractNumId w:val="12"/>
  </w:num>
  <w:num w:numId="12">
    <w:abstractNumId w:val="6"/>
  </w:num>
  <w:num w:numId="13">
    <w:abstractNumId w:val="10"/>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useFELayout/>
  </w:compat>
  <w:rsids>
    <w:rsidRoot w:val="00EB1DF1"/>
    <w:rsid w:val="00007CE2"/>
    <w:rsid w:val="00007E14"/>
    <w:rsid w:val="00012C17"/>
    <w:rsid w:val="00015032"/>
    <w:rsid w:val="00026F8F"/>
    <w:rsid w:val="0003407B"/>
    <w:rsid w:val="00037FD9"/>
    <w:rsid w:val="00041080"/>
    <w:rsid w:val="00060581"/>
    <w:rsid w:val="000607BF"/>
    <w:rsid w:val="00063D0B"/>
    <w:rsid w:val="000653F5"/>
    <w:rsid w:val="00077DD3"/>
    <w:rsid w:val="00082A92"/>
    <w:rsid w:val="000C0935"/>
    <w:rsid w:val="000D3662"/>
    <w:rsid w:val="000E5B8E"/>
    <w:rsid w:val="00101544"/>
    <w:rsid w:val="00101F3B"/>
    <w:rsid w:val="00102685"/>
    <w:rsid w:val="00104666"/>
    <w:rsid w:val="001046F3"/>
    <w:rsid w:val="00107458"/>
    <w:rsid w:val="001157A9"/>
    <w:rsid w:val="00115AE1"/>
    <w:rsid w:val="00121258"/>
    <w:rsid w:val="00137206"/>
    <w:rsid w:val="00137317"/>
    <w:rsid w:val="00137E7B"/>
    <w:rsid w:val="00154F52"/>
    <w:rsid w:val="001604A1"/>
    <w:rsid w:val="00160A41"/>
    <w:rsid w:val="00161539"/>
    <w:rsid w:val="0016418B"/>
    <w:rsid w:val="001720A9"/>
    <w:rsid w:val="0017606D"/>
    <w:rsid w:val="001806A7"/>
    <w:rsid w:val="001834E4"/>
    <w:rsid w:val="00191A49"/>
    <w:rsid w:val="001A45DE"/>
    <w:rsid w:val="001A4A72"/>
    <w:rsid w:val="001B3774"/>
    <w:rsid w:val="001D21D5"/>
    <w:rsid w:val="001E0221"/>
    <w:rsid w:val="00207BFA"/>
    <w:rsid w:val="002144F1"/>
    <w:rsid w:val="00250224"/>
    <w:rsid w:val="00251DBD"/>
    <w:rsid w:val="0028421F"/>
    <w:rsid w:val="00287323"/>
    <w:rsid w:val="00294E58"/>
    <w:rsid w:val="002A1E60"/>
    <w:rsid w:val="002B5DD3"/>
    <w:rsid w:val="002D0965"/>
    <w:rsid w:val="002D789B"/>
    <w:rsid w:val="002E22BA"/>
    <w:rsid w:val="002E5DDC"/>
    <w:rsid w:val="002E74DC"/>
    <w:rsid w:val="002F400A"/>
    <w:rsid w:val="00303572"/>
    <w:rsid w:val="00304BEF"/>
    <w:rsid w:val="00307B46"/>
    <w:rsid w:val="003103D1"/>
    <w:rsid w:val="0031566D"/>
    <w:rsid w:val="0032458B"/>
    <w:rsid w:val="00343359"/>
    <w:rsid w:val="003458F6"/>
    <w:rsid w:val="00347B33"/>
    <w:rsid w:val="00387E86"/>
    <w:rsid w:val="0039112D"/>
    <w:rsid w:val="003C0DD8"/>
    <w:rsid w:val="003C61D5"/>
    <w:rsid w:val="003C7184"/>
    <w:rsid w:val="003F0808"/>
    <w:rsid w:val="0040283D"/>
    <w:rsid w:val="00403341"/>
    <w:rsid w:val="0040438B"/>
    <w:rsid w:val="00432B91"/>
    <w:rsid w:val="004408AB"/>
    <w:rsid w:val="00445AF5"/>
    <w:rsid w:val="00455BD1"/>
    <w:rsid w:val="00456FE5"/>
    <w:rsid w:val="00457C39"/>
    <w:rsid w:val="00467B2A"/>
    <w:rsid w:val="00474642"/>
    <w:rsid w:val="004953EF"/>
    <w:rsid w:val="00496AB8"/>
    <w:rsid w:val="004A2341"/>
    <w:rsid w:val="004A7ED3"/>
    <w:rsid w:val="004B2DE9"/>
    <w:rsid w:val="004B4971"/>
    <w:rsid w:val="004B756F"/>
    <w:rsid w:val="004B78D2"/>
    <w:rsid w:val="004C03C7"/>
    <w:rsid w:val="004C552F"/>
    <w:rsid w:val="004D212E"/>
    <w:rsid w:val="00500B1F"/>
    <w:rsid w:val="0050732D"/>
    <w:rsid w:val="00522504"/>
    <w:rsid w:val="005241A3"/>
    <w:rsid w:val="0053146A"/>
    <w:rsid w:val="00532358"/>
    <w:rsid w:val="005434CA"/>
    <w:rsid w:val="00546BA2"/>
    <w:rsid w:val="005541B1"/>
    <w:rsid w:val="00567E44"/>
    <w:rsid w:val="0057175D"/>
    <w:rsid w:val="0058489C"/>
    <w:rsid w:val="00596C8B"/>
    <w:rsid w:val="005B1C19"/>
    <w:rsid w:val="005B702B"/>
    <w:rsid w:val="005C2C37"/>
    <w:rsid w:val="005C42ED"/>
    <w:rsid w:val="005C5425"/>
    <w:rsid w:val="005C621C"/>
    <w:rsid w:val="00615161"/>
    <w:rsid w:val="00640C45"/>
    <w:rsid w:val="00643692"/>
    <w:rsid w:val="006468E2"/>
    <w:rsid w:val="00651D55"/>
    <w:rsid w:val="006650E7"/>
    <w:rsid w:val="00666183"/>
    <w:rsid w:val="00666DCE"/>
    <w:rsid w:val="006671AF"/>
    <w:rsid w:val="00682662"/>
    <w:rsid w:val="00692A4E"/>
    <w:rsid w:val="00695033"/>
    <w:rsid w:val="006A0699"/>
    <w:rsid w:val="006B2994"/>
    <w:rsid w:val="006D57A2"/>
    <w:rsid w:val="006E24B0"/>
    <w:rsid w:val="006F254F"/>
    <w:rsid w:val="00701EB9"/>
    <w:rsid w:val="007102E0"/>
    <w:rsid w:val="0071655D"/>
    <w:rsid w:val="00720C32"/>
    <w:rsid w:val="00727C02"/>
    <w:rsid w:val="00743D08"/>
    <w:rsid w:val="00745144"/>
    <w:rsid w:val="00750BE5"/>
    <w:rsid w:val="00752E9B"/>
    <w:rsid w:val="00760703"/>
    <w:rsid w:val="00763451"/>
    <w:rsid w:val="007712A8"/>
    <w:rsid w:val="0077738D"/>
    <w:rsid w:val="0078238E"/>
    <w:rsid w:val="007A6116"/>
    <w:rsid w:val="007A611A"/>
    <w:rsid w:val="007B5080"/>
    <w:rsid w:val="007B6CF5"/>
    <w:rsid w:val="007C1B33"/>
    <w:rsid w:val="007E2AD6"/>
    <w:rsid w:val="007E6480"/>
    <w:rsid w:val="007F017B"/>
    <w:rsid w:val="007F51A1"/>
    <w:rsid w:val="0081396C"/>
    <w:rsid w:val="00813F99"/>
    <w:rsid w:val="00815FE7"/>
    <w:rsid w:val="00826AB7"/>
    <w:rsid w:val="0084286A"/>
    <w:rsid w:val="008528ED"/>
    <w:rsid w:val="00853AE5"/>
    <w:rsid w:val="00854CE7"/>
    <w:rsid w:val="0087257E"/>
    <w:rsid w:val="008814BB"/>
    <w:rsid w:val="0088219B"/>
    <w:rsid w:val="008864EF"/>
    <w:rsid w:val="00896D92"/>
    <w:rsid w:val="008B0EF2"/>
    <w:rsid w:val="008B1D98"/>
    <w:rsid w:val="008D3971"/>
    <w:rsid w:val="008D753B"/>
    <w:rsid w:val="008F3893"/>
    <w:rsid w:val="009111A2"/>
    <w:rsid w:val="00923C51"/>
    <w:rsid w:val="009250FD"/>
    <w:rsid w:val="00931C70"/>
    <w:rsid w:val="009705CF"/>
    <w:rsid w:val="009776E6"/>
    <w:rsid w:val="0098066D"/>
    <w:rsid w:val="009819CA"/>
    <w:rsid w:val="0099130D"/>
    <w:rsid w:val="00995189"/>
    <w:rsid w:val="009A15F9"/>
    <w:rsid w:val="009A4EFB"/>
    <w:rsid w:val="009B1FBE"/>
    <w:rsid w:val="009C4AE8"/>
    <w:rsid w:val="009D3D3E"/>
    <w:rsid w:val="009F200A"/>
    <w:rsid w:val="009F23BB"/>
    <w:rsid w:val="009F413F"/>
    <w:rsid w:val="009F5011"/>
    <w:rsid w:val="00A04542"/>
    <w:rsid w:val="00A262E0"/>
    <w:rsid w:val="00A3554D"/>
    <w:rsid w:val="00A60D2B"/>
    <w:rsid w:val="00A67313"/>
    <w:rsid w:val="00A70234"/>
    <w:rsid w:val="00A71531"/>
    <w:rsid w:val="00A7619D"/>
    <w:rsid w:val="00A92A7D"/>
    <w:rsid w:val="00AB3714"/>
    <w:rsid w:val="00AD6DAC"/>
    <w:rsid w:val="00AE01E2"/>
    <w:rsid w:val="00AE65E6"/>
    <w:rsid w:val="00AF63AF"/>
    <w:rsid w:val="00B06244"/>
    <w:rsid w:val="00B06FA4"/>
    <w:rsid w:val="00B116FA"/>
    <w:rsid w:val="00B11D06"/>
    <w:rsid w:val="00B30166"/>
    <w:rsid w:val="00B37EB3"/>
    <w:rsid w:val="00B434F9"/>
    <w:rsid w:val="00B440DB"/>
    <w:rsid w:val="00B5583F"/>
    <w:rsid w:val="00B931EC"/>
    <w:rsid w:val="00BA6C51"/>
    <w:rsid w:val="00BB3F72"/>
    <w:rsid w:val="00BB4C22"/>
    <w:rsid w:val="00BC605D"/>
    <w:rsid w:val="00BD3A9F"/>
    <w:rsid w:val="00BD5B33"/>
    <w:rsid w:val="00BE2471"/>
    <w:rsid w:val="00BE7051"/>
    <w:rsid w:val="00C11749"/>
    <w:rsid w:val="00C11B6C"/>
    <w:rsid w:val="00C142C9"/>
    <w:rsid w:val="00C15162"/>
    <w:rsid w:val="00C300DB"/>
    <w:rsid w:val="00C310E2"/>
    <w:rsid w:val="00C34E00"/>
    <w:rsid w:val="00C3704B"/>
    <w:rsid w:val="00C4311B"/>
    <w:rsid w:val="00C47F7D"/>
    <w:rsid w:val="00C65B68"/>
    <w:rsid w:val="00C91715"/>
    <w:rsid w:val="00C95655"/>
    <w:rsid w:val="00CA48C3"/>
    <w:rsid w:val="00CA5401"/>
    <w:rsid w:val="00CA56DB"/>
    <w:rsid w:val="00CB4632"/>
    <w:rsid w:val="00CE76E5"/>
    <w:rsid w:val="00CF0950"/>
    <w:rsid w:val="00CF0954"/>
    <w:rsid w:val="00CF3809"/>
    <w:rsid w:val="00CF4C83"/>
    <w:rsid w:val="00CF7F89"/>
    <w:rsid w:val="00D01BF9"/>
    <w:rsid w:val="00D0212B"/>
    <w:rsid w:val="00D14C4E"/>
    <w:rsid w:val="00D34E9A"/>
    <w:rsid w:val="00D36557"/>
    <w:rsid w:val="00D40B5F"/>
    <w:rsid w:val="00D606AC"/>
    <w:rsid w:val="00D75F21"/>
    <w:rsid w:val="00D7674C"/>
    <w:rsid w:val="00D8535F"/>
    <w:rsid w:val="00D858B9"/>
    <w:rsid w:val="00D9393B"/>
    <w:rsid w:val="00DA462A"/>
    <w:rsid w:val="00DB58E7"/>
    <w:rsid w:val="00DC4C5F"/>
    <w:rsid w:val="00DE13E1"/>
    <w:rsid w:val="00DE1FCD"/>
    <w:rsid w:val="00DE480E"/>
    <w:rsid w:val="00DF235F"/>
    <w:rsid w:val="00E13560"/>
    <w:rsid w:val="00E14533"/>
    <w:rsid w:val="00E14F7A"/>
    <w:rsid w:val="00E2081B"/>
    <w:rsid w:val="00E221B9"/>
    <w:rsid w:val="00E27557"/>
    <w:rsid w:val="00E65EF5"/>
    <w:rsid w:val="00E77C46"/>
    <w:rsid w:val="00E865E0"/>
    <w:rsid w:val="00E92E54"/>
    <w:rsid w:val="00E93C50"/>
    <w:rsid w:val="00EB1DF1"/>
    <w:rsid w:val="00EB6E23"/>
    <w:rsid w:val="00ED254B"/>
    <w:rsid w:val="00EF27C3"/>
    <w:rsid w:val="00EF2870"/>
    <w:rsid w:val="00EF4CC4"/>
    <w:rsid w:val="00EF6202"/>
    <w:rsid w:val="00F01A77"/>
    <w:rsid w:val="00F157FA"/>
    <w:rsid w:val="00F222F6"/>
    <w:rsid w:val="00F3056D"/>
    <w:rsid w:val="00F41EE6"/>
    <w:rsid w:val="00F46600"/>
    <w:rsid w:val="00F4706C"/>
    <w:rsid w:val="00F55D8A"/>
    <w:rsid w:val="00F57112"/>
    <w:rsid w:val="00F643CA"/>
    <w:rsid w:val="00F6723B"/>
    <w:rsid w:val="00F74A9B"/>
    <w:rsid w:val="00F7636C"/>
    <w:rsid w:val="00F86B84"/>
    <w:rsid w:val="00F90849"/>
    <w:rsid w:val="00FB42AC"/>
    <w:rsid w:val="00FC7A7C"/>
    <w:rsid w:val="00FC7E66"/>
    <w:rsid w:val="00FD7179"/>
    <w:rsid w:val="00FE48E8"/>
    <w:rsid w:val="00FE5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EB1DF1"/>
    <w:pPr>
      <w:keepNext/>
      <w:keepLines/>
      <w:numPr>
        <w:numId w:val="1"/>
      </w:numPr>
      <w:pBdr>
        <w:top w:val="single" w:sz="12" w:space="3" w:color="auto"/>
      </w:pBd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pBdr>
        <w:top w:val="none" w:sz="0" w:space="0" w:color="auto"/>
      </w:pBdr>
      <w:tabs>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basedOn w:val="DefaultParagraphFont"/>
    <w:link w:val="Heading1"/>
    <w:rsid w:val="00EB1DF1"/>
    <w:rPr>
      <w:rFonts w:ascii="Arial" w:eastAsia="Batang" w:hAnsi="Arial" w:cs="Arial"/>
      <w:sz w:val="36"/>
      <w:szCs w:val="36"/>
      <w:lang w:val="en-GB" w:eastAsia="en-US"/>
    </w:rPr>
  </w:style>
  <w:style w:type="character" w:customStyle="1" w:styleId="Heading2Char">
    <w:name w:val="Heading 2 Char"/>
    <w:aliases w:val="Head2A Char,2 Char,H2 Char,h2 Char,DO NOT USE_h2 Char,h21 Char,UNDERRUBRIK 1-2 Char"/>
    <w:basedOn w:val="DefaultParagraphFont"/>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basedOn w:val="DefaultParagraphFont"/>
    <w:link w:val="Heading5"/>
    <w:rsid w:val="00EB1DF1"/>
    <w:rPr>
      <w:rFonts w:ascii="Arial" w:eastAsia="Batang" w:hAnsi="Arial" w:cs="Arial"/>
      <w:lang w:val="en-GB" w:eastAsia="en-US"/>
    </w:rPr>
  </w:style>
  <w:style w:type="character" w:customStyle="1" w:styleId="Heading6Char">
    <w:name w:val="Heading 6 Char"/>
    <w:basedOn w:val="DefaultParagraphFont"/>
    <w:link w:val="Heading6"/>
    <w:rsid w:val="00EB1DF1"/>
    <w:rPr>
      <w:rFonts w:ascii="Arial" w:eastAsia="Batang" w:hAnsi="Arial" w:cs="Arial"/>
      <w:sz w:val="20"/>
      <w:szCs w:val="20"/>
      <w:lang w:val="en-GB" w:eastAsia="en-US"/>
    </w:rPr>
  </w:style>
  <w:style w:type="character" w:customStyle="1" w:styleId="Heading7Char">
    <w:name w:val="Heading 7 Char"/>
    <w:basedOn w:val="DefaultParagraphFont"/>
    <w:link w:val="Heading7"/>
    <w:rsid w:val="00EB1DF1"/>
    <w:rPr>
      <w:rFonts w:ascii="Arial" w:eastAsia="Batang" w:hAnsi="Arial" w:cs="Arial"/>
      <w:sz w:val="20"/>
      <w:szCs w:val="20"/>
      <w:lang w:val="en-GB" w:eastAsia="en-US"/>
    </w:rPr>
  </w:style>
  <w:style w:type="character" w:customStyle="1" w:styleId="Heading8Char">
    <w:name w:val="Heading 8 Char"/>
    <w:basedOn w:val="DefaultParagraphFont"/>
    <w:link w:val="Heading8"/>
    <w:rsid w:val="00EB1DF1"/>
    <w:rPr>
      <w:rFonts w:ascii="Arial" w:eastAsia="Batang" w:hAnsi="Arial" w:cs="Arial"/>
      <w:sz w:val="36"/>
      <w:szCs w:val="36"/>
      <w:lang w:val="en-GB" w:eastAsia="en-US"/>
    </w:rPr>
  </w:style>
  <w:style w:type="character" w:customStyle="1" w:styleId="Heading9Char">
    <w:name w:val="Heading 9 Char"/>
    <w:basedOn w:val="DefaultParagraphFont"/>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basedOn w:val="DefaultParagraphFont"/>
    <w:link w:val="Title"/>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link w:val="ListParagraphChar"/>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35"/>
    <w:rsid w:val="001E0221"/>
    <w:rPr>
      <w:rFonts w:ascii="Times New Roman" w:eastAsia="MS Mincho" w:hAnsi="Times New Roman"/>
      <w:b/>
      <w:bCs/>
      <w:lang w:val="en-GB" w:eastAsia="en-GB"/>
    </w:rPr>
  </w:style>
  <w:style w:type="character" w:styleId="CommentReference">
    <w:name w:val="annotation reference"/>
    <w:basedOn w:val="DefaultParagraphFont"/>
    <w:uiPriority w:val="99"/>
    <w:semiHidden/>
    <w:unhideWhenUsed/>
    <w:rsid w:val="00D858B9"/>
    <w:rPr>
      <w:sz w:val="16"/>
      <w:szCs w:val="16"/>
    </w:rPr>
  </w:style>
  <w:style w:type="paragraph" w:styleId="CommentText">
    <w:name w:val="annotation text"/>
    <w:basedOn w:val="Normal"/>
    <w:link w:val="CommentTextChar"/>
    <w:uiPriority w:val="99"/>
    <w:semiHidden/>
    <w:unhideWhenUsed/>
    <w:rsid w:val="00D858B9"/>
  </w:style>
  <w:style w:type="character" w:customStyle="1" w:styleId="CommentTextChar">
    <w:name w:val="Comment Text Char"/>
    <w:basedOn w:val="DefaultParagraphFont"/>
    <w:link w:val="CommentText"/>
    <w:uiPriority w:val="99"/>
    <w:semiHidden/>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basedOn w:val="CommentTextChar"/>
    <w:link w:val="CommentSubject"/>
    <w:uiPriority w:val="99"/>
    <w:semiHidden/>
    <w:rsid w:val="00D858B9"/>
    <w:rPr>
      <w:b/>
      <w:bCs/>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115AE1"/>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115AE1"/>
    <w:pPr>
      <w:tabs>
        <w:tab w:val="center" w:pos="4680"/>
        <w:tab w:val="right" w:pos="9360"/>
      </w:tabs>
    </w:pPr>
  </w:style>
  <w:style w:type="character" w:customStyle="1" w:styleId="HeaderChar">
    <w:name w:val="Header Char"/>
    <w:basedOn w:val="DefaultParagraphFont"/>
    <w:link w:val="Header"/>
    <w:uiPriority w:val="99"/>
    <w:semiHidden/>
    <w:rsid w:val="00115AE1"/>
    <w:rPr>
      <w:rFonts w:ascii="Times New Roman" w:eastAsia="Batang" w:hAnsi="Times New Roman"/>
      <w:lang w:val="en-GB"/>
    </w:rPr>
  </w:style>
  <w:style w:type="character" w:customStyle="1" w:styleId="ListParagraphChar">
    <w:name w:val="List Paragraph Char"/>
    <w:basedOn w:val="DefaultParagraphFont"/>
    <w:link w:val="ListParagraph"/>
    <w:uiPriority w:val="34"/>
    <w:rsid w:val="00F01A77"/>
    <w:rPr>
      <w:rFonts w:ascii="Times" w:eastAsia="Batang" w:hAnsi="Times"/>
      <w:szCs w:val="24"/>
      <w:lang w:val="en-GB"/>
    </w:rPr>
  </w:style>
  <w:style w:type="table" w:styleId="TableGrid">
    <w:name w:val="Table Grid"/>
    <w:basedOn w:val="TableNormal"/>
    <w:rsid w:val="007A611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autoRedefine/>
    <w:rsid w:val="007A6116"/>
    <w:pPr>
      <w:spacing w:after="0"/>
      <w:jc w:val="both"/>
    </w:pPr>
    <w:rPr>
      <w:rFonts w:asciiTheme="minorHAnsi" w:eastAsiaTheme="minorEastAsia" w:hAnsiTheme="minorHAnsi" w:cstheme="minorBidi"/>
      <w:sz w:val="16"/>
      <w:lang w:val="en-US" w:bidi="en-US"/>
    </w:rPr>
  </w:style>
  <w:style w:type="character" w:customStyle="1" w:styleId="FootnoteTextChar">
    <w:name w:val="Footnote Text Char"/>
    <w:basedOn w:val="DefaultParagraphFont"/>
    <w:link w:val="FootnoteText"/>
    <w:rsid w:val="007A6116"/>
    <w:rPr>
      <w:rFonts w:asciiTheme="minorHAnsi" w:eastAsiaTheme="minorEastAsia" w:hAnsiTheme="minorHAnsi" w:cstheme="minorBidi"/>
      <w:sz w:val="16"/>
      <w:lang w:bidi="en-US"/>
    </w:rPr>
  </w:style>
  <w:style w:type="character" w:styleId="FootnoteReference">
    <w:name w:val="footnote reference"/>
    <w:basedOn w:val="DefaultParagraphFont"/>
    <w:rsid w:val="007A6116"/>
    <w:rPr>
      <w:vertAlign w:val="superscript"/>
    </w:rPr>
  </w:style>
  <w:style w:type="paragraph" w:customStyle="1" w:styleId="Equation">
    <w:name w:val="Equation"/>
    <w:basedOn w:val="ListParagraph"/>
    <w:next w:val="Normal"/>
    <w:link w:val="EquationChar"/>
    <w:autoRedefine/>
    <w:qFormat/>
    <w:rsid w:val="009A4EFB"/>
    <w:pPr>
      <w:numPr>
        <w:numId w:val="7"/>
      </w:numPr>
      <w:contextualSpacing/>
      <w:jc w:val="both"/>
    </w:pPr>
    <w:rPr>
      <w:rFonts w:asciiTheme="minorHAnsi" w:eastAsiaTheme="minorEastAsia" w:hAnsiTheme="minorHAnsi" w:cstheme="minorBidi"/>
      <w:sz w:val="18"/>
      <w:szCs w:val="22"/>
      <w:lang w:val="en-US" w:bidi="en-US"/>
    </w:rPr>
  </w:style>
  <w:style w:type="character" w:customStyle="1" w:styleId="EquationChar">
    <w:name w:val="Equation Char"/>
    <w:basedOn w:val="ListParagraphChar"/>
    <w:link w:val="Equation"/>
    <w:rsid w:val="009A4EFB"/>
    <w:rPr>
      <w:rFonts w:asciiTheme="minorHAnsi" w:eastAsiaTheme="minorEastAsia" w:hAnsiTheme="minorHAnsi" w:cstheme="minorBidi"/>
      <w:sz w:val="18"/>
      <w:szCs w:val="22"/>
      <w:lang w:bidi="en-US"/>
    </w:rPr>
  </w:style>
  <w:style w:type="character" w:styleId="PlaceholderText">
    <w:name w:val="Placeholder Text"/>
    <w:basedOn w:val="DefaultParagraphFont"/>
    <w:uiPriority w:val="99"/>
    <w:semiHidden/>
    <w:rsid w:val="007A6116"/>
    <w:rPr>
      <w:color w:val="808080"/>
    </w:rPr>
  </w:style>
  <w:style w:type="paragraph" w:customStyle="1" w:styleId="TH">
    <w:name w:val="TH"/>
    <w:basedOn w:val="Normal"/>
    <w:link w:val="THChar"/>
    <w:rsid w:val="00F222F6"/>
    <w:pPr>
      <w:keepNext/>
      <w:keepLines/>
      <w:overflowPunct w:val="0"/>
      <w:autoSpaceDE w:val="0"/>
      <w:autoSpaceDN w:val="0"/>
      <w:adjustRightInd w:val="0"/>
      <w:spacing w:before="60"/>
      <w:jc w:val="center"/>
      <w:textAlignment w:val="baseline"/>
    </w:pPr>
    <w:rPr>
      <w:rFonts w:ascii="Arial" w:eastAsia="MS Mincho" w:hAnsi="Arial"/>
      <w:b/>
      <w:lang w:eastAsia="ja-JP"/>
    </w:rPr>
  </w:style>
  <w:style w:type="character" w:customStyle="1" w:styleId="THChar">
    <w:name w:val="TH Char"/>
    <w:basedOn w:val="DefaultParagraphFont"/>
    <w:link w:val="TH"/>
    <w:rsid w:val="00F222F6"/>
    <w:rPr>
      <w:rFonts w:ascii="Arial" w:eastAsia="MS Mincho" w:hAnsi="Arial"/>
      <w:b/>
      <w:lang w:val="en-GB" w:eastAsia="ja-JP"/>
    </w:rPr>
  </w:style>
  <w:style w:type="paragraph" w:customStyle="1" w:styleId="TAH">
    <w:name w:val="TAH"/>
    <w:basedOn w:val="Normal"/>
    <w:rsid w:val="00F222F6"/>
    <w:pPr>
      <w:keepNext/>
      <w:keepLines/>
      <w:spacing w:after="120"/>
      <w:jc w:val="center"/>
    </w:pPr>
    <w:rPr>
      <w:rFonts w:ascii="Arial" w:eastAsia="MS Mincho" w:hAnsi="Arial"/>
      <w:b/>
      <w:sz w:val="18"/>
    </w:rPr>
  </w:style>
  <w:style w:type="paragraph" w:customStyle="1" w:styleId="EQ">
    <w:name w:val="EQ"/>
    <w:basedOn w:val="Normal"/>
    <w:next w:val="Normal"/>
    <w:rsid w:val="00F222F6"/>
    <w:pPr>
      <w:keepLines/>
      <w:tabs>
        <w:tab w:val="center" w:pos="4536"/>
        <w:tab w:val="right" w:pos="9072"/>
      </w:tabs>
    </w:pPr>
    <w:rPr>
      <w:rFonts w:eastAsia="Times New Roman"/>
      <w:noProof/>
    </w:rPr>
  </w:style>
  <w:style w:type="paragraph" w:customStyle="1" w:styleId="TAC">
    <w:name w:val="TAC"/>
    <w:basedOn w:val="Normal"/>
    <w:rsid w:val="00F222F6"/>
    <w:pPr>
      <w:keepNext/>
      <w:keepLines/>
      <w:spacing w:after="0"/>
      <w:jc w:val="center"/>
    </w:pPr>
    <w:rPr>
      <w:rFonts w:ascii="Arial" w:eastAsia="Times New Roman" w:hAnsi="Arial"/>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A8572-1008-47E8-9BF3-1AB6AA72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2470</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RIM</Company>
  <LinksUpToDate>false</LinksUpToDate>
  <CharactersWithSpaces>16516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dc:creator>
  <cp:keywords/>
  <dc:description/>
  <cp:lastModifiedBy>Sam Cai</cp:lastModifiedBy>
  <cp:revision>2</cp:revision>
  <cp:lastPrinted>2011-07-25T19:33:00Z</cp:lastPrinted>
  <dcterms:created xsi:type="dcterms:W3CDTF">2011-08-15T03:37:00Z</dcterms:created>
  <dcterms:modified xsi:type="dcterms:W3CDTF">2011-08-15T03:37:00Z</dcterms:modified>
</cp:coreProperties>
</file>