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C56FB" w14:textId="60D9BE93" w:rsidR="00AA1245" w:rsidRDefault="00AA1245" w:rsidP="00AA1245">
      <w:pPr>
        <w:widowControl w:val="0"/>
        <w:tabs>
          <w:tab w:val="right" w:pos="10206"/>
        </w:tabs>
        <w:spacing w:after="0" w:afterAutospacing="0"/>
        <w:rPr>
          <w:rFonts w:ascii="Arial" w:eastAsia="宋体" w:hAnsi="Arial" w:cs="Arial"/>
          <w:b/>
          <w:sz w:val="28"/>
          <w:szCs w:val="28"/>
          <w:lang w:val="en-US" w:eastAsia="zh-CN"/>
        </w:rPr>
      </w:pPr>
      <w:bookmarkStart w:id="0" w:name="OLE_LINK3"/>
      <w:bookmarkStart w:id="1" w:name="_Ref133120545"/>
      <w:r>
        <w:rPr>
          <w:rFonts w:ascii="Arial" w:eastAsia="MS Mincho" w:hAnsi="Arial" w:cs="Arial"/>
          <w:b/>
          <w:sz w:val="28"/>
          <w:szCs w:val="28"/>
          <w:lang w:val="en-US"/>
        </w:rPr>
        <w:t>3GPP TSG RAN WG1 #1</w:t>
      </w:r>
      <w:r>
        <w:rPr>
          <w:rFonts w:ascii="Arial" w:eastAsia="宋体" w:hAnsi="Arial" w:cs="Arial" w:hint="eastAsia"/>
          <w:b/>
          <w:sz w:val="28"/>
          <w:szCs w:val="28"/>
          <w:lang w:val="en-US" w:eastAsia="zh-CN"/>
        </w:rPr>
        <w:t>24</w:t>
      </w:r>
      <w:r>
        <w:rPr>
          <w:rFonts w:ascii="Arial" w:eastAsia="MS Mincho" w:hAnsi="Arial" w:cs="Arial"/>
          <w:b/>
          <w:sz w:val="28"/>
          <w:szCs w:val="28"/>
          <w:lang w:val="en-US"/>
        </w:rPr>
        <w:t xml:space="preserve">                            </w:t>
      </w:r>
      <w:r>
        <w:rPr>
          <w:rFonts w:ascii="Arial" w:eastAsia="宋体" w:hAnsi="Arial" w:cs="Arial" w:hint="eastAsia"/>
          <w:b/>
          <w:sz w:val="28"/>
          <w:szCs w:val="28"/>
          <w:lang w:val="en-US" w:eastAsia="zh-CN"/>
        </w:rPr>
        <w:t xml:space="preserve">       </w:t>
      </w:r>
      <w:r w:rsidRPr="00EF7F89">
        <w:rPr>
          <w:rFonts w:ascii="Arial" w:eastAsia="宋体" w:hAnsi="Arial" w:cs="Arial"/>
          <w:b/>
          <w:sz w:val="28"/>
          <w:szCs w:val="28"/>
          <w:lang w:val="en-US" w:eastAsia="zh-CN"/>
        </w:rPr>
        <w:t>R1-2</w:t>
      </w:r>
      <w:r>
        <w:rPr>
          <w:rFonts w:ascii="Arial" w:eastAsia="宋体" w:hAnsi="Arial" w:cs="Arial" w:hint="eastAsia"/>
          <w:b/>
          <w:sz w:val="28"/>
          <w:szCs w:val="28"/>
          <w:lang w:val="en-US" w:eastAsia="zh-CN"/>
        </w:rPr>
        <w:t>6</w:t>
      </w:r>
      <w:r w:rsidRPr="00EF7F89">
        <w:rPr>
          <w:rFonts w:ascii="Arial" w:eastAsia="宋体" w:hAnsi="Arial" w:cs="Arial"/>
          <w:b/>
          <w:sz w:val="28"/>
          <w:szCs w:val="28"/>
          <w:lang w:val="en-US" w:eastAsia="zh-CN"/>
        </w:rPr>
        <w:t>0</w:t>
      </w:r>
      <w:r w:rsidR="00226DB4">
        <w:rPr>
          <w:rFonts w:ascii="Arial" w:eastAsia="宋体" w:hAnsi="Arial" w:cs="Arial" w:hint="eastAsia"/>
          <w:b/>
          <w:sz w:val="28"/>
          <w:szCs w:val="28"/>
          <w:lang w:val="en-US" w:eastAsia="zh-CN"/>
        </w:rPr>
        <w:t>0967</w:t>
      </w:r>
    </w:p>
    <w:p w14:paraId="2731B985" w14:textId="115597FF" w:rsidR="00AA1245" w:rsidRPr="003515C7" w:rsidRDefault="00AA1245" w:rsidP="00AA1245">
      <w:pPr>
        <w:pStyle w:val="aa"/>
        <w:spacing w:after="0"/>
        <w:rPr>
          <w:rFonts w:eastAsia="宋体" w:cs="Arial"/>
          <w:sz w:val="28"/>
          <w:szCs w:val="28"/>
          <w:lang w:val="en-US" w:eastAsia="zh-CN"/>
        </w:rPr>
      </w:pPr>
      <w:r w:rsidRPr="003515C7">
        <w:rPr>
          <w:rFonts w:eastAsia="宋体" w:cs="Arial"/>
          <w:sz w:val="28"/>
          <w:szCs w:val="28"/>
          <w:lang w:val="en-US" w:eastAsia="zh-CN"/>
        </w:rPr>
        <w:t>Gothenburg, SE, Feb. 9</w:t>
      </w:r>
      <w:r w:rsidRPr="003515C7">
        <w:rPr>
          <w:rFonts w:eastAsia="宋体" w:cs="Arial"/>
          <w:sz w:val="28"/>
          <w:szCs w:val="28"/>
          <w:vertAlign w:val="superscript"/>
          <w:lang w:val="en-US" w:eastAsia="zh-CN"/>
        </w:rPr>
        <w:t>th</w:t>
      </w:r>
      <w:r w:rsidRPr="003515C7">
        <w:rPr>
          <w:rFonts w:eastAsia="宋体" w:cs="Arial"/>
          <w:sz w:val="28"/>
          <w:szCs w:val="28"/>
          <w:lang w:val="en-US" w:eastAsia="zh-CN"/>
        </w:rPr>
        <w:t xml:space="preserve"> </w:t>
      </w:r>
      <w:r w:rsidR="0014301E">
        <w:rPr>
          <w:rFonts w:eastAsia="宋体" w:cs="Arial" w:hint="eastAsia"/>
          <w:sz w:val="28"/>
          <w:szCs w:val="28"/>
          <w:lang w:val="en-US" w:eastAsia="zh-CN"/>
        </w:rPr>
        <w:t>-</w:t>
      </w:r>
      <w:r w:rsidRPr="003515C7">
        <w:rPr>
          <w:rFonts w:eastAsia="宋体" w:cs="Arial"/>
          <w:sz w:val="28"/>
          <w:szCs w:val="28"/>
          <w:lang w:val="en-US" w:eastAsia="zh-CN"/>
        </w:rPr>
        <w:t xml:space="preserve"> 13</w:t>
      </w:r>
      <w:r w:rsidRPr="003515C7">
        <w:rPr>
          <w:rFonts w:eastAsia="宋体" w:cs="Arial"/>
          <w:sz w:val="28"/>
          <w:szCs w:val="28"/>
          <w:vertAlign w:val="superscript"/>
          <w:lang w:val="en-US" w:eastAsia="zh-CN"/>
        </w:rPr>
        <w:t>th</w:t>
      </w:r>
      <w:r w:rsidRPr="003515C7">
        <w:rPr>
          <w:rFonts w:eastAsia="宋体" w:cs="Arial"/>
          <w:sz w:val="28"/>
          <w:szCs w:val="28"/>
          <w:lang w:val="en-US" w:eastAsia="zh-CN"/>
        </w:rPr>
        <w:t>, 2026</w:t>
      </w:r>
    </w:p>
    <w:bookmarkEnd w:id="0"/>
    <w:p w14:paraId="4A9AFE90" w14:textId="77777777" w:rsidR="00CF7A8C" w:rsidRDefault="009332AD">
      <w:pPr>
        <w:tabs>
          <w:tab w:val="left" w:pos="1985"/>
        </w:tabs>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Source:</w:t>
      </w:r>
      <w:r>
        <w:rPr>
          <w:rFonts w:ascii="Arial" w:hAnsi="Arial" w:cs="Arial"/>
          <w:b/>
          <w:sz w:val="28"/>
          <w:szCs w:val="28"/>
          <w:lang w:val="en-US"/>
        </w:rPr>
        <w:tab/>
        <w:t>S</w:t>
      </w:r>
      <w:r>
        <w:rPr>
          <w:rFonts w:ascii="Arial" w:eastAsia="宋体" w:hAnsi="Arial" w:cs="Arial"/>
          <w:b/>
          <w:sz w:val="28"/>
          <w:szCs w:val="28"/>
          <w:lang w:val="en-US" w:eastAsia="zh-CN"/>
        </w:rPr>
        <w:t>harp</w:t>
      </w:r>
    </w:p>
    <w:p w14:paraId="3724BD98" w14:textId="77777777" w:rsidR="00CF7A8C" w:rsidRDefault="009332AD">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cs="Arial" w:hint="eastAsia"/>
          <w:b/>
          <w:sz w:val="28"/>
          <w:szCs w:val="28"/>
          <w:lang w:val="en-US"/>
        </w:rPr>
        <w:t xml:space="preserve">Discussion on </w:t>
      </w:r>
      <w:r>
        <w:rPr>
          <w:rFonts w:ascii="Arial" w:eastAsia="宋体" w:hAnsi="Arial" w:cs="Arial" w:hint="eastAsia"/>
          <w:b/>
          <w:sz w:val="28"/>
          <w:szCs w:val="28"/>
          <w:lang w:val="en-US" w:eastAsia="zh-CN"/>
        </w:rPr>
        <w:t>other</w:t>
      </w:r>
      <w:r>
        <w:rPr>
          <w:rFonts w:ascii="Arial" w:hAnsi="Arial" w:cs="Arial" w:hint="eastAsia"/>
          <w:b/>
          <w:sz w:val="28"/>
          <w:szCs w:val="28"/>
          <w:lang w:val="en-US"/>
        </w:rPr>
        <w:t xml:space="preserve"> procedures</w:t>
      </w:r>
    </w:p>
    <w:p w14:paraId="178A3D8C" w14:textId="5ABFF94A" w:rsidR="00CF7A8C" w:rsidRDefault="009332AD">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sidR="00031C8D">
        <w:rPr>
          <w:rFonts w:ascii="Arial" w:eastAsia="宋体" w:hAnsi="Arial" w:cs="Arial" w:hint="eastAsia"/>
          <w:b/>
          <w:sz w:val="28"/>
          <w:szCs w:val="28"/>
          <w:lang w:val="en-US" w:eastAsia="zh-CN"/>
        </w:rPr>
        <w:t>9</w:t>
      </w:r>
      <w:r>
        <w:rPr>
          <w:rFonts w:ascii="Arial" w:eastAsia="宋体" w:hAnsi="Arial" w:cs="Arial" w:hint="eastAsia"/>
          <w:b/>
          <w:sz w:val="28"/>
          <w:szCs w:val="28"/>
          <w:lang w:val="en-US" w:eastAsia="zh-CN"/>
        </w:rPr>
        <w:t>.3.2.3</w:t>
      </w:r>
    </w:p>
    <w:p w14:paraId="2D67E8B8" w14:textId="77777777" w:rsidR="00CF7A8C" w:rsidRDefault="009332AD">
      <w:pPr>
        <w:pBdr>
          <w:bottom w:val="single" w:sz="12" w:space="1" w:color="auto"/>
        </w:pBdr>
        <w:ind w:left="1985" w:hangingChars="706" w:hanging="1985"/>
        <w:rPr>
          <w:rFonts w:ascii="Arial" w:eastAsia="宋体" w:hAnsi="Arial"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14:paraId="0657B1EA" w14:textId="77777777" w:rsidR="00CF7A8C" w:rsidRDefault="009332AD">
      <w:pPr>
        <w:pStyle w:val="1"/>
        <w:spacing w:after="180"/>
        <w:rPr>
          <w:lang w:val="en-US"/>
        </w:rPr>
      </w:pPr>
      <w:r>
        <w:rPr>
          <w:lang w:val="en-US"/>
        </w:rPr>
        <w:t>Introduction</w:t>
      </w:r>
      <w:bookmarkEnd w:id="1"/>
    </w:p>
    <w:p w14:paraId="29D4E358" w14:textId="237601D4" w:rsidR="00CF7A8C" w:rsidRDefault="009332AD">
      <w:pPr>
        <w:spacing w:beforeLines="50" w:before="180" w:beforeAutospacing="1" w:afterLines="50" w:after="180" w:afterAutospacing="0"/>
        <w:rPr>
          <w:rFonts w:eastAsia="宋体"/>
          <w:lang w:val="en-US" w:eastAsia="zh-CN"/>
        </w:rPr>
      </w:pPr>
      <w:r>
        <w:rPr>
          <w:rFonts w:eastAsia="宋体" w:hint="eastAsia"/>
          <w:lang w:val="en-US" w:eastAsia="zh-CN"/>
        </w:rPr>
        <w:t xml:space="preserve">A revised study </w:t>
      </w:r>
      <w:r>
        <w:rPr>
          <w:rFonts w:eastAsia="宋体"/>
          <w:lang w:eastAsia="zh-CN"/>
        </w:rPr>
        <w:t>item on</w:t>
      </w:r>
      <w:r>
        <w:rPr>
          <w:rFonts w:eastAsia="宋体" w:hint="eastAsia"/>
          <w:lang w:val="en-US" w:eastAsia="zh-CN"/>
        </w:rPr>
        <w:t xml:space="preserve"> enhancements for solutions for Ambient IoT (Internet of Things) in NR outdoor for active devices</w:t>
      </w:r>
      <w:r>
        <w:rPr>
          <w:rFonts w:eastAsia="宋体"/>
          <w:lang w:eastAsia="zh-CN"/>
        </w:rPr>
        <w:t xml:space="preserve">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val="en-US" w:eastAsia="zh-CN"/>
        </w:rPr>
        <w:t xml:space="preserve"> for Rel-20 was approved </w:t>
      </w:r>
      <w:r>
        <w:rPr>
          <w:rFonts w:eastAsia="宋体"/>
          <w:lang w:val="en-US" w:eastAsia="zh-CN"/>
        </w:rPr>
        <w:t xml:space="preserve">in </w:t>
      </w:r>
      <w:r w:rsidR="002429DE">
        <w:rPr>
          <w:rFonts w:eastAsia="宋体" w:hint="eastAsia"/>
          <w:lang w:val="en-US" w:eastAsia="zh-CN"/>
        </w:rPr>
        <w:t>RAN#1</w:t>
      </w:r>
      <w:r w:rsidR="00571B8A">
        <w:rPr>
          <w:rFonts w:eastAsia="宋体" w:hint="eastAsia"/>
          <w:lang w:val="en-US" w:eastAsia="zh-CN"/>
        </w:rPr>
        <w:t>10</w:t>
      </w:r>
      <w:r w:rsidR="002429DE">
        <w:rPr>
          <w:rFonts w:eastAsia="宋体" w:hint="eastAsia"/>
          <w:lang w:val="en-US" w:eastAsia="zh-CN"/>
        </w:rPr>
        <w:t>.</w:t>
      </w:r>
      <w:r w:rsidR="002429DE">
        <w:rPr>
          <w:rFonts w:eastAsia="宋体"/>
          <w:lang w:val="en-US" w:eastAsia="zh-CN"/>
        </w:rPr>
        <w:t xml:space="preserve"> </w:t>
      </w: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eastAsia="宋体" w:hint="eastAsia"/>
          <w:lang w:val="en-US" w:eastAsia="zh-CN"/>
        </w:rPr>
        <w:t>a few aspects of the procedures for DO-A for Device 2b and Device C in Rel-20 A-IoT.</w:t>
      </w:r>
    </w:p>
    <w:p w14:paraId="67227305" w14:textId="6CBC6DB5" w:rsidR="00CF7A8C" w:rsidRDefault="009332AD">
      <w:pPr>
        <w:pStyle w:val="1"/>
        <w:spacing w:after="180"/>
        <w:rPr>
          <w:lang w:val="en-US"/>
        </w:rPr>
      </w:pPr>
      <w:r>
        <w:rPr>
          <w:lang w:val="en-US"/>
        </w:rPr>
        <w:t>Discussion</w:t>
      </w:r>
    </w:p>
    <w:p w14:paraId="17525A9B" w14:textId="45ED6118" w:rsidR="00CD3A69" w:rsidRDefault="00CD3A69" w:rsidP="00CD3A69">
      <w:pPr>
        <w:pStyle w:val="2"/>
        <w:spacing w:after="180"/>
        <w:rPr>
          <w:rFonts w:eastAsiaTheme="minorEastAsia"/>
          <w:lang w:val="en-US" w:eastAsia="zh-CN"/>
        </w:rPr>
      </w:pPr>
      <w:r>
        <w:rPr>
          <w:rFonts w:eastAsiaTheme="minorEastAsia"/>
          <w:lang w:val="en-US" w:eastAsia="zh-CN"/>
        </w:rPr>
        <w:t>I</w:t>
      </w:r>
      <w:r>
        <w:rPr>
          <w:rFonts w:eastAsiaTheme="minorEastAsia" w:hint="eastAsia"/>
          <w:lang w:val="en-US" w:eastAsia="zh-CN"/>
        </w:rPr>
        <w:t>nitial frequency/broadcast information acquisition</w:t>
      </w:r>
    </w:p>
    <w:p w14:paraId="5EC27078" w14:textId="4C9410F3" w:rsidR="006B5BB5" w:rsidRPr="00596FBC" w:rsidRDefault="006B5BB5" w:rsidP="00596FBC">
      <w:pPr>
        <w:spacing w:beforeLines="50" w:before="180" w:beforeAutospacing="1" w:afterLines="50" w:after="180" w:afterAutospacing="0"/>
        <w:rPr>
          <w:rFonts w:eastAsia="宋体"/>
          <w:lang w:val="en-US" w:eastAsia="zh-CN"/>
        </w:rPr>
      </w:pPr>
      <w:r w:rsidRPr="00596FBC">
        <w:rPr>
          <w:rFonts w:eastAsia="宋体"/>
          <w:lang w:val="en-US" w:eastAsia="zh-CN"/>
        </w:rPr>
        <w:t>I</w:t>
      </w:r>
      <w:r w:rsidRPr="00596FBC">
        <w:rPr>
          <w:rFonts w:eastAsia="宋体" w:hint="eastAsia"/>
          <w:lang w:val="en-US" w:eastAsia="zh-CN"/>
        </w:rPr>
        <w:t>t has been agreed that the broadcast information can be provided to devices</w:t>
      </w:r>
      <w:r w:rsidR="00614115">
        <w:rPr>
          <w:rFonts w:eastAsia="宋体" w:hint="eastAsia"/>
          <w:lang w:val="en-US" w:eastAsia="zh-CN"/>
        </w:rPr>
        <w:t>[2]</w:t>
      </w:r>
      <w:r w:rsidR="003933C4">
        <w:rPr>
          <w:rFonts w:eastAsia="宋体" w:hint="eastAsia"/>
          <w:lang w:val="en-US" w:eastAsia="zh-CN"/>
        </w:rPr>
        <w:t>.</w:t>
      </w:r>
      <w:r w:rsidRPr="00596FBC">
        <w:rPr>
          <w:rFonts w:eastAsia="宋体" w:hint="eastAsia"/>
          <w:lang w:val="en-US" w:eastAsia="zh-CN"/>
        </w:rPr>
        <w:t xml:space="preserve"> </w:t>
      </w:r>
    </w:p>
    <w:tbl>
      <w:tblPr>
        <w:tblStyle w:val="ac"/>
        <w:tblW w:w="0" w:type="auto"/>
        <w:tblLook w:val="04A0" w:firstRow="1" w:lastRow="0" w:firstColumn="1" w:lastColumn="0" w:noHBand="0" w:noVBand="1"/>
      </w:tblPr>
      <w:tblGrid>
        <w:gridCol w:w="9954"/>
      </w:tblGrid>
      <w:tr w:rsidR="006B5BB5" w14:paraId="1DB238D7" w14:textId="77777777" w:rsidTr="006B5BB5">
        <w:tc>
          <w:tcPr>
            <w:tcW w:w="9954" w:type="dxa"/>
          </w:tcPr>
          <w:p w14:paraId="75E233FF" w14:textId="77777777" w:rsidR="006B5BB5" w:rsidRPr="00887D01" w:rsidRDefault="006B5BB5" w:rsidP="006B5BB5">
            <w:pPr>
              <w:snapToGrid/>
              <w:spacing w:after="0" w:afterAutospacing="0"/>
              <w:rPr>
                <w:rFonts w:eastAsia="MS Mincho"/>
                <w:b/>
                <w:bCs/>
                <w:sz w:val="20"/>
                <w:szCs w:val="24"/>
              </w:rPr>
            </w:pPr>
            <w:r w:rsidRPr="00887D01">
              <w:rPr>
                <w:rFonts w:eastAsia="MS Mincho" w:hint="eastAsia"/>
                <w:b/>
                <w:bCs/>
                <w:sz w:val="20"/>
                <w:szCs w:val="24"/>
                <w:highlight w:val="green"/>
              </w:rPr>
              <w:t>Agreement</w:t>
            </w:r>
          </w:p>
          <w:p w14:paraId="01F1AE09" w14:textId="77777777" w:rsidR="006B5BB5" w:rsidRPr="00887D01" w:rsidRDefault="006B5BB5" w:rsidP="006B5BB5">
            <w:pPr>
              <w:widowControl w:val="0"/>
              <w:numPr>
                <w:ilvl w:val="0"/>
                <w:numId w:val="12"/>
              </w:numPr>
              <w:snapToGrid/>
              <w:spacing w:after="0" w:afterAutospacing="0"/>
              <w:rPr>
                <w:rFonts w:eastAsia="MS Mincho"/>
                <w:sz w:val="20"/>
                <w:szCs w:val="24"/>
                <w:lang w:val="en-US"/>
              </w:rPr>
            </w:pPr>
            <w:r w:rsidRPr="00887D01">
              <w:rPr>
                <w:rFonts w:eastAsia="MS Mincho" w:hint="eastAsia"/>
                <w:sz w:val="20"/>
                <w:szCs w:val="24"/>
                <w:lang w:val="en-US"/>
              </w:rPr>
              <w:t xml:space="preserve">The functionality of broadcast information is to provide the device with </w:t>
            </w:r>
            <w:r w:rsidRPr="00887D01">
              <w:rPr>
                <w:rFonts w:eastAsia="MS Mincho"/>
                <w:sz w:val="20"/>
                <w:szCs w:val="24"/>
                <w:lang w:val="en-US"/>
              </w:rPr>
              <w:t>at least necessary in</w:t>
            </w:r>
            <w:r w:rsidRPr="00887D01">
              <w:rPr>
                <w:rFonts w:eastAsia="MS Mincho" w:hint="eastAsia"/>
                <w:sz w:val="20"/>
                <w:szCs w:val="24"/>
                <w:lang w:val="en-US"/>
              </w:rPr>
              <w:t>formation</w:t>
            </w:r>
            <w:r w:rsidRPr="00887D01">
              <w:rPr>
                <w:rFonts w:eastAsia="MS Mincho"/>
                <w:sz w:val="20"/>
                <w:szCs w:val="24"/>
                <w:lang w:val="en-US"/>
              </w:rPr>
              <w:t xml:space="preserve"> for subsequent transmission and reception</w:t>
            </w:r>
          </w:p>
          <w:p w14:paraId="2FAE2E11" w14:textId="77777777" w:rsidR="006B5BB5" w:rsidRPr="00887D01" w:rsidRDefault="006B5BB5" w:rsidP="006B5BB5">
            <w:pPr>
              <w:widowControl w:val="0"/>
              <w:numPr>
                <w:ilvl w:val="0"/>
                <w:numId w:val="12"/>
              </w:numPr>
              <w:snapToGrid/>
              <w:spacing w:after="0" w:afterAutospacing="0"/>
              <w:rPr>
                <w:rFonts w:eastAsia="MS Mincho"/>
                <w:sz w:val="20"/>
                <w:szCs w:val="24"/>
                <w:lang w:val="en-US"/>
              </w:rPr>
            </w:pPr>
            <w:r w:rsidRPr="00887D01">
              <w:rPr>
                <w:rFonts w:eastAsia="MS Mincho" w:hint="eastAsia"/>
                <w:sz w:val="20"/>
                <w:szCs w:val="24"/>
                <w:lang w:val="en-US"/>
              </w:rPr>
              <w:t xml:space="preserve">On how A-IoT devices acquire the broadcast information, </w:t>
            </w:r>
            <w:r w:rsidRPr="00887D01">
              <w:rPr>
                <w:rFonts w:eastAsia="MS Mincho"/>
                <w:sz w:val="20"/>
                <w:szCs w:val="24"/>
                <w:lang w:val="en-US"/>
              </w:rPr>
              <w:t xml:space="preserve">study the following two cases: </w:t>
            </w:r>
          </w:p>
          <w:p w14:paraId="482A0EC1" w14:textId="77777777" w:rsidR="006B5BB5" w:rsidRPr="00887D01" w:rsidRDefault="006B5BB5" w:rsidP="006B5BB5">
            <w:pPr>
              <w:widowControl w:val="0"/>
              <w:numPr>
                <w:ilvl w:val="1"/>
                <w:numId w:val="12"/>
              </w:numPr>
              <w:snapToGrid/>
              <w:spacing w:after="0" w:afterAutospacing="0"/>
              <w:rPr>
                <w:rFonts w:eastAsia="MS Mincho"/>
                <w:sz w:val="20"/>
                <w:szCs w:val="24"/>
                <w:lang w:val="en-US"/>
              </w:rPr>
            </w:pPr>
            <w:r w:rsidRPr="00887D01">
              <w:rPr>
                <w:rFonts w:eastAsia="MS Mincho"/>
                <w:sz w:val="20"/>
                <w:szCs w:val="24"/>
                <w:lang w:val="en-US"/>
              </w:rPr>
              <w:t xml:space="preserve">Case B1: </w:t>
            </w:r>
            <w:r w:rsidRPr="00887D01">
              <w:rPr>
                <w:rFonts w:eastAsia="MS Mincho" w:hint="eastAsia"/>
                <w:sz w:val="20"/>
                <w:szCs w:val="24"/>
                <w:lang w:val="en-US"/>
              </w:rPr>
              <w:t>Single-step acquisition of the broadcast information</w:t>
            </w:r>
            <w:r w:rsidRPr="00887D01" w:rsidDel="007C2B03">
              <w:rPr>
                <w:rFonts w:eastAsia="MS Mincho"/>
                <w:sz w:val="20"/>
                <w:szCs w:val="24"/>
                <w:lang w:val="en-US"/>
              </w:rPr>
              <w:t xml:space="preserve"> </w:t>
            </w:r>
          </w:p>
          <w:p w14:paraId="1084E506" w14:textId="77777777" w:rsidR="006B5BB5" w:rsidRPr="00887D01" w:rsidRDefault="006B5BB5" w:rsidP="006B5BB5">
            <w:pPr>
              <w:widowControl w:val="0"/>
              <w:numPr>
                <w:ilvl w:val="1"/>
                <w:numId w:val="12"/>
              </w:numPr>
              <w:snapToGrid/>
              <w:spacing w:after="0" w:afterAutospacing="0"/>
              <w:rPr>
                <w:rFonts w:eastAsia="MS Mincho"/>
                <w:sz w:val="20"/>
                <w:szCs w:val="24"/>
                <w:lang w:val="en-US"/>
              </w:rPr>
            </w:pPr>
            <w:r w:rsidRPr="00887D01">
              <w:rPr>
                <w:rFonts w:eastAsia="MS Mincho"/>
                <w:sz w:val="20"/>
                <w:szCs w:val="24"/>
                <w:lang w:val="en-US"/>
              </w:rPr>
              <w:t xml:space="preserve">Case B2: </w:t>
            </w:r>
            <w:r w:rsidRPr="00887D01">
              <w:rPr>
                <w:rFonts w:eastAsia="MS Mincho" w:hint="eastAsia"/>
                <w:sz w:val="20"/>
                <w:szCs w:val="24"/>
                <w:lang w:val="en-US"/>
              </w:rPr>
              <w:t xml:space="preserve">Two-step acquisition of the broadcast information </w:t>
            </w:r>
            <w:r w:rsidRPr="00887D01">
              <w:rPr>
                <w:rFonts w:eastAsia="MS Mincho"/>
                <w:sz w:val="20"/>
                <w:szCs w:val="24"/>
                <w:lang w:val="en-US"/>
              </w:rPr>
              <w:t>(e.g., MIB-like and then SIB1-like broadcast information)</w:t>
            </w:r>
          </w:p>
          <w:p w14:paraId="5552C1AA" w14:textId="77777777" w:rsidR="006B5BB5" w:rsidRPr="00887D01" w:rsidRDefault="006B5BB5" w:rsidP="006B5BB5">
            <w:pPr>
              <w:widowControl w:val="0"/>
              <w:numPr>
                <w:ilvl w:val="0"/>
                <w:numId w:val="12"/>
              </w:numPr>
              <w:snapToGrid/>
              <w:spacing w:after="0" w:afterAutospacing="0"/>
              <w:rPr>
                <w:rFonts w:eastAsia="MS Mincho"/>
                <w:sz w:val="20"/>
                <w:szCs w:val="24"/>
                <w:lang w:val="en-US"/>
              </w:rPr>
            </w:pPr>
            <w:r w:rsidRPr="00887D01">
              <w:rPr>
                <w:rFonts w:eastAsia="MS Mincho"/>
                <w:sz w:val="20"/>
                <w:szCs w:val="24"/>
                <w:lang w:val="en-US"/>
              </w:rPr>
              <w:t>On whether to use PRDCH to carry the broadcast information,</w:t>
            </w:r>
          </w:p>
          <w:p w14:paraId="62DC7038" w14:textId="77777777" w:rsidR="006B5BB5" w:rsidRPr="00887D01" w:rsidRDefault="006B5BB5" w:rsidP="006B5BB5">
            <w:pPr>
              <w:widowControl w:val="0"/>
              <w:numPr>
                <w:ilvl w:val="1"/>
                <w:numId w:val="12"/>
              </w:numPr>
              <w:snapToGrid/>
              <w:spacing w:after="0" w:afterAutospacing="0"/>
              <w:rPr>
                <w:rFonts w:eastAsia="MS Mincho"/>
                <w:sz w:val="20"/>
                <w:szCs w:val="24"/>
                <w:lang w:val="en-US"/>
              </w:rPr>
            </w:pPr>
            <w:r w:rsidRPr="00887D01">
              <w:rPr>
                <w:rFonts w:eastAsia="MS Mincho"/>
                <w:sz w:val="20"/>
                <w:szCs w:val="24"/>
                <w:lang w:val="en-US"/>
              </w:rPr>
              <w:t>For Case B1, PRDCH is used to carry the broadcast information.</w:t>
            </w:r>
          </w:p>
          <w:p w14:paraId="3DCA0FE7" w14:textId="77777777" w:rsidR="006B5BB5" w:rsidRPr="00887D01" w:rsidRDefault="006B5BB5" w:rsidP="006B5BB5">
            <w:pPr>
              <w:widowControl w:val="0"/>
              <w:numPr>
                <w:ilvl w:val="1"/>
                <w:numId w:val="12"/>
              </w:numPr>
              <w:snapToGrid/>
              <w:spacing w:after="0" w:afterAutospacing="0"/>
              <w:rPr>
                <w:rFonts w:eastAsia="MS Mincho"/>
                <w:sz w:val="20"/>
                <w:szCs w:val="24"/>
                <w:lang w:val="en-US"/>
              </w:rPr>
            </w:pPr>
            <w:r w:rsidRPr="00887D01">
              <w:rPr>
                <w:rFonts w:eastAsia="MS Mincho"/>
                <w:sz w:val="20"/>
                <w:szCs w:val="24"/>
                <w:lang w:val="en-US"/>
              </w:rPr>
              <w:t xml:space="preserve">For Case B2 </w:t>
            </w:r>
          </w:p>
          <w:p w14:paraId="0BD0D88E" w14:textId="77777777" w:rsidR="006B5BB5" w:rsidRPr="00887D01" w:rsidRDefault="006B5BB5" w:rsidP="006B5BB5">
            <w:pPr>
              <w:widowControl w:val="0"/>
              <w:numPr>
                <w:ilvl w:val="2"/>
                <w:numId w:val="12"/>
              </w:numPr>
              <w:snapToGrid/>
              <w:spacing w:after="0" w:afterAutospacing="0"/>
              <w:rPr>
                <w:rFonts w:eastAsia="MS Mincho"/>
                <w:sz w:val="20"/>
                <w:szCs w:val="24"/>
                <w:lang w:val="en-US"/>
              </w:rPr>
            </w:pPr>
            <w:r w:rsidRPr="00887D01">
              <w:rPr>
                <w:rFonts w:eastAsia="MS Mincho"/>
                <w:sz w:val="20"/>
                <w:szCs w:val="24"/>
                <w:lang w:val="en-US"/>
              </w:rPr>
              <w:t>PRDCH is used to carry the SIB1-like broadcast information.</w:t>
            </w:r>
          </w:p>
          <w:p w14:paraId="5AC9E284" w14:textId="77777777" w:rsidR="006B5BB5" w:rsidRPr="006B5BB5" w:rsidRDefault="006B5BB5" w:rsidP="007369D1">
            <w:pPr>
              <w:widowControl w:val="0"/>
              <w:numPr>
                <w:ilvl w:val="2"/>
                <w:numId w:val="12"/>
              </w:numPr>
              <w:snapToGrid/>
              <w:spacing w:after="0" w:afterAutospacing="0"/>
              <w:rPr>
                <w:rFonts w:eastAsia="MS Mincho"/>
                <w:sz w:val="20"/>
                <w:szCs w:val="24"/>
                <w:lang w:val="en-US"/>
              </w:rPr>
            </w:pPr>
            <w:r w:rsidRPr="00887D01">
              <w:rPr>
                <w:rFonts w:eastAsia="MS Mincho"/>
                <w:sz w:val="20"/>
                <w:szCs w:val="24"/>
                <w:lang w:val="en-US"/>
              </w:rPr>
              <w:t xml:space="preserve">A separate </w:t>
            </w:r>
            <w:r w:rsidRPr="00887D01">
              <w:rPr>
                <w:rFonts w:eastAsia="MS Mincho" w:hint="eastAsia"/>
                <w:sz w:val="20"/>
                <w:szCs w:val="24"/>
                <w:lang w:val="en-US"/>
              </w:rPr>
              <w:t xml:space="preserve">PRDCH or a new physical channel </w:t>
            </w:r>
            <w:r w:rsidRPr="00887D01">
              <w:rPr>
                <w:rFonts w:eastAsia="MS Mincho"/>
                <w:sz w:val="20"/>
                <w:szCs w:val="24"/>
                <w:lang w:val="en-US"/>
              </w:rPr>
              <w:t xml:space="preserve">dedicated to MIB-like </w:t>
            </w:r>
            <w:r w:rsidRPr="00887D01">
              <w:rPr>
                <w:rFonts w:eastAsia="MS Mincho" w:hint="eastAsia"/>
                <w:sz w:val="20"/>
                <w:szCs w:val="24"/>
                <w:lang w:val="en-US"/>
              </w:rPr>
              <w:t>is used to carry the MIB-like broadcast information</w:t>
            </w:r>
          </w:p>
          <w:p w14:paraId="68AEBEE3" w14:textId="77777777" w:rsidR="006B5BB5" w:rsidRPr="00887D01" w:rsidRDefault="006B5BB5" w:rsidP="006B5BB5">
            <w:pPr>
              <w:snapToGrid/>
              <w:spacing w:after="0" w:afterAutospacing="0"/>
              <w:rPr>
                <w:rFonts w:eastAsia="MS Mincho"/>
                <w:b/>
                <w:bCs/>
                <w:sz w:val="20"/>
                <w:szCs w:val="24"/>
              </w:rPr>
            </w:pPr>
            <w:r w:rsidRPr="00887D01">
              <w:rPr>
                <w:rFonts w:eastAsia="MS Mincho" w:hint="eastAsia"/>
                <w:b/>
                <w:bCs/>
                <w:sz w:val="20"/>
                <w:szCs w:val="24"/>
                <w:highlight w:val="green"/>
              </w:rPr>
              <w:t>Agreement</w:t>
            </w:r>
          </w:p>
          <w:p w14:paraId="12DDF6AA" w14:textId="77777777" w:rsidR="006B5BB5" w:rsidRPr="00887D01" w:rsidRDefault="006B5BB5" w:rsidP="006B5BB5">
            <w:pPr>
              <w:snapToGrid/>
              <w:spacing w:after="0" w:afterAutospacing="0"/>
              <w:rPr>
                <w:rFonts w:ascii="Times" w:eastAsia="Batang" w:hAnsi="Times"/>
                <w:sz w:val="20"/>
                <w:szCs w:val="24"/>
                <w:lang w:eastAsia="ko-KR"/>
              </w:rPr>
            </w:pPr>
            <w:r w:rsidRPr="00887D01">
              <w:rPr>
                <w:rFonts w:ascii="Times" w:eastAsia="MS Mincho" w:hAnsi="Times" w:hint="eastAsia"/>
                <w:sz w:val="20"/>
                <w:szCs w:val="24"/>
              </w:rPr>
              <w:t>P</w:t>
            </w:r>
            <w:r w:rsidRPr="00887D01">
              <w:rPr>
                <w:rFonts w:ascii="Times" w:eastAsia="Batang" w:hAnsi="Times"/>
                <w:sz w:val="20"/>
                <w:szCs w:val="24"/>
                <w:lang w:eastAsia="ko-KR"/>
              </w:rPr>
              <w:t xml:space="preserve">eriodic transmission of broadcast information </w:t>
            </w:r>
            <w:r w:rsidRPr="00887D01">
              <w:rPr>
                <w:rFonts w:ascii="Times" w:eastAsia="MS Mincho" w:hAnsi="Times" w:hint="eastAsia"/>
                <w:sz w:val="20"/>
                <w:szCs w:val="24"/>
              </w:rPr>
              <w:t xml:space="preserve">to provide </w:t>
            </w:r>
            <w:r w:rsidRPr="00887D01">
              <w:rPr>
                <w:rFonts w:eastAsia="MS Mincho"/>
                <w:sz w:val="20"/>
                <w:szCs w:val="24"/>
                <w:lang w:val="en-US"/>
              </w:rPr>
              <w:t>at least necessary in</w:t>
            </w:r>
            <w:r w:rsidRPr="00887D01">
              <w:rPr>
                <w:rFonts w:eastAsia="MS Mincho" w:hint="eastAsia"/>
                <w:sz w:val="20"/>
                <w:szCs w:val="24"/>
                <w:lang w:val="en-US"/>
              </w:rPr>
              <w:t>formation</w:t>
            </w:r>
            <w:r w:rsidRPr="00887D01">
              <w:rPr>
                <w:rFonts w:eastAsia="MS Mincho"/>
                <w:sz w:val="20"/>
                <w:szCs w:val="24"/>
                <w:lang w:val="en-US"/>
              </w:rPr>
              <w:t xml:space="preserve"> for subsequent transmission and reception</w:t>
            </w:r>
            <w:r w:rsidRPr="00887D01">
              <w:rPr>
                <w:rFonts w:ascii="Times" w:eastAsia="Batang" w:hAnsi="Times"/>
                <w:sz w:val="20"/>
                <w:szCs w:val="24"/>
                <w:lang w:eastAsia="ko-KR"/>
              </w:rPr>
              <w:t xml:space="preserve"> is necessary for Device 2b and for Device C.</w:t>
            </w:r>
          </w:p>
          <w:p w14:paraId="684C9652" w14:textId="77777777" w:rsidR="006B5BB5" w:rsidRPr="00887D01" w:rsidRDefault="006B5BB5" w:rsidP="006B5BB5">
            <w:pPr>
              <w:widowControl w:val="0"/>
              <w:numPr>
                <w:ilvl w:val="0"/>
                <w:numId w:val="12"/>
              </w:numPr>
              <w:snapToGrid/>
              <w:spacing w:after="0" w:afterAutospacing="0"/>
              <w:rPr>
                <w:rFonts w:eastAsia="MS Mincho"/>
                <w:sz w:val="20"/>
                <w:szCs w:val="24"/>
                <w:lang w:val="en-US"/>
              </w:rPr>
            </w:pPr>
            <w:r w:rsidRPr="00887D01">
              <w:rPr>
                <w:rFonts w:eastAsia="MS Mincho" w:hint="eastAsia"/>
                <w:sz w:val="20"/>
                <w:szCs w:val="24"/>
                <w:lang w:val="en-US"/>
              </w:rPr>
              <w:t xml:space="preserve">FFS (in SI or WI): whether </w:t>
            </w:r>
            <w:r w:rsidRPr="00887D01">
              <w:rPr>
                <w:rFonts w:eastAsia="MS Mincho"/>
                <w:sz w:val="20"/>
                <w:szCs w:val="24"/>
                <w:lang w:val="en-US"/>
              </w:rPr>
              <w:t>the transmission of broadcast</w:t>
            </w:r>
            <w:r w:rsidRPr="00887D01">
              <w:rPr>
                <w:rFonts w:eastAsia="MS Mincho" w:hint="eastAsia"/>
                <w:sz w:val="20"/>
                <w:szCs w:val="24"/>
                <w:lang w:val="en-US"/>
              </w:rPr>
              <w:t xml:space="preserve"> </w:t>
            </w:r>
            <w:r w:rsidRPr="00887D01">
              <w:rPr>
                <w:rFonts w:eastAsia="MS Mincho"/>
                <w:sz w:val="20"/>
                <w:szCs w:val="24"/>
                <w:lang w:val="en-US"/>
              </w:rPr>
              <w:t xml:space="preserve">information </w:t>
            </w:r>
            <w:r w:rsidRPr="00887D01">
              <w:rPr>
                <w:rFonts w:eastAsia="MS Mincho" w:hint="eastAsia"/>
                <w:sz w:val="20"/>
                <w:szCs w:val="24"/>
                <w:lang w:val="en-US"/>
              </w:rPr>
              <w:t>is strictly periodic at reader</w:t>
            </w:r>
          </w:p>
          <w:p w14:paraId="5D2FBB54" w14:textId="77777777" w:rsidR="006B5BB5" w:rsidRPr="00887D01" w:rsidRDefault="006B5BB5" w:rsidP="006B5BB5">
            <w:pPr>
              <w:widowControl w:val="0"/>
              <w:numPr>
                <w:ilvl w:val="0"/>
                <w:numId w:val="12"/>
              </w:numPr>
              <w:snapToGrid/>
              <w:spacing w:after="0" w:afterAutospacing="0"/>
              <w:rPr>
                <w:rFonts w:eastAsia="MS Mincho"/>
                <w:sz w:val="20"/>
                <w:szCs w:val="24"/>
                <w:lang w:val="en-US"/>
              </w:rPr>
            </w:pPr>
            <w:r w:rsidRPr="00887D01">
              <w:rPr>
                <w:rFonts w:eastAsia="MS Mincho" w:hint="eastAsia"/>
                <w:sz w:val="20"/>
                <w:szCs w:val="24"/>
                <w:lang w:val="en-US"/>
              </w:rPr>
              <w:t xml:space="preserve">FFS (in SI or WI): periodicity of </w:t>
            </w:r>
            <w:r w:rsidRPr="00887D01">
              <w:rPr>
                <w:rFonts w:eastAsia="MS Mincho"/>
                <w:sz w:val="20"/>
                <w:szCs w:val="24"/>
                <w:lang w:val="en-US"/>
              </w:rPr>
              <w:t>the transmission of broadcast</w:t>
            </w:r>
            <w:r w:rsidRPr="00887D01">
              <w:rPr>
                <w:rFonts w:eastAsia="MS Mincho" w:hint="eastAsia"/>
                <w:sz w:val="20"/>
                <w:szCs w:val="24"/>
                <w:lang w:val="en-US"/>
              </w:rPr>
              <w:t xml:space="preserve"> </w:t>
            </w:r>
            <w:r w:rsidRPr="00887D01">
              <w:rPr>
                <w:rFonts w:eastAsia="MS Mincho"/>
                <w:sz w:val="20"/>
                <w:szCs w:val="24"/>
                <w:lang w:val="en-US"/>
              </w:rPr>
              <w:t>information</w:t>
            </w:r>
          </w:p>
          <w:p w14:paraId="4339DBCE" w14:textId="3EACC417" w:rsidR="006B5BB5" w:rsidRPr="006B5BB5" w:rsidRDefault="006B5BB5" w:rsidP="006B5BB5">
            <w:pPr>
              <w:widowControl w:val="0"/>
              <w:snapToGrid/>
              <w:spacing w:after="0" w:afterAutospacing="0"/>
              <w:rPr>
                <w:rFonts w:eastAsia="MS Mincho"/>
                <w:sz w:val="20"/>
                <w:szCs w:val="24"/>
                <w:lang w:val="en-US"/>
              </w:rPr>
            </w:pPr>
          </w:p>
        </w:tc>
      </w:tr>
    </w:tbl>
    <w:p w14:paraId="0718F3A3" w14:textId="77777777" w:rsidR="006B5BB5" w:rsidRDefault="006B5BB5" w:rsidP="007369D1">
      <w:pPr>
        <w:snapToGrid/>
        <w:spacing w:after="0" w:afterAutospacing="0"/>
        <w:rPr>
          <w:rFonts w:eastAsiaTheme="minorEastAsia"/>
          <w:sz w:val="20"/>
          <w:szCs w:val="24"/>
          <w:lang w:eastAsia="zh-CN"/>
        </w:rPr>
      </w:pPr>
    </w:p>
    <w:p w14:paraId="3B456930" w14:textId="77777777" w:rsidR="004B2512" w:rsidRPr="004B2512" w:rsidRDefault="004B2512" w:rsidP="004B2512">
      <w:pPr>
        <w:spacing w:beforeLines="50" w:before="180" w:beforeAutospacing="1" w:afterLines="50" w:after="180" w:afterAutospacing="0"/>
        <w:rPr>
          <w:rFonts w:eastAsia="宋体"/>
          <w:lang w:val="en-US" w:eastAsia="zh-CN"/>
        </w:rPr>
      </w:pPr>
      <w:r w:rsidRPr="004B2512">
        <w:rPr>
          <w:rFonts w:eastAsia="宋体"/>
          <w:lang w:val="en-US" w:eastAsia="zh-CN"/>
        </w:rPr>
        <w:lastRenderedPageBreak/>
        <w:t>In Case B1, broadcast information is acquired in a single step. All necessary broadcast information is transmitted together. Since the broadcast information is intended to cover all A-IoT devices, it is expected to be carried on PRDCH with a very low data rate and high coverage. However, this introduces a significant challenge for devices, as they are required to search over a raster and directly demodulate a relatively large PRDCH payload. To mitigate this issue, it is expected that the broadcast PRDCH in Case B1 is always preceded by a synchronizing signal, which enables reliable detection and acquisition.</w:t>
      </w:r>
    </w:p>
    <w:p w14:paraId="70E1203D" w14:textId="77777777" w:rsidR="004B2512" w:rsidRPr="004B2512" w:rsidRDefault="004B2512" w:rsidP="004B2512">
      <w:pPr>
        <w:spacing w:beforeLines="50" w:before="180" w:beforeAutospacing="1" w:afterLines="50" w:after="180" w:afterAutospacing="0"/>
        <w:rPr>
          <w:rFonts w:eastAsia="宋体"/>
          <w:lang w:val="en-US" w:eastAsia="zh-CN"/>
        </w:rPr>
      </w:pPr>
      <w:r w:rsidRPr="004B2512">
        <w:rPr>
          <w:rFonts w:eastAsia="宋体"/>
          <w:lang w:val="en-US" w:eastAsia="zh-CN"/>
        </w:rPr>
        <w:t>In Case B2, broadcast information is acquired in two steps. The MIB-like information has a very small payload and can be transmitted with maximum coverage, while the SIB1-like information, carried on PRDCH, can support a larger payload and more flexible configuration. This hierarchical design improves flexibility and extensibility. However, it may result in increased device complexity and additional acquisition procedures, compared to Case B1.</w:t>
      </w:r>
    </w:p>
    <w:p w14:paraId="079EC125" w14:textId="6F1C844B" w:rsidR="004B2512" w:rsidRPr="004B2512" w:rsidRDefault="004B2512" w:rsidP="004B2512">
      <w:pPr>
        <w:spacing w:beforeLines="50" w:before="180" w:beforeAutospacing="1" w:afterLines="50" w:after="180" w:afterAutospacing="0"/>
        <w:rPr>
          <w:rFonts w:eastAsia="宋体"/>
          <w:lang w:val="en-US" w:eastAsia="zh-CN"/>
        </w:rPr>
      </w:pPr>
      <w:r w:rsidRPr="004B2512">
        <w:rPr>
          <w:rFonts w:eastAsia="宋体"/>
          <w:lang w:val="en-US" w:eastAsia="zh-CN"/>
        </w:rPr>
        <w:t>The down-selection between Case B1 and Case B2 may depend on how much broadcast information needs to be carried, as well as the resulting impact on device complexity, coverage, and power consumption. This aspect requires further study</w:t>
      </w:r>
      <w:r w:rsidR="00E435CD">
        <w:rPr>
          <w:rFonts w:eastAsia="宋体" w:hint="eastAsia"/>
          <w:lang w:val="en-US" w:eastAsia="zh-CN"/>
        </w:rPr>
        <w:t xml:space="preserve"> in WI</w:t>
      </w:r>
      <w:r w:rsidRPr="004B2512">
        <w:rPr>
          <w:rFonts w:eastAsia="宋体"/>
          <w:lang w:val="en-US" w:eastAsia="zh-CN"/>
        </w:rPr>
        <w:t>.</w:t>
      </w:r>
    </w:p>
    <w:p w14:paraId="0F159C80" w14:textId="38AE6969" w:rsidR="004B2512" w:rsidRPr="00234A21" w:rsidRDefault="004B2512" w:rsidP="00B0181D">
      <w:pPr>
        <w:spacing w:beforeLines="50" w:before="180" w:after="0" w:afterAutospacing="0"/>
        <w:jc w:val="left"/>
        <w:rPr>
          <w:rFonts w:eastAsia="宋体"/>
          <w:lang w:val="en-US" w:eastAsia="zh-CN"/>
        </w:rPr>
      </w:pPr>
      <w:r w:rsidRPr="004B2512">
        <w:rPr>
          <w:rFonts w:eastAsia="宋体"/>
          <w:b/>
          <w:bCs/>
          <w:lang w:val="en-US" w:eastAsia="zh-CN"/>
        </w:rPr>
        <w:t>Proposal 1</w:t>
      </w:r>
      <w:r w:rsidRPr="004B2512">
        <w:rPr>
          <w:rFonts w:eastAsia="宋体" w:hint="eastAsia"/>
          <w:b/>
          <w:bCs/>
          <w:lang w:val="en-US" w:eastAsia="zh-CN"/>
        </w:rPr>
        <w:t xml:space="preserve">: </w:t>
      </w:r>
      <w:r w:rsidR="00D57EE9">
        <w:rPr>
          <w:rFonts w:eastAsia="宋体" w:hint="eastAsia"/>
          <w:lang w:val="en-US" w:eastAsia="zh-CN"/>
        </w:rPr>
        <w:t>O</w:t>
      </w:r>
      <w:r w:rsidR="00627AA1" w:rsidRPr="00234A21">
        <w:rPr>
          <w:rFonts w:eastAsia="宋体" w:hint="eastAsia"/>
          <w:lang w:val="en-US" w:eastAsia="zh-CN"/>
        </w:rPr>
        <w:t xml:space="preserve">n the </w:t>
      </w:r>
      <w:r w:rsidR="00627AA1" w:rsidRPr="00234A21">
        <w:rPr>
          <w:rFonts w:eastAsia="宋体"/>
          <w:lang w:val="en-US" w:eastAsia="zh-CN"/>
        </w:rPr>
        <w:t>acquisition</w:t>
      </w:r>
      <w:r w:rsidR="00627AA1" w:rsidRPr="00234A21">
        <w:rPr>
          <w:rFonts w:eastAsia="宋体" w:hint="eastAsia"/>
          <w:lang w:val="en-US" w:eastAsia="zh-CN"/>
        </w:rPr>
        <w:t xml:space="preserve"> of the broadcast information, f</w:t>
      </w:r>
      <w:r w:rsidRPr="00234A21">
        <w:rPr>
          <w:rFonts w:eastAsia="宋体"/>
          <w:lang w:val="en-US" w:eastAsia="zh-CN"/>
        </w:rPr>
        <w:t>or Case B1, the broadcast PRDCH should always be preceded by a synchronizing signal to facilitate detection and acquisition</w:t>
      </w:r>
      <w:r w:rsidR="00234A21">
        <w:rPr>
          <w:rFonts w:eastAsia="宋体" w:hint="eastAsia"/>
          <w:lang w:val="en-US" w:eastAsia="zh-CN"/>
        </w:rPr>
        <w:t>;</w:t>
      </w:r>
      <w:r w:rsidR="00B0181D">
        <w:rPr>
          <w:rFonts w:eastAsia="宋体" w:hint="eastAsia"/>
          <w:lang w:val="en-US" w:eastAsia="zh-CN"/>
        </w:rPr>
        <w:t xml:space="preserve"> </w:t>
      </w:r>
      <w:r w:rsidRPr="00234A21">
        <w:rPr>
          <w:rFonts w:eastAsia="宋体"/>
          <w:lang w:val="en-US" w:eastAsia="zh-CN"/>
        </w:rPr>
        <w:t>For Case B2, the MIB-like channel should be designed to be as simple as possible, in order to minimize device complexity.</w:t>
      </w:r>
    </w:p>
    <w:p w14:paraId="3B488E66" w14:textId="77777777" w:rsidR="004B2512" w:rsidRDefault="004B2512" w:rsidP="007369D1">
      <w:pPr>
        <w:snapToGrid/>
        <w:spacing w:after="0" w:afterAutospacing="0"/>
        <w:rPr>
          <w:rFonts w:eastAsiaTheme="minorEastAsia"/>
          <w:sz w:val="20"/>
          <w:szCs w:val="24"/>
          <w:lang w:eastAsia="zh-CN"/>
        </w:rPr>
      </w:pPr>
    </w:p>
    <w:p w14:paraId="24776B4D" w14:textId="77777777" w:rsidR="007369D1" w:rsidRPr="00887D01" w:rsidRDefault="007369D1" w:rsidP="007369D1">
      <w:pPr>
        <w:snapToGrid/>
        <w:spacing w:after="0" w:afterAutospacing="0"/>
        <w:rPr>
          <w:rFonts w:eastAsia="MS Mincho"/>
          <w:sz w:val="20"/>
          <w:szCs w:val="24"/>
        </w:rPr>
      </w:pPr>
    </w:p>
    <w:p w14:paraId="0F02DEC7" w14:textId="31A197D3" w:rsidR="007369D1" w:rsidRDefault="008B65F6" w:rsidP="007369D1">
      <w:pPr>
        <w:overflowPunct w:val="0"/>
        <w:autoSpaceDE w:val="0"/>
        <w:autoSpaceDN w:val="0"/>
        <w:adjustRightInd w:val="0"/>
        <w:snapToGrid/>
        <w:spacing w:after="180" w:afterAutospacing="0"/>
        <w:contextualSpacing/>
        <w:textAlignment w:val="baseline"/>
        <w:rPr>
          <w:rFonts w:ascii="Times" w:eastAsiaTheme="minorEastAsia" w:hAnsi="Times" w:cs="Times"/>
          <w:color w:val="000000"/>
          <w:sz w:val="20"/>
          <w:szCs w:val="24"/>
          <w:lang w:eastAsia="zh-CN"/>
        </w:rPr>
      </w:pPr>
      <w:r w:rsidRPr="003344D5">
        <w:rPr>
          <w:rFonts w:eastAsia="宋体"/>
          <w:lang w:val="en-US" w:eastAsia="zh-CN"/>
        </w:rPr>
        <w:t xml:space="preserve">It is agreed that reader identification and differentiation is necessary, at least for Device 2b and Device C, particularly in outdoor deployment scenarios, in order to correctly differentiate R2D transmissions from different readers. </w:t>
      </w:r>
    </w:p>
    <w:tbl>
      <w:tblPr>
        <w:tblStyle w:val="ac"/>
        <w:tblW w:w="0" w:type="auto"/>
        <w:tblLook w:val="04A0" w:firstRow="1" w:lastRow="0" w:firstColumn="1" w:lastColumn="0" w:noHBand="0" w:noVBand="1"/>
      </w:tblPr>
      <w:tblGrid>
        <w:gridCol w:w="9954"/>
      </w:tblGrid>
      <w:tr w:rsidR="00C905DF" w14:paraId="2C21AF33" w14:textId="77777777" w:rsidTr="00C905DF">
        <w:tc>
          <w:tcPr>
            <w:tcW w:w="9954" w:type="dxa"/>
          </w:tcPr>
          <w:p w14:paraId="3BA3AB1C" w14:textId="77777777" w:rsidR="00C905DF" w:rsidRPr="00887D01" w:rsidRDefault="00C905DF" w:rsidP="00C905DF">
            <w:pPr>
              <w:snapToGrid/>
              <w:spacing w:after="0" w:afterAutospacing="0"/>
              <w:jc w:val="left"/>
              <w:rPr>
                <w:rFonts w:ascii="Times" w:eastAsia="MS Mincho" w:hAnsi="Times"/>
                <w:b/>
                <w:bCs/>
                <w:sz w:val="20"/>
                <w:szCs w:val="24"/>
              </w:rPr>
            </w:pPr>
            <w:r w:rsidRPr="00887D01">
              <w:rPr>
                <w:rFonts w:ascii="Times" w:eastAsia="MS Mincho" w:hAnsi="Times" w:hint="eastAsia"/>
                <w:b/>
                <w:bCs/>
                <w:sz w:val="20"/>
                <w:szCs w:val="24"/>
                <w:highlight w:val="green"/>
              </w:rPr>
              <w:t>Agreement</w:t>
            </w:r>
          </w:p>
          <w:p w14:paraId="10E81A61" w14:textId="77777777" w:rsidR="00C905DF" w:rsidRPr="00887D01" w:rsidRDefault="00C905DF" w:rsidP="00C905DF">
            <w:pPr>
              <w:snapToGrid/>
              <w:spacing w:after="0" w:afterAutospacing="0"/>
              <w:jc w:val="left"/>
              <w:rPr>
                <w:rFonts w:ascii="Times" w:eastAsia="Batang" w:hAnsi="Times"/>
                <w:sz w:val="20"/>
                <w:szCs w:val="24"/>
                <w:lang w:eastAsia="ko-KR"/>
              </w:rPr>
            </w:pPr>
            <w:bookmarkStart w:id="3" w:name="_Hlk217912984"/>
            <w:r w:rsidRPr="00887D01">
              <w:rPr>
                <w:rFonts w:ascii="Times" w:eastAsia="MS Mincho" w:hAnsi="Times" w:hint="eastAsia"/>
                <w:sz w:val="20"/>
                <w:szCs w:val="24"/>
              </w:rPr>
              <w:t>R</w:t>
            </w:r>
            <w:r w:rsidRPr="00887D01">
              <w:rPr>
                <w:rFonts w:ascii="Times" w:eastAsia="Batang" w:hAnsi="Times"/>
                <w:sz w:val="20"/>
                <w:szCs w:val="24"/>
                <w:lang w:eastAsia="ko-KR"/>
              </w:rPr>
              <w:t>eader</w:t>
            </w:r>
            <w:r w:rsidRPr="00887D01">
              <w:rPr>
                <w:rFonts w:ascii="Times" w:eastAsia="Batang" w:hAnsi="Times" w:hint="eastAsia"/>
                <w:sz w:val="20"/>
                <w:szCs w:val="24"/>
                <w:lang w:eastAsia="ko-KR"/>
              </w:rPr>
              <w:t xml:space="preserve"> </w:t>
            </w:r>
            <w:r w:rsidRPr="00887D01">
              <w:rPr>
                <w:rFonts w:ascii="Times" w:eastAsia="MS Mincho" w:hAnsi="Times" w:hint="eastAsia"/>
                <w:sz w:val="20"/>
                <w:szCs w:val="24"/>
              </w:rPr>
              <w:t>identification/differentiation</w:t>
            </w:r>
            <w:r w:rsidRPr="00887D01">
              <w:rPr>
                <w:rFonts w:ascii="Times" w:eastAsia="Batang" w:hAnsi="Times" w:hint="eastAsia"/>
                <w:sz w:val="20"/>
                <w:szCs w:val="24"/>
                <w:lang w:eastAsia="ko-KR"/>
              </w:rPr>
              <w:t xml:space="preserve"> is necessary for Device 2b and for Device C</w:t>
            </w:r>
            <w:r w:rsidRPr="00887D01">
              <w:rPr>
                <w:rFonts w:ascii="Times" w:eastAsia="MS Mincho" w:hAnsi="Times" w:hint="eastAsia"/>
                <w:sz w:val="20"/>
                <w:szCs w:val="24"/>
              </w:rPr>
              <w:t>, at least in outdoor scenario to differentiate R2D among different readers</w:t>
            </w:r>
            <w:r w:rsidRPr="00887D01">
              <w:rPr>
                <w:rFonts w:ascii="Times" w:eastAsia="Batang" w:hAnsi="Times" w:hint="eastAsia"/>
                <w:sz w:val="20"/>
                <w:szCs w:val="24"/>
                <w:lang w:eastAsia="ko-KR"/>
              </w:rPr>
              <w:t>.</w:t>
            </w:r>
          </w:p>
          <w:bookmarkEnd w:id="3"/>
          <w:p w14:paraId="3348C079" w14:textId="77777777" w:rsidR="00C905DF" w:rsidRPr="00887D01" w:rsidRDefault="00C905DF" w:rsidP="00C905DF">
            <w:pPr>
              <w:snapToGrid/>
              <w:spacing w:after="0" w:afterAutospacing="0"/>
              <w:rPr>
                <w:rFonts w:eastAsia="MS Mincho"/>
                <w:sz w:val="20"/>
                <w:szCs w:val="24"/>
              </w:rPr>
            </w:pPr>
          </w:p>
          <w:p w14:paraId="090CB581" w14:textId="77777777" w:rsidR="00C905DF" w:rsidRPr="00887D01" w:rsidRDefault="00C905DF" w:rsidP="00C905DF">
            <w:pPr>
              <w:overflowPunct w:val="0"/>
              <w:autoSpaceDE w:val="0"/>
              <w:autoSpaceDN w:val="0"/>
              <w:adjustRightInd w:val="0"/>
              <w:snapToGrid/>
              <w:spacing w:after="180" w:afterAutospacing="0"/>
              <w:contextualSpacing/>
              <w:textAlignment w:val="baseline"/>
              <w:rPr>
                <w:rFonts w:ascii="Times" w:eastAsia="MS Mincho" w:hAnsi="Times" w:cs="Times"/>
                <w:b/>
                <w:bCs/>
                <w:color w:val="000000"/>
                <w:sz w:val="20"/>
                <w:szCs w:val="24"/>
              </w:rPr>
            </w:pPr>
            <w:r w:rsidRPr="00887D01">
              <w:rPr>
                <w:rFonts w:ascii="Times" w:eastAsia="MS Mincho" w:hAnsi="Times" w:cs="Times" w:hint="eastAsia"/>
                <w:b/>
                <w:bCs/>
                <w:color w:val="000000"/>
                <w:sz w:val="20"/>
                <w:szCs w:val="24"/>
                <w:highlight w:val="green"/>
              </w:rPr>
              <w:t>Agreement</w:t>
            </w:r>
          </w:p>
          <w:p w14:paraId="479BDDA5" w14:textId="77777777" w:rsidR="00C905DF" w:rsidRPr="00887D01" w:rsidRDefault="00C905DF" w:rsidP="00C905DF">
            <w:pPr>
              <w:snapToGrid/>
              <w:spacing w:after="0" w:afterAutospacing="0"/>
              <w:rPr>
                <w:rFonts w:ascii="Times" w:eastAsia="Batang" w:hAnsi="Times"/>
                <w:sz w:val="20"/>
                <w:szCs w:val="24"/>
                <w:lang w:val="en-US" w:eastAsia="ko-KR"/>
              </w:rPr>
            </w:pPr>
            <w:r w:rsidRPr="00887D01">
              <w:rPr>
                <w:rFonts w:ascii="Times" w:eastAsia="MS Mincho" w:hAnsi="Times" w:hint="eastAsia"/>
                <w:sz w:val="20"/>
                <w:szCs w:val="24"/>
                <w:lang w:val="en-US"/>
              </w:rPr>
              <w:t>F</w:t>
            </w:r>
            <w:r w:rsidRPr="00887D01">
              <w:rPr>
                <w:rFonts w:ascii="Times" w:eastAsia="Batang" w:hAnsi="Times"/>
                <w:sz w:val="20"/>
                <w:szCs w:val="24"/>
                <w:lang w:eastAsia="ko-KR"/>
              </w:rPr>
              <w:t xml:space="preserve">or </w:t>
            </w:r>
            <w:r w:rsidRPr="00887D01">
              <w:rPr>
                <w:rFonts w:ascii="Times" w:eastAsia="MS Mincho" w:hAnsi="Times"/>
                <w:sz w:val="20"/>
                <w:szCs w:val="24"/>
              </w:rPr>
              <w:t>r</w:t>
            </w:r>
            <w:r w:rsidRPr="00887D01">
              <w:rPr>
                <w:rFonts w:ascii="Times" w:eastAsia="Batang" w:hAnsi="Times"/>
                <w:sz w:val="20"/>
                <w:szCs w:val="24"/>
                <w:lang w:eastAsia="ko-KR"/>
              </w:rPr>
              <w:t>eader</w:t>
            </w:r>
            <w:r w:rsidRPr="00887D01">
              <w:rPr>
                <w:rFonts w:ascii="Times" w:eastAsia="Batang" w:hAnsi="Times" w:hint="eastAsia"/>
                <w:sz w:val="20"/>
                <w:szCs w:val="24"/>
                <w:lang w:eastAsia="ko-KR"/>
              </w:rPr>
              <w:t xml:space="preserve"> </w:t>
            </w:r>
            <w:r w:rsidRPr="00887D01">
              <w:rPr>
                <w:rFonts w:ascii="Times" w:eastAsia="MS Mincho" w:hAnsi="Times" w:hint="eastAsia"/>
                <w:sz w:val="20"/>
                <w:szCs w:val="24"/>
              </w:rPr>
              <w:t>identification/differentiation at least in outdoor scenario to differentiate R2D among different readers</w:t>
            </w:r>
            <w:r w:rsidRPr="00887D01">
              <w:rPr>
                <w:rFonts w:ascii="Times" w:eastAsia="MS Mincho" w:hAnsi="Times"/>
                <w:sz w:val="20"/>
                <w:szCs w:val="24"/>
              </w:rPr>
              <w:t xml:space="preserve">, </w:t>
            </w:r>
            <w:r w:rsidRPr="00887D01">
              <w:rPr>
                <w:rFonts w:ascii="Times" w:eastAsia="Batang" w:hAnsi="Times"/>
                <w:sz w:val="20"/>
                <w:szCs w:val="24"/>
                <w:lang w:val="en-US" w:eastAsia="ko-KR"/>
              </w:rPr>
              <w:t>a device acquires the reader ID-related information by at least one of the following options:</w:t>
            </w:r>
          </w:p>
          <w:p w14:paraId="4192DD3B" w14:textId="77777777" w:rsidR="00C905DF" w:rsidRPr="00887D01" w:rsidRDefault="00C905DF" w:rsidP="00C905DF">
            <w:pPr>
              <w:widowControl w:val="0"/>
              <w:numPr>
                <w:ilvl w:val="0"/>
                <w:numId w:val="12"/>
              </w:numPr>
              <w:snapToGrid/>
              <w:spacing w:after="0" w:afterAutospacing="0"/>
              <w:rPr>
                <w:rFonts w:eastAsia="MS Mincho"/>
                <w:sz w:val="20"/>
                <w:szCs w:val="24"/>
                <w:lang w:val="en-US"/>
              </w:rPr>
            </w:pPr>
            <w:r w:rsidRPr="00887D01">
              <w:rPr>
                <w:rFonts w:eastAsia="MS Mincho"/>
                <w:sz w:val="20"/>
                <w:szCs w:val="24"/>
                <w:lang w:val="en-US"/>
              </w:rPr>
              <w:t>Option 1: Reader ID-related information is contained in the broadcast information.</w:t>
            </w:r>
          </w:p>
          <w:p w14:paraId="3A3DF58E" w14:textId="77777777" w:rsidR="00C905DF" w:rsidRPr="00887D01" w:rsidRDefault="00C905DF" w:rsidP="00C905DF">
            <w:pPr>
              <w:widowControl w:val="0"/>
              <w:numPr>
                <w:ilvl w:val="0"/>
                <w:numId w:val="12"/>
              </w:numPr>
              <w:snapToGrid/>
              <w:spacing w:after="0" w:afterAutospacing="0"/>
              <w:rPr>
                <w:rFonts w:eastAsia="MS Mincho"/>
                <w:sz w:val="20"/>
                <w:szCs w:val="24"/>
                <w:lang w:val="en-US"/>
              </w:rPr>
            </w:pPr>
            <w:r w:rsidRPr="00887D01">
              <w:rPr>
                <w:rFonts w:eastAsia="MS Mincho"/>
                <w:sz w:val="20"/>
                <w:szCs w:val="24"/>
                <w:lang w:val="en-US"/>
              </w:rPr>
              <w:t>Option 2: Reader ID-related information is derived from the periodic sync signal sequence(s).</w:t>
            </w:r>
          </w:p>
          <w:p w14:paraId="7602093F" w14:textId="77777777" w:rsidR="00C905DF" w:rsidRPr="00887D01" w:rsidRDefault="00C905DF" w:rsidP="00C905DF">
            <w:pPr>
              <w:widowControl w:val="0"/>
              <w:numPr>
                <w:ilvl w:val="0"/>
                <w:numId w:val="12"/>
              </w:numPr>
              <w:snapToGrid/>
              <w:spacing w:after="0" w:afterAutospacing="0"/>
              <w:rPr>
                <w:rFonts w:eastAsia="MS Mincho"/>
                <w:sz w:val="20"/>
                <w:szCs w:val="24"/>
                <w:lang w:val="en-US"/>
              </w:rPr>
            </w:pPr>
            <w:r w:rsidRPr="00887D01">
              <w:rPr>
                <w:rFonts w:eastAsia="MS Mincho"/>
                <w:sz w:val="20"/>
                <w:szCs w:val="24"/>
                <w:lang w:val="en-US"/>
              </w:rPr>
              <w:t>Option 3: Reader ID-related information is carried by L1 R2D control information.</w:t>
            </w:r>
          </w:p>
          <w:p w14:paraId="4729ACB9" w14:textId="77777777" w:rsidR="00C905DF" w:rsidRPr="00887D01" w:rsidRDefault="00C905DF" w:rsidP="00C905DF">
            <w:pPr>
              <w:widowControl w:val="0"/>
              <w:numPr>
                <w:ilvl w:val="0"/>
                <w:numId w:val="12"/>
              </w:numPr>
              <w:snapToGrid/>
              <w:spacing w:after="0" w:afterAutospacing="0"/>
              <w:rPr>
                <w:rFonts w:eastAsia="MS Mincho"/>
                <w:sz w:val="20"/>
                <w:szCs w:val="24"/>
                <w:lang w:val="en-US"/>
              </w:rPr>
            </w:pPr>
            <w:r w:rsidRPr="00887D01">
              <w:rPr>
                <w:rFonts w:eastAsia="MS Mincho"/>
                <w:sz w:val="20"/>
                <w:szCs w:val="24"/>
                <w:lang w:val="en-US"/>
              </w:rPr>
              <w:t>Option 4: Reader ID-related information is contained in the higher-layer information in the paging-like message.</w:t>
            </w:r>
          </w:p>
          <w:p w14:paraId="54DC8D33" w14:textId="77777777" w:rsidR="00C905DF" w:rsidRDefault="00C905DF" w:rsidP="008E6D7A">
            <w:pPr>
              <w:snapToGrid/>
              <w:spacing w:after="0" w:afterAutospacing="0"/>
              <w:jc w:val="left"/>
              <w:rPr>
                <w:rFonts w:ascii="Times" w:eastAsia="MS Mincho" w:hAnsi="Times"/>
                <w:sz w:val="20"/>
                <w:szCs w:val="24"/>
              </w:rPr>
            </w:pPr>
          </w:p>
        </w:tc>
      </w:tr>
    </w:tbl>
    <w:p w14:paraId="1DA8D6C9" w14:textId="77777777" w:rsidR="008E6D7A" w:rsidRPr="00887D01" w:rsidRDefault="008E6D7A" w:rsidP="008E6D7A">
      <w:pPr>
        <w:snapToGrid/>
        <w:spacing w:after="0" w:afterAutospacing="0"/>
        <w:jc w:val="left"/>
        <w:rPr>
          <w:rFonts w:ascii="Times" w:eastAsia="MS Mincho" w:hAnsi="Times"/>
          <w:sz w:val="20"/>
          <w:szCs w:val="24"/>
        </w:rPr>
      </w:pPr>
    </w:p>
    <w:p w14:paraId="53FD4ADF" w14:textId="1F4A59CA" w:rsidR="008E6D7A" w:rsidRPr="003344D5" w:rsidRDefault="008B65F6" w:rsidP="003344D5">
      <w:pPr>
        <w:spacing w:beforeLines="50" w:before="180" w:beforeAutospacing="1" w:afterLines="50" w:after="180" w:afterAutospacing="0"/>
        <w:rPr>
          <w:rFonts w:eastAsia="宋体"/>
          <w:lang w:val="en-US" w:eastAsia="zh-CN"/>
        </w:rPr>
      </w:pPr>
      <w:r w:rsidRPr="003344D5">
        <w:rPr>
          <w:rFonts w:eastAsia="宋体"/>
          <w:lang w:val="en-US" w:eastAsia="zh-CN"/>
        </w:rPr>
        <w:lastRenderedPageBreak/>
        <w:t>In outdoor environments, multiple readers may be deployed with overlapping coverage, and without proper reader identification, a device may not be able to reliably associate received R2D transmissions with the intended reader.</w:t>
      </w:r>
      <w:r w:rsidRPr="007E18DE">
        <w:rPr>
          <w:rFonts w:eastAsia="宋体" w:hint="eastAsia"/>
          <w:lang w:val="en-US" w:eastAsia="zh-CN"/>
        </w:rPr>
        <w:t xml:space="preserve"> </w:t>
      </w:r>
    </w:p>
    <w:p w14:paraId="0726D584" w14:textId="70A73D69" w:rsidR="003344D5" w:rsidRPr="003344D5" w:rsidRDefault="003344D5" w:rsidP="003344D5">
      <w:pPr>
        <w:spacing w:beforeLines="50" w:before="180" w:beforeAutospacing="1" w:afterLines="50" w:after="180" w:afterAutospacing="0"/>
        <w:rPr>
          <w:rFonts w:eastAsia="宋体"/>
          <w:lang w:val="en-US" w:eastAsia="zh-CN"/>
        </w:rPr>
      </w:pPr>
      <w:r w:rsidRPr="003344D5">
        <w:rPr>
          <w:rFonts w:eastAsia="宋体"/>
          <w:lang w:val="en-US" w:eastAsia="zh-CN"/>
        </w:rPr>
        <w:t>Including basic reader identification information in the broadcast information</w:t>
      </w:r>
      <w:r w:rsidR="008B65F6">
        <w:rPr>
          <w:rFonts w:eastAsia="宋体" w:hint="eastAsia"/>
          <w:lang w:val="en-US" w:eastAsia="zh-CN"/>
        </w:rPr>
        <w:t>(option1)</w:t>
      </w:r>
      <w:r w:rsidRPr="003344D5">
        <w:rPr>
          <w:rFonts w:eastAsia="宋体"/>
          <w:lang w:val="en-US" w:eastAsia="zh-CN"/>
        </w:rPr>
        <w:t xml:space="preserve"> provides a common and reliable baseline mechanism. Since broadcast information is intended to be received by all devices within coverage, it allows a device to obtain essential reader identification at an early stage, before subsequent R2D reception or interaction. This is particularly beneficial for initial access and association, and avoids ambiguity in reader selection.</w:t>
      </w:r>
    </w:p>
    <w:p w14:paraId="1229F03B" w14:textId="0D325464" w:rsidR="003344D5" w:rsidRPr="008B65F6" w:rsidRDefault="003344D5" w:rsidP="008B65F6">
      <w:pPr>
        <w:spacing w:beforeLines="50" w:before="180" w:beforeAutospacing="1" w:afterLines="50" w:after="180" w:afterAutospacing="0"/>
        <w:rPr>
          <w:rFonts w:eastAsia="宋体"/>
          <w:lang w:val="en-US" w:eastAsia="zh-CN"/>
        </w:rPr>
      </w:pPr>
      <w:r w:rsidRPr="003344D5">
        <w:rPr>
          <w:rFonts w:eastAsia="宋体"/>
          <w:lang w:val="en-US" w:eastAsia="zh-CN"/>
        </w:rPr>
        <w:t>However, relying solely on broadcast information may not be sufficient in outdoor scenarios with dense reader deployment, where additional differentiation may be required due to overlapping coverage areas, dynamic reader operation, or device mobility. In such cases, complementary mechanisms can be beneficial</w:t>
      </w:r>
      <w:r w:rsidR="00B0181D">
        <w:rPr>
          <w:rFonts w:eastAsia="宋体" w:hint="eastAsia"/>
          <w:lang w:val="en-US" w:eastAsia="zh-CN"/>
        </w:rPr>
        <w:t xml:space="preserve">. </w:t>
      </w:r>
      <w:r w:rsidR="008B65F6">
        <w:rPr>
          <w:rFonts w:eastAsia="宋体"/>
          <w:lang w:val="en-US" w:eastAsia="zh-CN"/>
        </w:rPr>
        <w:t>O</w:t>
      </w:r>
      <w:r w:rsidR="008B65F6">
        <w:rPr>
          <w:rFonts w:eastAsia="宋体" w:hint="eastAsia"/>
          <w:lang w:val="en-US" w:eastAsia="zh-CN"/>
        </w:rPr>
        <w:t>ption2 provide the reader-ID acqu</w:t>
      </w:r>
      <w:r w:rsidR="00B0181D">
        <w:rPr>
          <w:rFonts w:eastAsia="宋体" w:hint="eastAsia"/>
          <w:lang w:val="en-US" w:eastAsia="zh-CN"/>
        </w:rPr>
        <w:t>isi</w:t>
      </w:r>
      <w:r w:rsidR="008B65F6">
        <w:rPr>
          <w:rFonts w:eastAsia="宋体" w:hint="eastAsia"/>
          <w:lang w:val="en-US" w:eastAsia="zh-CN"/>
        </w:rPr>
        <w:t xml:space="preserve">tion just like the SSS and PSS detection for PCI of cell. </w:t>
      </w:r>
      <w:r w:rsidRPr="008B65F6">
        <w:rPr>
          <w:rFonts w:eastAsia="宋体"/>
          <w:lang w:val="en-US" w:eastAsia="zh-CN"/>
        </w:rPr>
        <w:t>Option 3 allows explicit and timely reader differentiation during active communication.</w:t>
      </w:r>
      <w:r w:rsidR="008B65F6">
        <w:rPr>
          <w:rFonts w:eastAsia="宋体" w:hint="eastAsia"/>
          <w:lang w:val="en-US" w:eastAsia="zh-CN"/>
        </w:rPr>
        <w:t xml:space="preserve"> </w:t>
      </w:r>
      <w:r w:rsidRPr="008B65F6">
        <w:rPr>
          <w:rFonts w:eastAsia="宋体"/>
          <w:lang w:val="en-US" w:eastAsia="zh-CN"/>
        </w:rPr>
        <w:t>Option 4 provides flexibility for more complex or dynamic identification needs, at the cost of additional procedure and latency.</w:t>
      </w:r>
    </w:p>
    <w:p w14:paraId="7111A67B" w14:textId="77777777" w:rsidR="003344D5" w:rsidRPr="008B65F6" w:rsidRDefault="003344D5" w:rsidP="008B65F6">
      <w:pPr>
        <w:spacing w:beforeLines="50" w:before="180" w:beforeAutospacing="1" w:afterLines="50" w:after="180" w:afterAutospacing="0"/>
        <w:rPr>
          <w:rFonts w:eastAsia="宋体"/>
          <w:lang w:val="en-US" w:eastAsia="zh-CN"/>
        </w:rPr>
      </w:pPr>
      <w:r w:rsidRPr="008B65F6">
        <w:rPr>
          <w:rFonts w:eastAsia="宋体"/>
          <w:lang w:val="en-US" w:eastAsia="zh-CN"/>
        </w:rPr>
        <w:t>These options are not mutually exclusive and can be used in a complementary manner, depending on deployment conditions and device capability.</w:t>
      </w:r>
    </w:p>
    <w:p w14:paraId="4D2CB94A" w14:textId="77777777" w:rsidR="003344D5" w:rsidRPr="003344D5" w:rsidRDefault="003344D5" w:rsidP="003344D5">
      <w:pPr>
        <w:overflowPunct w:val="0"/>
        <w:autoSpaceDE w:val="0"/>
        <w:autoSpaceDN w:val="0"/>
        <w:adjustRightInd w:val="0"/>
        <w:snapToGrid/>
        <w:spacing w:after="180" w:afterAutospacing="0"/>
        <w:contextualSpacing/>
        <w:textAlignment w:val="baseline"/>
        <w:rPr>
          <w:rFonts w:ascii="Times" w:eastAsiaTheme="minorEastAsia" w:hAnsi="Times" w:cs="Times"/>
          <w:color w:val="000000"/>
          <w:sz w:val="20"/>
          <w:szCs w:val="24"/>
          <w:lang w:eastAsia="zh-CN"/>
        </w:rPr>
      </w:pPr>
    </w:p>
    <w:p w14:paraId="6A293456" w14:textId="46AD267D" w:rsidR="003344D5" w:rsidRPr="0087467B" w:rsidRDefault="003344D5" w:rsidP="008B65F6">
      <w:pPr>
        <w:spacing w:beforeLines="50" w:before="180" w:beforeAutospacing="1" w:afterLines="50" w:after="180" w:afterAutospacing="0"/>
        <w:rPr>
          <w:rFonts w:eastAsia="宋体"/>
          <w:lang w:val="en-US" w:eastAsia="zh-CN"/>
        </w:rPr>
      </w:pPr>
      <w:r w:rsidRPr="008B65F6">
        <w:rPr>
          <w:rFonts w:eastAsia="宋体"/>
          <w:b/>
          <w:bCs/>
          <w:lang w:val="en-US" w:eastAsia="zh-CN"/>
        </w:rPr>
        <w:t>Proposal</w:t>
      </w:r>
      <w:r w:rsidR="00787EB2">
        <w:rPr>
          <w:rFonts w:eastAsia="宋体" w:hint="eastAsia"/>
          <w:b/>
          <w:bCs/>
          <w:lang w:val="en-US" w:eastAsia="zh-CN"/>
        </w:rPr>
        <w:t xml:space="preserve"> 2</w:t>
      </w:r>
      <w:r w:rsidR="008B65F6" w:rsidRPr="008B65F6">
        <w:rPr>
          <w:rFonts w:eastAsia="宋体" w:hint="eastAsia"/>
          <w:b/>
          <w:bCs/>
          <w:lang w:val="en-US" w:eastAsia="zh-CN"/>
        </w:rPr>
        <w:t xml:space="preserve">: </w:t>
      </w:r>
      <w:r w:rsidRPr="0087467B">
        <w:rPr>
          <w:rFonts w:eastAsia="宋体"/>
          <w:lang w:val="en-US" w:eastAsia="zh-CN"/>
        </w:rPr>
        <w:t>Option 1 (broadcast-based reader ID) should be adopted as a baseline mechanism for reader identification, ensuring that all devices can obtain basic reader identification information with minimal complexity</w:t>
      </w:r>
      <w:r w:rsidR="00A72197">
        <w:rPr>
          <w:rFonts w:eastAsia="宋体" w:hint="eastAsia"/>
          <w:lang w:val="en-US" w:eastAsia="zh-CN"/>
        </w:rPr>
        <w:t xml:space="preserve">; </w:t>
      </w:r>
      <w:r w:rsidRPr="0087467B">
        <w:rPr>
          <w:rFonts w:eastAsia="宋体"/>
          <w:lang w:val="en-US" w:eastAsia="zh-CN"/>
        </w:rPr>
        <w:t>Options 2, 3, and 4 may be additionally supported and used by devices to further identify and differentiate the corresponding reader, especially in outdoor scenarios where multiple readers coexist and enhanced differentiation is required.</w:t>
      </w:r>
    </w:p>
    <w:p w14:paraId="04F5AED7" w14:textId="77777777" w:rsidR="003344D5" w:rsidRDefault="003344D5" w:rsidP="008E6D7A">
      <w:pPr>
        <w:overflowPunct w:val="0"/>
        <w:autoSpaceDE w:val="0"/>
        <w:autoSpaceDN w:val="0"/>
        <w:adjustRightInd w:val="0"/>
        <w:snapToGrid/>
        <w:spacing w:after="180" w:afterAutospacing="0"/>
        <w:contextualSpacing/>
        <w:textAlignment w:val="baseline"/>
        <w:rPr>
          <w:rFonts w:ascii="Times" w:eastAsiaTheme="minorEastAsia" w:hAnsi="Times" w:cs="Times"/>
          <w:color w:val="000000"/>
          <w:sz w:val="20"/>
          <w:szCs w:val="24"/>
          <w:lang w:eastAsia="zh-CN"/>
        </w:rPr>
      </w:pPr>
    </w:p>
    <w:p w14:paraId="379C4CB8" w14:textId="7E83F4C8" w:rsidR="00CF7A8C" w:rsidRDefault="009332AD">
      <w:pPr>
        <w:pStyle w:val="2"/>
        <w:spacing w:after="180"/>
        <w:rPr>
          <w:lang w:val="en-US" w:eastAsia="zh-CN"/>
        </w:rPr>
      </w:pPr>
      <w:bookmarkStart w:id="4" w:name="_Ref18388"/>
      <w:r>
        <w:rPr>
          <w:rFonts w:hint="eastAsia"/>
          <w:lang w:val="en-US" w:eastAsia="zh-CN"/>
        </w:rPr>
        <w:t>Support of DO-A traffic</w:t>
      </w:r>
      <w:bookmarkEnd w:id="4"/>
    </w:p>
    <w:p w14:paraId="0237F14F" w14:textId="77777777" w:rsidR="00CF7A8C" w:rsidRDefault="009332AD">
      <w:pPr>
        <w:snapToGrid/>
        <w:spacing w:beforeLines="50" w:before="180" w:beforeAutospacing="1" w:afterLines="50" w:after="180"/>
        <w:rPr>
          <w:rFonts w:eastAsia="宋体"/>
          <w:lang w:val="en-US" w:eastAsia="zh-CN"/>
        </w:rPr>
      </w:pPr>
      <w:r>
        <w:rPr>
          <w:rFonts w:eastAsia="宋体" w:hint="eastAsia"/>
          <w:lang w:val="en-US" w:eastAsia="zh-CN"/>
        </w:rPr>
        <w:t>The following was agreed in RAN1#122,</w:t>
      </w:r>
    </w:p>
    <w:tbl>
      <w:tblPr>
        <w:tblStyle w:val="ac"/>
        <w:tblW w:w="0" w:type="auto"/>
        <w:tblLook w:val="04A0" w:firstRow="1" w:lastRow="0" w:firstColumn="1" w:lastColumn="0" w:noHBand="0" w:noVBand="1"/>
      </w:tblPr>
      <w:tblGrid>
        <w:gridCol w:w="9954"/>
      </w:tblGrid>
      <w:tr w:rsidR="00CF7A8C" w14:paraId="42C85928" w14:textId="77777777">
        <w:tc>
          <w:tcPr>
            <w:tcW w:w="10180" w:type="dxa"/>
          </w:tcPr>
          <w:p w14:paraId="37311B99" w14:textId="77777777" w:rsidR="00CF7A8C" w:rsidRDefault="009332AD">
            <w:pPr>
              <w:snapToGrid/>
              <w:spacing w:after="0" w:afterAutospacing="0"/>
              <w:jc w:val="left"/>
              <w:rPr>
                <w:rFonts w:ascii="Times" w:eastAsia="宋体" w:hAnsi="Times" w:cs="Times"/>
                <w:b/>
                <w:sz w:val="20"/>
                <w:szCs w:val="24"/>
                <w:lang w:val="en-US" w:eastAsia="ko-KR"/>
              </w:rPr>
            </w:pPr>
            <w:r>
              <w:rPr>
                <w:rFonts w:ascii="Times" w:eastAsia="宋体" w:hAnsi="Times" w:cs="Times"/>
                <w:b/>
                <w:sz w:val="20"/>
                <w:szCs w:val="24"/>
                <w:highlight w:val="green"/>
                <w:lang w:val="en-US" w:eastAsia="ko-KR"/>
              </w:rPr>
              <w:t>Agreement</w:t>
            </w:r>
          </w:p>
          <w:p w14:paraId="71FC8364" w14:textId="77777777" w:rsidR="00CF7A8C" w:rsidRDefault="009332AD">
            <w:pPr>
              <w:snapToGrid/>
              <w:spacing w:after="0" w:afterAutospacing="0"/>
              <w:jc w:val="left"/>
              <w:rPr>
                <w:rFonts w:ascii="Times" w:eastAsia="宋体" w:hAnsi="Times" w:cs="Times"/>
                <w:sz w:val="21"/>
                <w:szCs w:val="21"/>
                <w:lang w:val="en-US" w:eastAsia="ko-KR"/>
              </w:rPr>
            </w:pPr>
            <w:r>
              <w:rPr>
                <w:rFonts w:ascii="Times" w:eastAsia="宋体" w:hAnsi="Times" w:cs="Times" w:hint="eastAsia"/>
                <w:sz w:val="21"/>
                <w:szCs w:val="21"/>
                <w:lang w:val="en-US" w:eastAsia="ko-KR"/>
              </w:rPr>
              <w:t xml:space="preserve">Study the following aspects to support DO-A </w:t>
            </w:r>
            <w:r>
              <w:rPr>
                <w:rFonts w:ascii="Times" w:eastAsia="宋体" w:hAnsi="Times" w:cs="Times"/>
                <w:sz w:val="21"/>
                <w:szCs w:val="21"/>
                <w:lang w:val="en-US" w:eastAsia="ko-KR"/>
              </w:rPr>
              <w:t xml:space="preserve">traffic </w:t>
            </w:r>
            <w:r>
              <w:rPr>
                <w:rFonts w:ascii="Times" w:eastAsia="Batang" w:hAnsi="Times"/>
                <w:sz w:val="21"/>
                <w:szCs w:val="21"/>
                <w:lang w:eastAsia="ko-KR"/>
              </w:rPr>
              <w:t>(periodic and event-triggered)</w:t>
            </w:r>
            <w:r>
              <w:rPr>
                <w:rFonts w:ascii="Times" w:eastAsia="宋体" w:hAnsi="Times" w:cs="Times"/>
                <w:sz w:val="21"/>
                <w:szCs w:val="21"/>
                <w:lang w:val="en-US" w:eastAsia="ko-KR"/>
              </w:rPr>
              <w:t xml:space="preserve"> for Device 2b and for Device C </w:t>
            </w:r>
            <w:r>
              <w:rPr>
                <w:rFonts w:ascii="Times" w:eastAsia="宋体" w:hAnsi="Times" w:cs="Times" w:hint="eastAsia"/>
                <w:sz w:val="21"/>
                <w:szCs w:val="21"/>
                <w:lang w:val="en-US" w:eastAsia="ko-KR"/>
              </w:rPr>
              <w:t>in Rel-20.</w:t>
            </w:r>
          </w:p>
          <w:p w14:paraId="7F4976C1" w14:textId="77777777" w:rsidR="00CF7A8C" w:rsidRDefault="009332AD">
            <w:pPr>
              <w:numPr>
                <w:ilvl w:val="0"/>
                <w:numId w:val="7"/>
              </w:numPr>
              <w:overflowPunct w:val="0"/>
              <w:autoSpaceDE w:val="0"/>
              <w:autoSpaceDN w:val="0"/>
              <w:adjustRightInd w:val="0"/>
              <w:spacing w:after="180"/>
              <w:contextualSpacing/>
              <w:textAlignment w:val="baseline"/>
              <w:rPr>
                <w:rFonts w:ascii="Times" w:eastAsia="Batang" w:hAnsi="Times"/>
                <w:sz w:val="21"/>
                <w:szCs w:val="21"/>
                <w:lang w:eastAsia="ko-KR"/>
              </w:rPr>
            </w:pPr>
            <w:r>
              <w:rPr>
                <w:rFonts w:ascii="Times" w:eastAsia="Batang" w:hAnsi="Times"/>
                <w:sz w:val="21"/>
                <w:szCs w:val="21"/>
                <w:lang w:eastAsia="ko-KR"/>
              </w:rPr>
              <w:t>Timing and frequency synchronization for DO-A transmission</w:t>
            </w:r>
          </w:p>
          <w:p w14:paraId="405DCBD1" w14:textId="77777777" w:rsidR="00CF7A8C" w:rsidRDefault="009332AD">
            <w:pPr>
              <w:numPr>
                <w:ilvl w:val="0"/>
                <w:numId w:val="7"/>
              </w:numPr>
              <w:overflowPunct w:val="0"/>
              <w:autoSpaceDE w:val="0"/>
              <w:autoSpaceDN w:val="0"/>
              <w:adjustRightInd w:val="0"/>
              <w:spacing w:after="180"/>
              <w:contextualSpacing/>
              <w:textAlignment w:val="baseline"/>
              <w:rPr>
                <w:rFonts w:ascii="Times" w:eastAsia="Batang" w:hAnsi="Times"/>
                <w:sz w:val="21"/>
                <w:szCs w:val="21"/>
                <w:lang w:eastAsia="ko-KR"/>
              </w:rPr>
            </w:pPr>
            <w:r>
              <w:rPr>
                <w:rFonts w:ascii="Times" w:eastAsia="Batang" w:hAnsi="Times"/>
                <w:sz w:val="21"/>
                <w:szCs w:val="21"/>
                <w:lang w:eastAsia="ko-KR"/>
              </w:rPr>
              <w:t>Resource allocation/determination method for DO-A transmission</w:t>
            </w:r>
          </w:p>
          <w:p w14:paraId="6960D495" w14:textId="77777777" w:rsidR="00CF7A8C" w:rsidRDefault="009332AD">
            <w:pPr>
              <w:numPr>
                <w:ilvl w:val="0"/>
                <w:numId w:val="7"/>
              </w:numPr>
              <w:overflowPunct w:val="0"/>
              <w:autoSpaceDE w:val="0"/>
              <w:autoSpaceDN w:val="0"/>
              <w:adjustRightInd w:val="0"/>
              <w:spacing w:after="180"/>
              <w:contextualSpacing/>
              <w:textAlignment w:val="baseline"/>
              <w:rPr>
                <w:rFonts w:eastAsia="宋体"/>
                <w:lang w:eastAsia="zh-CN"/>
              </w:rPr>
            </w:pPr>
            <w:r>
              <w:rPr>
                <w:rFonts w:ascii="Times" w:eastAsia="Batang" w:hAnsi="Times"/>
                <w:sz w:val="21"/>
                <w:szCs w:val="21"/>
                <w:lang w:eastAsia="ko-KR"/>
              </w:rPr>
              <w:t>Configuration/</w:t>
            </w:r>
            <w:proofErr w:type="spellStart"/>
            <w:r>
              <w:rPr>
                <w:rFonts w:ascii="Times" w:eastAsia="Batang" w:hAnsi="Times"/>
                <w:sz w:val="21"/>
                <w:szCs w:val="21"/>
                <w:lang w:eastAsia="ko-KR"/>
              </w:rPr>
              <w:t>signaling</w:t>
            </w:r>
            <w:proofErr w:type="spellEnd"/>
            <w:r>
              <w:rPr>
                <w:rFonts w:ascii="Times" w:eastAsia="Batang" w:hAnsi="Times"/>
                <w:sz w:val="21"/>
                <w:szCs w:val="21"/>
                <w:lang w:eastAsia="ko-KR"/>
              </w:rPr>
              <w:t xml:space="preserve"> of necessary information</w:t>
            </w:r>
          </w:p>
        </w:tc>
      </w:tr>
    </w:tbl>
    <w:p w14:paraId="1B112521" w14:textId="77777777" w:rsidR="00CF7A8C" w:rsidRDefault="009332AD">
      <w:pPr>
        <w:snapToGrid/>
        <w:spacing w:beforeLines="50" w:before="180" w:beforeAutospacing="1" w:afterLines="50" w:after="180"/>
        <w:rPr>
          <w:rFonts w:eastAsia="宋体"/>
          <w:lang w:val="en-US" w:eastAsia="zh-CN"/>
        </w:rPr>
      </w:pPr>
      <w:r>
        <w:rPr>
          <w:rFonts w:eastAsia="宋体" w:hint="eastAsia"/>
          <w:lang w:val="en-US" w:eastAsia="zh-CN"/>
        </w:rPr>
        <w:t xml:space="preserve">One possible approach to support DO-A traffic is to configure periodic D2R resources for </w:t>
      </w:r>
      <w:r>
        <w:rPr>
          <w:rFonts w:eastAsia="宋体"/>
          <w:lang w:val="en-US" w:eastAsia="zh-CN"/>
        </w:rPr>
        <w:t>“</w:t>
      </w:r>
      <w:r>
        <w:rPr>
          <w:rFonts w:eastAsia="宋体" w:hint="eastAsia"/>
          <w:lang w:val="en-US" w:eastAsia="zh-CN"/>
        </w:rPr>
        <w:t>Msg1</w:t>
      </w:r>
      <w:r>
        <w:rPr>
          <w:rFonts w:eastAsia="宋体"/>
          <w:lang w:val="en-US" w:eastAsia="zh-CN"/>
        </w:rPr>
        <w:t>”</w:t>
      </w:r>
      <w:r>
        <w:rPr>
          <w:rFonts w:eastAsia="宋体" w:hint="eastAsia"/>
          <w:lang w:val="en-US" w:eastAsia="zh-CN"/>
        </w:rPr>
        <w:t xml:space="preserve"> such that devices can perform CBRA procedure upon DO-A data arrival (with a delay depending on the time density of the configured D2R resources) at higher layers, i.e. similarly to the steps of </w:t>
      </w:r>
      <w:r>
        <w:rPr>
          <w:rFonts w:eastAsia="宋体"/>
          <w:lang w:val="en-US" w:eastAsia="zh-CN"/>
        </w:rPr>
        <w:t>“</w:t>
      </w:r>
      <w:r>
        <w:rPr>
          <w:rFonts w:eastAsia="宋体" w:hint="eastAsia"/>
          <w:lang w:val="en-US" w:eastAsia="zh-CN"/>
        </w:rPr>
        <w:t>CBRA</w:t>
      </w:r>
      <w:r>
        <w:rPr>
          <w:rFonts w:eastAsia="宋体"/>
          <w:lang w:val="en-US" w:eastAsia="zh-CN"/>
        </w:rPr>
        <w:t>”</w:t>
      </w:r>
      <w:r>
        <w:rPr>
          <w:rFonts w:eastAsia="宋体" w:hint="eastAsia"/>
          <w:lang w:val="en-US" w:eastAsia="zh-CN"/>
        </w:rPr>
        <w:t xml:space="preserve"> for 5G </w:t>
      </w:r>
      <w:proofErr w:type="spellStart"/>
      <w:r>
        <w:rPr>
          <w:rFonts w:eastAsia="宋体" w:hint="eastAsia"/>
          <w:lang w:val="en-US" w:eastAsia="zh-CN"/>
        </w:rPr>
        <w:t>eMBB</w:t>
      </w:r>
      <w:proofErr w:type="spellEnd"/>
      <w:r>
        <w:rPr>
          <w:rFonts w:eastAsia="宋体" w:hint="eastAsia"/>
          <w:lang w:val="en-US" w:eastAsia="zh-CN"/>
        </w:rPr>
        <w:t xml:space="preserve">. The main problem of this approach is the need for excessive D2R resources configured for </w:t>
      </w:r>
      <w:r>
        <w:rPr>
          <w:rFonts w:eastAsia="宋体"/>
          <w:lang w:val="en-US" w:eastAsia="zh-CN"/>
        </w:rPr>
        <w:lastRenderedPageBreak/>
        <w:t>“</w:t>
      </w:r>
      <w:r>
        <w:rPr>
          <w:rFonts w:eastAsia="宋体" w:hint="eastAsia"/>
          <w:lang w:val="en-US" w:eastAsia="zh-CN"/>
        </w:rPr>
        <w:t>Msg1</w:t>
      </w:r>
      <w:r>
        <w:rPr>
          <w:rFonts w:eastAsia="宋体"/>
          <w:lang w:val="en-US" w:eastAsia="zh-CN"/>
        </w:rPr>
        <w:t>”</w:t>
      </w:r>
      <w:r>
        <w:rPr>
          <w:rFonts w:eastAsia="宋体" w:hint="eastAsia"/>
          <w:lang w:val="en-US" w:eastAsia="zh-CN"/>
        </w:rPr>
        <w:t xml:space="preserve">, and the lack of flexibility in supporting a mix of DO-A traffic and DO-DTT traffic, or both </w:t>
      </w:r>
      <w:bookmarkStart w:id="5" w:name="OLE_LINK10"/>
      <w:r>
        <w:rPr>
          <w:rFonts w:eastAsia="宋体" w:hint="eastAsia"/>
          <w:lang w:val="en-US" w:eastAsia="zh-CN"/>
        </w:rPr>
        <w:t>periodic and even-triggered DO-A traffic</w:t>
      </w:r>
      <w:bookmarkEnd w:id="5"/>
      <w:r>
        <w:rPr>
          <w:rFonts w:eastAsia="宋体" w:hint="eastAsia"/>
          <w:lang w:val="en-US" w:eastAsia="zh-CN"/>
        </w:rPr>
        <w:t xml:space="preserve">. Another approach to support DO-A traffic is to allow devices to trigger A-IoT paging (which can in turn trigger CBRA by mostly reusing the design in Rel-19) via an autonomously triggered </w:t>
      </w:r>
      <w:r>
        <w:rPr>
          <w:rFonts w:eastAsia="宋体"/>
          <w:lang w:val="en-US" w:eastAsia="zh-CN"/>
        </w:rPr>
        <w:t>“</w:t>
      </w:r>
      <w:r>
        <w:rPr>
          <w:rFonts w:eastAsia="宋体" w:hint="eastAsia"/>
          <w:lang w:val="en-US" w:eastAsia="zh-CN"/>
        </w:rPr>
        <w:t>first D2R transmission</w:t>
      </w:r>
      <w:r>
        <w:rPr>
          <w:rFonts w:eastAsia="宋体"/>
          <w:lang w:val="en-US" w:eastAsia="zh-CN"/>
        </w:rPr>
        <w:t>”</w:t>
      </w:r>
      <w:r>
        <w:rPr>
          <w:rFonts w:eastAsia="宋体" w:hint="eastAsia"/>
          <w:lang w:val="en-US" w:eastAsia="zh-CN"/>
        </w:rPr>
        <w:t xml:space="preserve"> such that collision of the </w:t>
      </w:r>
      <w:r>
        <w:rPr>
          <w:rFonts w:eastAsia="宋体"/>
          <w:lang w:val="en-US" w:eastAsia="zh-CN"/>
        </w:rPr>
        <w:t>“</w:t>
      </w:r>
      <w:r>
        <w:rPr>
          <w:rFonts w:eastAsia="宋体" w:hint="eastAsia"/>
          <w:lang w:val="en-US" w:eastAsia="zh-CN"/>
        </w:rPr>
        <w:t>first D2R transmission</w:t>
      </w:r>
      <w:r>
        <w:rPr>
          <w:rFonts w:eastAsia="宋体"/>
          <w:lang w:val="en-US" w:eastAsia="zh-CN"/>
        </w:rPr>
        <w:t>”</w:t>
      </w:r>
      <w:r>
        <w:rPr>
          <w:rFonts w:eastAsia="宋体" w:hint="eastAsia"/>
          <w:lang w:val="en-US" w:eastAsia="zh-CN"/>
        </w:rPr>
        <w:t xml:space="preserve"> from different devices </w:t>
      </w:r>
      <w:proofErr w:type="spellStart"/>
      <w:r>
        <w:rPr>
          <w:rFonts w:eastAsia="宋体" w:hint="eastAsia"/>
          <w:lang w:val="en-US" w:eastAsia="zh-CN"/>
        </w:rPr>
        <w:t>dose</w:t>
      </w:r>
      <w:proofErr w:type="spellEnd"/>
      <w:r>
        <w:rPr>
          <w:rFonts w:eastAsia="宋体" w:hint="eastAsia"/>
          <w:lang w:val="en-US" w:eastAsia="zh-CN"/>
        </w:rPr>
        <w:t xml:space="preserve"> not matter as the </w:t>
      </w:r>
      <w:r>
        <w:rPr>
          <w:rFonts w:eastAsia="宋体"/>
          <w:lang w:val="en-US" w:eastAsia="zh-CN"/>
        </w:rPr>
        <w:t>“</w:t>
      </w:r>
      <w:r>
        <w:rPr>
          <w:rFonts w:eastAsia="宋体" w:hint="eastAsia"/>
          <w:lang w:val="en-US" w:eastAsia="zh-CN"/>
        </w:rPr>
        <w:t>first D2R transmission</w:t>
      </w:r>
      <w:r>
        <w:rPr>
          <w:rFonts w:eastAsia="宋体"/>
          <w:lang w:val="en-US" w:eastAsia="zh-CN"/>
        </w:rPr>
        <w:t>”</w:t>
      </w:r>
      <w:r>
        <w:rPr>
          <w:rFonts w:eastAsia="宋体" w:hint="eastAsia"/>
          <w:lang w:val="en-US" w:eastAsia="zh-CN"/>
        </w:rPr>
        <w:t xml:space="preserve"> does not serve any purpose other than triggering A-IoT paging; timing for the </w:t>
      </w:r>
      <w:r>
        <w:rPr>
          <w:rFonts w:eastAsia="宋体"/>
          <w:lang w:val="en-US" w:eastAsia="zh-CN"/>
        </w:rPr>
        <w:t>“</w:t>
      </w:r>
      <w:r>
        <w:rPr>
          <w:rFonts w:eastAsia="宋体" w:hint="eastAsia"/>
          <w:lang w:val="en-US" w:eastAsia="zh-CN"/>
        </w:rPr>
        <w:t>first D2R transmission</w:t>
      </w:r>
      <w:r>
        <w:rPr>
          <w:rFonts w:eastAsia="宋体"/>
          <w:lang w:val="en-US" w:eastAsia="zh-CN"/>
        </w:rPr>
        <w:t>”</w:t>
      </w:r>
      <w:r>
        <w:rPr>
          <w:rFonts w:eastAsia="宋体" w:hint="eastAsia"/>
          <w:lang w:val="en-US" w:eastAsia="zh-CN"/>
        </w:rPr>
        <w:t xml:space="preserve"> can thus be quite flexible, e.g. it can be any time within a time window (e.g. following an R2D transmission).</w:t>
      </w:r>
    </w:p>
    <w:p w14:paraId="7BCA3568" w14:textId="0E21C027" w:rsidR="00CF7A8C" w:rsidRPr="0087467B" w:rsidRDefault="009513F9" w:rsidP="004F47AB">
      <w:pPr>
        <w:widowControl w:val="0"/>
        <w:tabs>
          <w:tab w:val="left" w:pos="1418"/>
        </w:tabs>
        <w:snapToGrid/>
        <w:spacing w:before="240" w:after="0" w:afterAutospacing="0"/>
        <w:jc w:val="left"/>
        <w:rPr>
          <w:rFonts w:eastAsia="宋体"/>
          <w:lang w:val="en-US" w:eastAsia="zh-CN"/>
        </w:rPr>
      </w:pPr>
      <w:r w:rsidRPr="009513F9">
        <w:rPr>
          <w:rFonts w:eastAsia="宋体"/>
          <w:b/>
          <w:bCs/>
          <w:lang w:val="en-US" w:eastAsia="zh-CN"/>
        </w:rPr>
        <w:t>P</w:t>
      </w:r>
      <w:r w:rsidRPr="009513F9">
        <w:rPr>
          <w:rFonts w:eastAsia="宋体" w:hint="eastAsia"/>
          <w:b/>
          <w:bCs/>
          <w:lang w:val="en-US" w:eastAsia="zh-CN"/>
        </w:rPr>
        <w:t>roposal</w:t>
      </w:r>
      <w:r w:rsidR="00787EB2">
        <w:rPr>
          <w:rFonts w:eastAsia="宋体" w:hint="eastAsia"/>
          <w:b/>
          <w:bCs/>
          <w:lang w:val="en-US" w:eastAsia="zh-CN"/>
        </w:rPr>
        <w:t xml:space="preserve"> 3</w:t>
      </w:r>
      <w:r w:rsidRPr="009513F9">
        <w:rPr>
          <w:rFonts w:eastAsia="宋体" w:hint="eastAsia"/>
          <w:b/>
          <w:bCs/>
          <w:lang w:val="en-US" w:eastAsia="zh-CN"/>
        </w:rPr>
        <w:t xml:space="preserve">: </w:t>
      </w:r>
      <w:r w:rsidR="009332AD" w:rsidRPr="0087467B">
        <w:rPr>
          <w:rFonts w:eastAsia="宋体" w:hint="eastAsia"/>
          <w:lang w:val="en-US" w:eastAsia="zh-CN"/>
        </w:rPr>
        <w:t>For Device 2b and Device C, both periodic and event-triggered DO-A traffic can be supported by using an autonomously triggered D2R transmission to trigger A-IoT paging.</w:t>
      </w:r>
    </w:p>
    <w:p w14:paraId="176FCF7E" w14:textId="77777777" w:rsidR="00CF7A8C" w:rsidRDefault="009332AD" w:rsidP="00B0181D">
      <w:pPr>
        <w:widowControl w:val="0"/>
        <w:numPr>
          <w:ilvl w:val="0"/>
          <w:numId w:val="9"/>
        </w:numPr>
        <w:snapToGrid/>
        <w:spacing w:after="0" w:afterAutospacing="0"/>
        <w:rPr>
          <w:rFonts w:eastAsia="宋体"/>
          <w:lang w:val="en-US" w:eastAsia="zh-CN"/>
        </w:rPr>
      </w:pPr>
      <w:r>
        <w:rPr>
          <w:rFonts w:eastAsia="宋体" w:hint="eastAsia"/>
          <w:lang w:val="en-US" w:eastAsia="zh-CN"/>
        </w:rPr>
        <w:t>The D2R transmission does not carry any device-specific information.</w:t>
      </w:r>
    </w:p>
    <w:p w14:paraId="3777E03A" w14:textId="77777777" w:rsidR="00CF7A8C" w:rsidRDefault="009332AD" w:rsidP="00B0181D">
      <w:pPr>
        <w:widowControl w:val="0"/>
        <w:numPr>
          <w:ilvl w:val="0"/>
          <w:numId w:val="9"/>
        </w:numPr>
        <w:snapToGrid/>
        <w:spacing w:after="0" w:afterAutospacing="0"/>
        <w:rPr>
          <w:rFonts w:eastAsia="宋体"/>
          <w:lang w:val="en-US" w:eastAsia="zh-CN"/>
        </w:rPr>
      </w:pPr>
      <w:r>
        <w:rPr>
          <w:rFonts w:eastAsia="宋体" w:hint="eastAsia"/>
          <w:lang w:val="en-US" w:eastAsia="zh-CN"/>
        </w:rPr>
        <w:t>The D2R transmission can be performed at any time within a time window allocated by a preceding R2D transmission.</w:t>
      </w:r>
    </w:p>
    <w:p w14:paraId="74061325" w14:textId="77777777" w:rsidR="00787EB2" w:rsidRDefault="00787EB2" w:rsidP="00A21E44">
      <w:pPr>
        <w:rPr>
          <w:rFonts w:eastAsiaTheme="minorEastAsia"/>
          <w:lang w:eastAsia="zh-CN"/>
        </w:rPr>
      </w:pPr>
    </w:p>
    <w:p w14:paraId="72282737" w14:textId="7BA9FD30" w:rsidR="00175112" w:rsidRPr="00175112" w:rsidRDefault="00175112" w:rsidP="00175112">
      <w:pPr>
        <w:rPr>
          <w:rFonts w:eastAsiaTheme="minorEastAsia"/>
          <w:lang w:eastAsia="zh-CN"/>
        </w:rPr>
      </w:pPr>
      <w:r w:rsidRPr="00175112">
        <w:rPr>
          <w:rFonts w:eastAsiaTheme="minorEastAsia"/>
          <w:lang w:eastAsia="zh-CN"/>
        </w:rPr>
        <w:t>For DO-A transmission, timing and frequency synchronization requirements depend on the traffic characteristics, in particular whether the DO-A traffic is periodic or event-triggered.</w:t>
      </w:r>
    </w:p>
    <w:p w14:paraId="7853F000" w14:textId="17AD1AEB" w:rsidR="00175112" w:rsidRPr="00175112" w:rsidRDefault="00175112" w:rsidP="00175112">
      <w:pPr>
        <w:rPr>
          <w:rFonts w:eastAsiaTheme="minorEastAsia"/>
          <w:lang w:eastAsia="zh-CN"/>
        </w:rPr>
      </w:pPr>
      <w:r w:rsidRPr="00175112">
        <w:rPr>
          <w:rFonts w:eastAsiaTheme="minorEastAsia"/>
          <w:lang w:eastAsia="zh-CN"/>
        </w:rPr>
        <w:t xml:space="preserve">For periodic DO-A traffic, it can be expected that the device operates with a predictable transmission pattern. In this case, it is beneficial for the device to rely on periodic synchronization assistance from </w:t>
      </w:r>
      <w:r w:rsidR="00625DEC" w:rsidRPr="00175112">
        <w:rPr>
          <w:rFonts w:eastAsiaTheme="minorEastAsia"/>
          <w:lang w:eastAsia="zh-CN"/>
        </w:rPr>
        <w:t>the reader</w:t>
      </w:r>
      <w:r w:rsidRPr="00175112">
        <w:rPr>
          <w:rFonts w:eastAsiaTheme="minorEastAsia"/>
          <w:lang w:eastAsia="zh-CN"/>
        </w:rPr>
        <w:t>. Specifically, the presence of a periodic synchronization signal preceding the DO-A transmission enables the device to acquire or refresh timing and frequency reference, thereby improving transmission reliability while keeping device complexity low.</w:t>
      </w:r>
    </w:p>
    <w:p w14:paraId="14A1513D" w14:textId="34A7F59D" w:rsidR="00175112" w:rsidRDefault="00175112" w:rsidP="004F47AB">
      <w:pPr>
        <w:jc w:val="left"/>
        <w:rPr>
          <w:rFonts w:eastAsiaTheme="minorEastAsia"/>
          <w:lang w:eastAsia="zh-CN"/>
        </w:rPr>
      </w:pPr>
      <w:r w:rsidRPr="00A03411">
        <w:rPr>
          <w:rFonts w:eastAsia="宋体"/>
          <w:b/>
          <w:bCs/>
          <w:lang w:val="en-US" w:eastAsia="zh-CN"/>
        </w:rPr>
        <w:t>Proposal</w:t>
      </w:r>
      <w:r w:rsidR="00B0181D" w:rsidRPr="00A03411">
        <w:rPr>
          <w:rFonts w:eastAsia="宋体" w:hint="eastAsia"/>
          <w:b/>
          <w:bCs/>
          <w:lang w:val="en-US" w:eastAsia="zh-CN"/>
        </w:rPr>
        <w:t xml:space="preserve"> 4:</w:t>
      </w:r>
      <w:r w:rsidR="00B0181D" w:rsidRPr="00B0181D">
        <w:rPr>
          <w:rFonts w:eastAsiaTheme="minorEastAsia" w:hint="eastAsia"/>
          <w:b/>
          <w:bCs/>
          <w:lang w:eastAsia="zh-CN"/>
        </w:rPr>
        <w:t xml:space="preserve"> </w:t>
      </w:r>
      <w:r w:rsidRPr="00175112">
        <w:rPr>
          <w:rFonts w:eastAsiaTheme="minorEastAsia"/>
          <w:lang w:eastAsia="zh-CN"/>
        </w:rPr>
        <w:t>For Device 2b and Device C with periodic DO-A traffic, a periodic synchronization signal is expected to precede the DO-A transmission.</w:t>
      </w:r>
    </w:p>
    <w:p w14:paraId="7CEE4B99" w14:textId="39C996BF" w:rsidR="00E2425C" w:rsidRDefault="00E2425C" w:rsidP="00E2425C">
      <w:pPr>
        <w:widowControl w:val="0"/>
        <w:tabs>
          <w:tab w:val="left" w:pos="420"/>
        </w:tabs>
        <w:snapToGrid/>
        <w:spacing w:after="0" w:afterAutospacing="0"/>
        <w:rPr>
          <w:rFonts w:eastAsia="宋体"/>
          <w:lang w:val="en-US" w:eastAsia="zh-CN"/>
        </w:rPr>
      </w:pPr>
    </w:p>
    <w:p w14:paraId="57682D30" w14:textId="5CBD09EC" w:rsidR="009F5D6C" w:rsidRPr="009F5D6C" w:rsidRDefault="009F5D6C" w:rsidP="009F5D6C">
      <w:pPr>
        <w:widowControl w:val="0"/>
        <w:tabs>
          <w:tab w:val="left" w:pos="420"/>
        </w:tabs>
        <w:snapToGrid/>
        <w:spacing w:after="0" w:afterAutospacing="0"/>
        <w:rPr>
          <w:rFonts w:eastAsia="宋体"/>
          <w:lang w:val="en-US" w:eastAsia="zh-CN"/>
        </w:rPr>
      </w:pPr>
      <w:r w:rsidRPr="009F5D6C">
        <w:rPr>
          <w:rFonts w:eastAsia="宋体"/>
          <w:lang w:val="en-US" w:eastAsia="zh-CN"/>
        </w:rPr>
        <w:t>Considering that the residual CFO and SFO still exhibit noticeable differences in magnitude between device 2b and device C, this leads to significantly different requirements on guard</w:t>
      </w:r>
      <w:r w:rsidR="00CC1321">
        <w:rPr>
          <w:rFonts w:eastAsia="宋体" w:hint="eastAsia"/>
          <w:lang w:val="en-US" w:eastAsia="zh-CN"/>
        </w:rPr>
        <w:t>-</w:t>
      </w:r>
      <w:r w:rsidRPr="009F5D6C">
        <w:rPr>
          <w:rFonts w:eastAsia="宋体"/>
          <w:lang w:val="en-US" w:eastAsia="zh-CN"/>
        </w:rPr>
        <w:t xml:space="preserve">band and time-jitter tolerance for the resource allocation of the first D2R transmission. Therefore, it may be worth studying whether these two device types should be distinguished early in the procedure or allocated </w:t>
      </w:r>
      <w:r>
        <w:rPr>
          <w:rFonts w:eastAsia="宋体" w:hint="eastAsia"/>
          <w:lang w:val="en-US" w:eastAsia="zh-CN"/>
        </w:rPr>
        <w:t xml:space="preserve">shared </w:t>
      </w:r>
      <w:r w:rsidRPr="009F5D6C">
        <w:rPr>
          <w:rFonts w:eastAsia="宋体"/>
          <w:lang w:val="en-US" w:eastAsia="zh-CN"/>
        </w:rPr>
        <w:t>resources for D2R transmission.</w:t>
      </w:r>
    </w:p>
    <w:p w14:paraId="45E44951" w14:textId="3653D8DF" w:rsidR="009F5D6C" w:rsidRDefault="004F47AB" w:rsidP="004F47AB">
      <w:pPr>
        <w:widowControl w:val="0"/>
        <w:tabs>
          <w:tab w:val="left" w:pos="1418"/>
        </w:tabs>
        <w:snapToGrid/>
        <w:spacing w:before="240" w:after="0" w:afterAutospacing="0"/>
        <w:jc w:val="left"/>
        <w:rPr>
          <w:rFonts w:eastAsia="宋体"/>
          <w:lang w:val="en-US" w:eastAsia="zh-CN"/>
        </w:rPr>
      </w:pPr>
      <w:r w:rsidRPr="00B0181D">
        <w:rPr>
          <w:rFonts w:eastAsiaTheme="minorEastAsia"/>
          <w:b/>
          <w:bCs/>
          <w:lang w:eastAsia="zh-CN"/>
        </w:rPr>
        <w:t>Proposal</w:t>
      </w:r>
      <w:r w:rsidRPr="00B0181D">
        <w:rPr>
          <w:rFonts w:eastAsiaTheme="minorEastAsia" w:hint="eastAsia"/>
          <w:b/>
          <w:bCs/>
          <w:lang w:eastAsia="zh-CN"/>
        </w:rPr>
        <w:t xml:space="preserve"> </w:t>
      </w:r>
      <w:r>
        <w:rPr>
          <w:rFonts w:eastAsiaTheme="minorEastAsia" w:hint="eastAsia"/>
          <w:b/>
          <w:bCs/>
          <w:lang w:eastAsia="zh-CN"/>
        </w:rPr>
        <w:t>5</w:t>
      </w:r>
      <w:r w:rsidRPr="00B0181D">
        <w:rPr>
          <w:rFonts w:eastAsiaTheme="minorEastAsia" w:hint="eastAsia"/>
          <w:b/>
          <w:bCs/>
          <w:lang w:eastAsia="zh-CN"/>
        </w:rPr>
        <w:t>:</w:t>
      </w:r>
      <w:r>
        <w:rPr>
          <w:rFonts w:eastAsiaTheme="minorEastAsia" w:hint="eastAsia"/>
          <w:b/>
          <w:bCs/>
          <w:lang w:eastAsia="zh-CN"/>
        </w:rPr>
        <w:t xml:space="preserve"> </w:t>
      </w:r>
      <w:r w:rsidR="009F5D6C" w:rsidRPr="009F5D6C">
        <w:rPr>
          <w:rFonts w:eastAsia="宋体"/>
          <w:lang w:val="en-US" w:eastAsia="zh-CN"/>
        </w:rPr>
        <w:t xml:space="preserve">Study whether the resource allocation for the first D2R transmission should be shared </w:t>
      </w:r>
      <w:r w:rsidR="00D21234">
        <w:rPr>
          <w:rFonts w:eastAsia="宋体" w:hint="eastAsia"/>
          <w:lang w:val="en-US" w:eastAsia="zh-CN"/>
        </w:rPr>
        <w:t>for</w:t>
      </w:r>
      <w:r w:rsidR="009F5D6C" w:rsidRPr="009F5D6C">
        <w:rPr>
          <w:rFonts w:eastAsia="宋体"/>
          <w:lang w:val="en-US" w:eastAsia="zh-CN"/>
        </w:rPr>
        <w:t xml:space="preserve"> two device types or </w:t>
      </w:r>
      <w:r w:rsidR="00D21234">
        <w:rPr>
          <w:rFonts w:eastAsia="宋体" w:hint="eastAsia"/>
          <w:lang w:val="en-US" w:eastAsia="zh-CN"/>
        </w:rPr>
        <w:t xml:space="preserve">can be </w:t>
      </w:r>
      <w:r w:rsidR="009F5D6C" w:rsidRPr="009F5D6C">
        <w:rPr>
          <w:rFonts w:eastAsia="宋体"/>
          <w:lang w:val="en-US" w:eastAsia="zh-CN"/>
        </w:rPr>
        <w:t>provided separately.</w:t>
      </w:r>
    </w:p>
    <w:p w14:paraId="76892C19" w14:textId="77777777" w:rsidR="00CD3A69" w:rsidRDefault="00CD3A69" w:rsidP="009F5D6C">
      <w:pPr>
        <w:widowControl w:val="0"/>
        <w:tabs>
          <w:tab w:val="left" w:pos="420"/>
        </w:tabs>
        <w:snapToGrid/>
        <w:spacing w:after="0" w:afterAutospacing="0"/>
        <w:rPr>
          <w:rFonts w:eastAsia="宋体"/>
          <w:lang w:val="en-US" w:eastAsia="zh-CN"/>
        </w:rPr>
      </w:pPr>
    </w:p>
    <w:p w14:paraId="6FAAC95A" w14:textId="77777777" w:rsidR="00596FBC" w:rsidRPr="002236D3" w:rsidRDefault="00596FBC" w:rsidP="009F5D6C">
      <w:pPr>
        <w:widowControl w:val="0"/>
        <w:tabs>
          <w:tab w:val="left" w:pos="420"/>
        </w:tabs>
        <w:snapToGrid/>
        <w:spacing w:after="0" w:afterAutospacing="0"/>
        <w:rPr>
          <w:rFonts w:eastAsia="宋体"/>
          <w:lang w:val="en-US" w:eastAsia="zh-CN"/>
        </w:rPr>
      </w:pPr>
    </w:p>
    <w:p w14:paraId="0CE1E78A" w14:textId="77777777" w:rsidR="00CF7A8C" w:rsidRDefault="009332AD">
      <w:pPr>
        <w:pStyle w:val="1"/>
        <w:spacing w:after="180"/>
        <w:rPr>
          <w:lang w:val="en-US"/>
        </w:rPr>
      </w:pPr>
      <w:r>
        <w:rPr>
          <w:lang w:val="en-US"/>
        </w:rPr>
        <w:lastRenderedPageBreak/>
        <w:t>Conclusion</w:t>
      </w:r>
    </w:p>
    <w:p w14:paraId="517C6423" w14:textId="7D8D9346" w:rsidR="00CF7A8C" w:rsidRDefault="009332AD">
      <w:pPr>
        <w:spacing w:beforeLines="50" w:before="180" w:beforeAutospacing="1" w:afterLines="50" w:after="180" w:afterAutospacing="0"/>
        <w:rPr>
          <w:rFonts w:eastAsia="宋体"/>
          <w:lang w:val="en-US" w:eastAsia="zh-CN"/>
        </w:rPr>
      </w:pPr>
      <w:r>
        <w:rPr>
          <w:lang w:val="en-US"/>
        </w:rPr>
        <w:t xml:space="preserve">In this contribution, </w:t>
      </w:r>
      <w:r>
        <w:rPr>
          <w:rFonts w:eastAsia="宋体" w:hint="eastAsia"/>
          <w:lang w:val="en-US" w:eastAsia="zh-CN"/>
        </w:rPr>
        <w:t xml:space="preserve">we </w:t>
      </w:r>
      <w:r>
        <w:rPr>
          <w:rFonts w:eastAsia="宋体"/>
          <w:lang w:val="en-US" w:eastAsia="zh-CN"/>
        </w:rPr>
        <w:t xml:space="preserve">share our views on </w:t>
      </w:r>
      <w:r>
        <w:rPr>
          <w:rFonts w:eastAsia="宋体" w:hint="eastAsia"/>
          <w:lang w:val="en-US" w:eastAsia="zh-CN"/>
        </w:rPr>
        <w:t>a few aspects of the procedures for DO-A for Device 2b and Device C in Rel-20 A-IoT</w:t>
      </w:r>
      <w:r>
        <w:rPr>
          <w:rFonts w:eastAsia="宋体"/>
          <w:lang w:val="en-US" w:eastAsia="zh-CN"/>
        </w:rPr>
        <w:t xml:space="preserve">, and make </w:t>
      </w:r>
      <w:r>
        <w:rPr>
          <w:lang w:val="en-US"/>
        </w:rPr>
        <w:t>the following proposals</w:t>
      </w:r>
      <w:r>
        <w:rPr>
          <w:rFonts w:eastAsia="宋体" w:hint="eastAsia"/>
          <w:lang w:val="en-US" w:eastAsia="zh-CN"/>
        </w:rPr>
        <w:t>:</w:t>
      </w:r>
    </w:p>
    <w:p w14:paraId="76ADCFD0" w14:textId="77777777" w:rsidR="00B32D7C" w:rsidRPr="00234A21" w:rsidRDefault="00B32D7C" w:rsidP="00B32D7C">
      <w:pPr>
        <w:spacing w:beforeLines="50" w:before="180" w:after="0" w:afterAutospacing="0"/>
        <w:jc w:val="left"/>
        <w:rPr>
          <w:rFonts w:eastAsia="宋体"/>
          <w:lang w:val="en-US" w:eastAsia="zh-CN"/>
        </w:rPr>
      </w:pPr>
      <w:r w:rsidRPr="004B2512">
        <w:rPr>
          <w:rFonts w:eastAsia="宋体"/>
          <w:b/>
          <w:bCs/>
          <w:lang w:val="en-US" w:eastAsia="zh-CN"/>
        </w:rPr>
        <w:t>Proposal 1</w:t>
      </w:r>
      <w:r w:rsidRPr="004B2512">
        <w:rPr>
          <w:rFonts w:eastAsia="宋体" w:hint="eastAsia"/>
          <w:b/>
          <w:bCs/>
          <w:lang w:val="en-US" w:eastAsia="zh-CN"/>
        </w:rPr>
        <w:t xml:space="preserve">: </w:t>
      </w:r>
      <w:r w:rsidRPr="00234A21">
        <w:rPr>
          <w:rFonts w:eastAsia="宋体" w:hint="eastAsia"/>
          <w:lang w:val="en-US" w:eastAsia="zh-CN"/>
        </w:rPr>
        <w:t xml:space="preserve">on the </w:t>
      </w:r>
      <w:r w:rsidRPr="00234A21">
        <w:rPr>
          <w:rFonts w:eastAsia="宋体"/>
          <w:lang w:val="en-US" w:eastAsia="zh-CN"/>
        </w:rPr>
        <w:t>acquisition</w:t>
      </w:r>
      <w:r w:rsidRPr="00234A21">
        <w:rPr>
          <w:rFonts w:eastAsia="宋体" w:hint="eastAsia"/>
          <w:lang w:val="en-US" w:eastAsia="zh-CN"/>
        </w:rPr>
        <w:t xml:space="preserve"> of the broadcast information, f</w:t>
      </w:r>
      <w:r w:rsidRPr="00234A21">
        <w:rPr>
          <w:rFonts w:eastAsia="宋体"/>
          <w:lang w:val="en-US" w:eastAsia="zh-CN"/>
        </w:rPr>
        <w:t>or Case B1, the broadcast PRDCH should always be preceded by a synchronizing signal to facilitate detection and acquisition</w:t>
      </w:r>
      <w:r>
        <w:rPr>
          <w:rFonts w:eastAsia="宋体" w:hint="eastAsia"/>
          <w:lang w:val="en-US" w:eastAsia="zh-CN"/>
        </w:rPr>
        <w:t xml:space="preserve">; </w:t>
      </w:r>
      <w:r w:rsidRPr="00234A21">
        <w:rPr>
          <w:rFonts w:eastAsia="宋体"/>
          <w:lang w:val="en-US" w:eastAsia="zh-CN"/>
        </w:rPr>
        <w:t>For Case B2, the MIB-like channel should be designed to be as simple as possible, in order to minimize device complexity.</w:t>
      </w:r>
    </w:p>
    <w:p w14:paraId="43410A30" w14:textId="3499F0D4" w:rsidR="00B32D7C" w:rsidRPr="0087467B" w:rsidRDefault="00B32D7C" w:rsidP="00B32D7C">
      <w:pPr>
        <w:spacing w:beforeLines="50" w:before="180" w:after="0" w:afterAutospacing="0"/>
        <w:rPr>
          <w:rFonts w:eastAsia="宋体"/>
          <w:lang w:val="en-US" w:eastAsia="zh-CN"/>
        </w:rPr>
      </w:pPr>
      <w:r w:rsidRPr="008B65F6">
        <w:rPr>
          <w:rFonts w:eastAsia="宋体"/>
          <w:b/>
          <w:bCs/>
          <w:lang w:val="en-US" w:eastAsia="zh-CN"/>
        </w:rPr>
        <w:t>Proposal</w:t>
      </w:r>
      <w:r>
        <w:rPr>
          <w:rFonts w:eastAsia="宋体" w:hint="eastAsia"/>
          <w:b/>
          <w:bCs/>
          <w:lang w:val="en-US" w:eastAsia="zh-CN"/>
        </w:rPr>
        <w:t xml:space="preserve"> 2</w:t>
      </w:r>
      <w:r w:rsidRPr="008B65F6">
        <w:rPr>
          <w:rFonts w:eastAsia="宋体" w:hint="eastAsia"/>
          <w:b/>
          <w:bCs/>
          <w:lang w:val="en-US" w:eastAsia="zh-CN"/>
        </w:rPr>
        <w:t xml:space="preserve">: </w:t>
      </w:r>
      <w:r w:rsidRPr="0087467B">
        <w:rPr>
          <w:rFonts w:eastAsia="宋体"/>
          <w:lang w:val="en-US" w:eastAsia="zh-CN"/>
        </w:rPr>
        <w:t>Option 1 (broadcast-based reader ID) should be adopted as a baseline mechanism for reader identification, ensuring that all devices can obtain basic reader identification information with minimal complexity</w:t>
      </w:r>
      <w:r>
        <w:rPr>
          <w:rFonts w:eastAsia="宋体" w:hint="eastAsia"/>
          <w:lang w:val="en-US" w:eastAsia="zh-CN"/>
        </w:rPr>
        <w:t xml:space="preserve">; </w:t>
      </w:r>
      <w:r w:rsidRPr="0087467B">
        <w:rPr>
          <w:rFonts w:eastAsia="宋体"/>
          <w:lang w:val="en-US" w:eastAsia="zh-CN"/>
        </w:rPr>
        <w:t>Options 2, 3, and 4 may be additionally supported and used by devices to further identify and differentiate the corresponding reader, especially in outdoor scenarios where multiple readers coexist and enhanced differentiation is required.</w:t>
      </w:r>
    </w:p>
    <w:p w14:paraId="2FBD73B4" w14:textId="77777777" w:rsidR="00A72197" w:rsidRPr="0087467B" w:rsidRDefault="00A72197" w:rsidP="00A72197">
      <w:pPr>
        <w:widowControl w:val="0"/>
        <w:tabs>
          <w:tab w:val="left" w:pos="1418"/>
        </w:tabs>
        <w:snapToGrid/>
        <w:spacing w:before="240" w:after="0" w:afterAutospacing="0"/>
        <w:jc w:val="left"/>
        <w:rPr>
          <w:rFonts w:eastAsia="宋体"/>
          <w:lang w:val="en-US" w:eastAsia="zh-CN"/>
        </w:rPr>
      </w:pPr>
      <w:r w:rsidRPr="009513F9">
        <w:rPr>
          <w:rFonts w:eastAsia="宋体"/>
          <w:b/>
          <w:bCs/>
          <w:lang w:val="en-US" w:eastAsia="zh-CN"/>
        </w:rPr>
        <w:t>P</w:t>
      </w:r>
      <w:r w:rsidRPr="009513F9">
        <w:rPr>
          <w:rFonts w:eastAsia="宋体" w:hint="eastAsia"/>
          <w:b/>
          <w:bCs/>
          <w:lang w:val="en-US" w:eastAsia="zh-CN"/>
        </w:rPr>
        <w:t>roposal</w:t>
      </w:r>
      <w:r>
        <w:rPr>
          <w:rFonts w:eastAsia="宋体" w:hint="eastAsia"/>
          <w:b/>
          <w:bCs/>
          <w:lang w:val="en-US" w:eastAsia="zh-CN"/>
        </w:rPr>
        <w:t xml:space="preserve"> 3</w:t>
      </w:r>
      <w:r w:rsidRPr="009513F9">
        <w:rPr>
          <w:rFonts w:eastAsia="宋体" w:hint="eastAsia"/>
          <w:b/>
          <w:bCs/>
          <w:lang w:val="en-US" w:eastAsia="zh-CN"/>
        </w:rPr>
        <w:t xml:space="preserve">: </w:t>
      </w:r>
      <w:r w:rsidRPr="0087467B">
        <w:rPr>
          <w:rFonts w:eastAsia="宋体" w:hint="eastAsia"/>
          <w:lang w:val="en-US" w:eastAsia="zh-CN"/>
        </w:rPr>
        <w:t>For Device 2b and Device C, both periodic and event-triggered DO-A traffic can be supported by using an autonomously triggered D2R transmission to trigger A-IoT paging.</w:t>
      </w:r>
    </w:p>
    <w:p w14:paraId="120C907E" w14:textId="77777777" w:rsidR="00A72197" w:rsidRDefault="00A72197" w:rsidP="00A72197">
      <w:pPr>
        <w:widowControl w:val="0"/>
        <w:numPr>
          <w:ilvl w:val="0"/>
          <w:numId w:val="9"/>
        </w:numPr>
        <w:snapToGrid/>
        <w:spacing w:after="0" w:afterAutospacing="0"/>
        <w:rPr>
          <w:rFonts w:eastAsia="宋体"/>
          <w:lang w:val="en-US" w:eastAsia="zh-CN"/>
        </w:rPr>
      </w:pPr>
      <w:r>
        <w:rPr>
          <w:rFonts w:eastAsia="宋体" w:hint="eastAsia"/>
          <w:lang w:val="en-US" w:eastAsia="zh-CN"/>
        </w:rPr>
        <w:t>The D2R transmission does not carry any device-specific information.</w:t>
      </w:r>
    </w:p>
    <w:p w14:paraId="070FEBEC" w14:textId="77777777" w:rsidR="00A72197" w:rsidRDefault="00A72197" w:rsidP="00A72197">
      <w:pPr>
        <w:widowControl w:val="0"/>
        <w:numPr>
          <w:ilvl w:val="0"/>
          <w:numId w:val="9"/>
        </w:numPr>
        <w:snapToGrid/>
        <w:spacing w:after="0" w:afterAutospacing="0"/>
        <w:rPr>
          <w:rFonts w:eastAsia="宋体"/>
          <w:lang w:val="en-US" w:eastAsia="zh-CN"/>
        </w:rPr>
      </w:pPr>
      <w:r>
        <w:rPr>
          <w:rFonts w:eastAsia="宋体" w:hint="eastAsia"/>
          <w:lang w:val="en-US" w:eastAsia="zh-CN"/>
        </w:rPr>
        <w:t>The D2R transmission can be performed at any time within a time window allocated by a preceding R2D transmission.</w:t>
      </w:r>
    </w:p>
    <w:p w14:paraId="12295B3E" w14:textId="77777777" w:rsidR="00A72197" w:rsidRDefault="00A72197" w:rsidP="00A72197">
      <w:pPr>
        <w:spacing w:before="240"/>
        <w:jc w:val="left"/>
        <w:rPr>
          <w:rFonts w:eastAsiaTheme="minorEastAsia"/>
          <w:lang w:eastAsia="zh-CN"/>
        </w:rPr>
      </w:pPr>
      <w:r w:rsidRPr="00B0181D">
        <w:rPr>
          <w:rFonts w:eastAsiaTheme="minorEastAsia"/>
          <w:b/>
          <w:bCs/>
          <w:lang w:eastAsia="zh-CN"/>
        </w:rPr>
        <w:t>Proposal</w:t>
      </w:r>
      <w:r w:rsidRPr="00B0181D">
        <w:rPr>
          <w:rFonts w:eastAsiaTheme="minorEastAsia" w:hint="eastAsia"/>
          <w:b/>
          <w:bCs/>
          <w:lang w:eastAsia="zh-CN"/>
        </w:rPr>
        <w:t xml:space="preserve"> 4: </w:t>
      </w:r>
      <w:r w:rsidRPr="00175112">
        <w:rPr>
          <w:rFonts w:eastAsiaTheme="minorEastAsia"/>
          <w:lang w:eastAsia="zh-CN"/>
        </w:rPr>
        <w:t>For Device 2b and Device C with periodic DO-A traffic, a periodic synchronization signal is expected to precede the DO-A transmission.</w:t>
      </w:r>
    </w:p>
    <w:p w14:paraId="63FE3AD6" w14:textId="77777777" w:rsidR="00A72197" w:rsidRDefault="00A72197" w:rsidP="00A72197">
      <w:pPr>
        <w:widowControl w:val="0"/>
        <w:tabs>
          <w:tab w:val="left" w:pos="1418"/>
        </w:tabs>
        <w:snapToGrid/>
        <w:spacing w:before="240" w:after="0" w:afterAutospacing="0"/>
        <w:jc w:val="left"/>
        <w:rPr>
          <w:rFonts w:eastAsia="宋体"/>
          <w:lang w:val="en-US" w:eastAsia="zh-CN"/>
        </w:rPr>
      </w:pPr>
      <w:r w:rsidRPr="00B0181D">
        <w:rPr>
          <w:rFonts w:eastAsiaTheme="minorEastAsia"/>
          <w:b/>
          <w:bCs/>
          <w:lang w:eastAsia="zh-CN"/>
        </w:rPr>
        <w:t>Proposal</w:t>
      </w:r>
      <w:r w:rsidRPr="00B0181D">
        <w:rPr>
          <w:rFonts w:eastAsiaTheme="minorEastAsia" w:hint="eastAsia"/>
          <w:b/>
          <w:bCs/>
          <w:lang w:eastAsia="zh-CN"/>
        </w:rPr>
        <w:t xml:space="preserve"> </w:t>
      </w:r>
      <w:r>
        <w:rPr>
          <w:rFonts w:eastAsiaTheme="minorEastAsia" w:hint="eastAsia"/>
          <w:b/>
          <w:bCs/>
          <w:lang w:eastAsia="zh-CN"/>
        </w:rPr>
        <w:t>5</w:t>
      </w:r>
      <w:r w:rsidRPr="00B0181D">
        <w:rPr>
          <w:rFonts w:eastAsiaTheme="minorEastAsia" w:hint="eastAsia"/>
          <w:b/>
          <w:bCs/>
          <w:lang w:eastAsia="zh-CN"/>
        </w:rPr>
        <w:t>:</w:t>
      </w:r>
      <w:r>
        <w:rPr>
          <w:rFonts w:eastAsiaTheme="minorEastAsia" w:hint="eastAsia"/>
          <w:b/>
          <w:bCs/>
          <w:lang w:eastAsia="zh-CN"/>
        </w:rPr>
        <w:t xml:space="preserve"> </w:t>
      </w:r>
      <w:r w:rsidRPr="009F5D6C">
        <w:rPr>
          <w:rFonts w:eastAsia="宋体"/>
          <w:lang w:val="en-US" w:eastAsia="zh-CN"/>
        </w:rPr>
        <w:t xml:space="preserve">Study whether the resource allocation for the first D2R transmission should be shared </w:t>
      </w:r>
      <w:r>
        <w:rPr>
          <w:rFonts w:eastAsia="宋体" w:hint="eastAsia"/>
          <w:lang w:val="en-US" w:eastAsia="zh-CN"/>
        </w:rPr>
        <w:t>for</w:t>
      </w:r>
      <w:r w:rsidRPr="009F5D6C">
        <w:rPr>
          <w:rFonts w:eastAsia="宋体"/>
          <w:lang w:val="en-US" w:eastAsia="zh-CN"/>
        </w:rPr>
        <w:t xml:space="preserve"> two device types or </w:t>
      </w:r>
      <w:r>
        <w:rPr>
          <w:rFonts w:eastAsia="宋体" w:hint="eastAsia"/>
          <w:lang w:val="en-US" w:eastAsia="zh-CN"/>
        </w:rPr>
        <w:t xml:space="preserve">can be </w:t>
      </w:r>
      <w:r w:rsidRPr="009F5D6C">
        <w:rPr>
          <w:rFonts w:eastAsia="宋体"/>
          <w:lang w:val="en-US" w:eastAsia="zh-CN"/>
        </w:rPr>
        <w:t>provided separately.</w:t>
      </w:r>
    </w:p>
    <w:p w14:paraId="1B5CA4F3" w14:textId="50B81497" w:rsidR="00CF7A8C" w:rsidRDefault="00CF7A8C">
      <w:pPr>
        <w:spacing w:beforeLines="50" w:before="180" w:beforeAutospacing="1" w:afterLines="50" w:after="180" w:afterAutospacing="0"/>
        <w:rPr>
          <w:rFonts w:eastAsia="宋体"/>
          <w:lang w:val="en-US" w:eastAsia="zh-CN"/>
        </w:rPr>
      </w:pPr>
    </w:p>
    <w:p w14:paraId="3A8B8601" w14:textId="77777777" w:rsidR="00CF7A8C" w:rsidRDefault="009332AD">
      <w:pPr>
        <w:pStyle w:val="1"/>
        <w:spacing w:after="180"/>
        <w:rPr>
          <w:lang w:val="en-US"/>
        </w:rPr>
      </w:pPr>
      <w:r>
        <w:rPr>
          <w:lang w:val="en-US"/>
        </w:rPr>
        <w:t>References</w:t>
      </w:r>
    </w:p>
    <w:p w14:paraId="15A0A24B" w14:textId="4F648E92" w:rsidR="00CF7A8C" w:rsidRDefault="00571B8A">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6" w:name="OLE_LINK12"/>
      <w:bookmarkStart w:id="7" w:name="_Ref124764504"/>
      <w:r w:rsidRPr="00571B8A">
        <w:rPr>
          <w:rFonts w:eastAsia="MS Mincho"/>
          <w:lang w:val="en-US" w:eastAsia="en-GB"/>
        </w:rPr>
        <w:t>RP-253394</w:t>
      </w:r>
      <w:bookmarkEnd w:id="6"/>
      <w:r w:rsidR="009332AD">
        <w:rPr>
          <w:rFonts w:eastAsia="MS Mincho"/>
          <w:lang w:val="en-US" w:eastAsia="en-GB"/>
        </w:rPr>
        <w:t>, “</w:t>
      </w:r>
      <w:r w:rsidR="009332AD">
        <w:rPr>
          <w:rFonts w:eastAsia="MS Mincho" w:hint="eastAsia"/>
          <w:lang w:val="en-US" w:eastAsia="en-GB"/>
        </w:rPr>
        <w:t>Revised SID: Study on enhancements for solutions for Ambient IoT (Internet of Things) in NR outdoor for active devices</w:t>
      </w:r>
      <w:r w:rsidR="009332AD">
        <w:rPr>
          <w:rFonts w:eastAsia="MS Mincho"/>
          <w:lang w:val="en-US" w:eastAsia="en-GB"/>
        </w:rPr>
        <w:t xml:space="preserve">”, </w:t>
      </w:r>
      <w:r w:rsidR="009332AD">
        <w:rPr>
          <w:rFonts w:eastAsia="MS Mincho" w:hint="eastAsia"/>
          <w:lang w:val="en-US" w:eastAsia="en-GB"/>
        </w:rPr>
        <w:t>LG Electronics</w:t>
      </w:r>
      <w:r w:rsidR="009332AD">
        <w:rPr>
          <w:rFonts w:eastAsia="MS Mincho"/>
          <w:lang w:val="en-US" w:eastAsia="en-GB"/>
        </w:rPr>
        <w:t>, RAN#1</w:t>
      </w:r>
      <w:r>
        <w:rPr>
          <w:rFonts w:eastAsiaTheme="minorEastAsia" w:hint="eastAsia"/>
          <w:lang w:val="en-US" w:eastAsia="zh-CN"/>
        </w:rPr>
        <w:t>10</w:t>
      </w:r>
      <w:r w:rsidR="009332AD">
        <w:rPr>
          <w:rFonts w:eastAsia="MS Mincho"/>
          <w:lang w:val="en-US" w:eastAsia="en-GB"/>
        </w:rPr>
        <w:t>.</w:t>
      </w:r>
      <w:bookmarkEnd w:id="7"/>
    </w:p>
    <w:p w14:paraId="4E7EC720" w14:textId="3B66F6FC" w:rsidR="00CF7A8C" w:rsidRDefault="00596FBC">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8" w:name="_Ref23969"/>
      <w:r>
        <w:rPr>
          <w:rFonts w:eastAsia="宋体"/>
          <w:lang w:val="en-US" w:eastAsia="zh-CN"/>
        </w:rPr>
        <w:t>C</w:t>
      </w:r>
      <w:r>
        <w:rPr>
          <w:rFonts w:eastAsia="宋体" w:hint="eastAsia"/>
          <w:lang w:val="en-US" w:eastAsia="zh-CN"/>
        </w:rPr>
        <w:t>hairs notes, RAN1#123</w:t>
      </w:r>
      <w:r w:rsidR="009332AD">
        <w:rPr>
          <w:rFonts w:eastAsia="宋体" w:hint="eastAsia"/>
          <w:lang w:val="en-US" w:eastAsia="zh-CN"/>
        </w:rPr>
        <w:t>.</w:t>
      </w:r>
      <w:bookmarkEnd w:id="8"/>
    </w:p>
    <w:p w14:paraId="1133AF8F" w14:textId="47FC34D9" w:rsidR="00CF7A8C" w:rsidRPr="00A72197" w:rsidRDefault="00B307C5" w:rsidP="00A72197">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r>
        <w:rPr>
          <w:rFonts w:eastAsia="宋体"/>
          <w:lang w:val="en-US" w:eastAsia="zh-CN"/>
        </w:rPr>
        <w:t>C</w:t>
      </w:r>
      <w:r>
        <w:rPr>
          <w:rFonts w:eastAsia="宋体" w:hint="eastAsia"/>
          <w:lang w:val="en-US" w:eastAsia="zh-CN"/>
        </w:rPr>
        <w:t>hairs notes, RAN1#122b.</w:t>
      </w:r>
    </w:p>
    <w:sectPr w:rsidR="00CF7A8C" w:rsidRPr="00A72197">
      <w:headerReference w:type="default" r:id="rId7"/>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0FE75" w14:textId="77777777" w:rsidR="00113496" w:rsidRDefault="00113496">
      <w:pPr>
        <w:spacing w:after="0"/>
      </w:pPr>
      <w:r>
        <w:separator/>
      </w:r>
    </w:p>
  </w:endnote>
  <w:endnote w:type="continuationSeparator" w:id="0">
    <w:p w14:paraId="35B6B8B7" w14:textId="77777777" w:rsidR="00113496" w:rsidRDefault="001134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ㄏoUAA"/>
    <w:panose1 w:val="02030600000101010101"/>
    <w:charset w:val="81"/>
    <w:family w:val="roman"/>
    <w:pitch w:val="variable"/>
    <w:sig w:usb0="B00002AF" w:usb1="69D77CFB" w:usb2="00000030" w:usb3="00000000" w:csb0="0008009F" w:csb1="00000000"/>
  </w:font>
  <w:font w:name="MS Gothic">
    <w:altName w:val="?l?r ?S?V?b?N"/>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l?r ??乫c"/>
    <w:panose1 w:val="02020609040205080304"/>
    <w:charset w:val="80"/>
    <w:family w:val="modern"/>
    <w:pitch w:val="fixed"/>
    <w:sig w:usb0="E00002FF" w:usb1="6AC7FDFB" w:usb2="08000012" w:usb3="00000000" w:csb0="0002009F" w:csb1="00000000"/>
  </w:font>
  <w:font w:name="黑体">
    <w:altName w:val="o¨2¨??"/>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9E99C" w14:textId="4E97A77A" w:rsidR="00CF7A8C" w:rsidRDefault="009332AD">
    <w:pPr>
      <w:pStyle w:val="a9"/>
      <w:jc w:val="center"/>
    </w:pPr>
    <w:r>
      <w:rPr>
        <w:b/>
      </w:rPr>
      <w:fldChar w:fldCharType="begin"/>
    </w:r>
    <w:r>
      <w:rPr>
        <w:b/>
      </w:rPr>
      <w:instrText>PAGE</w:instrText>
    </w:r>
    <w:r>
      <w:rPr>
        <w:b/>
      </w:rPr>
      <w:fldChar w:fldCharType="separate"/>
    </w:r>
    <w:r w:rsidR="0078629C">
      <w:rPr>
        <w:b/>
        <w:noProof/>
      </w:rPr>
      <w:t>5</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1CFC9" w14:textId="77777777" w:rsidR="00113496" w:rsidRDefault="00113496">
      <w:pPr>
        <w:spacing w:after="0"/>
      </w:pPr>
      <w:r>
        <w:separator/>
      </w:r>
    </w:p>
  </w:footnote>
  <w:footnote w:type="continuationSeparator" w:id="0">
    <w:p w14:paraId="65628DE5" w14:textId="77777777" w:rsidR="00113496" w:rsidRDefault="001134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A2D7" w14:textId="77777777" w:rsidR="00CF7A8C" w:rsidRDefault="00CF7A8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15:restartNumberingAfterBreak="0">
    <w:nsid w:val="312475A6"/>
    <w:multiLevelType w:val="hybridMultilevel"/>
    <w:tmpl w:val="5BC4FB60"/>
    <w:lvl w:ilvl="0" w:tplc="F94A5700">
      <w:start w:val="10"/>
      <w:numFmt w:val="bullet"/>
      <w:lvlText w:val="-"/>
      <w:lvlJc w:val="left"/>
      <w:pPr>
        <w:ind w:left="360" w:hanging="360"/>
      </w:pPr>
      <w:rPr>
        <w:rFonts w:ascii="Malgun Gothic" w:eastAsia="Malgun Gothic" w:hAnsi="Malgun Gothic" w:cstheme="minorBidi"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 w15:restartNumberingAfterBreak="0">
    <w:nsid w:val="33A90EF7"/>
    <w:multiLevelType w:val="multilevel"/>
    <w:tmpl w:val="877AFD72"/>
    <w:lvl w:ilvl="0">
      <w:start w:val="10"/>
      <w:numFmt w:val="bullet"/>
      <w:lvlText w:val="-"/>
      <w:lvlJc w:val="left"/>
      <w:pPr>
        <w:ind w:left="360" w:hanging="360"/>
      </w:pPr>
      <w:rPr>
        <w:rFonts w:ascii="Malgun Gothic" w:eastAsia="Malgun Gothic" w:hAnsi="Malgun Gothic" w:cs="Mangal"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7"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625F1193"/>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3AB5AE4"/>
    <w:multiLevelType w:val="multilevel"/>
    <w:tmpl w:val="3FA61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3"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5074CB8"/>
    <w:multiLevelType w:val="multilevel"/>
    <w:tmpl w:val="75074CB8"/>
    <w:lvl w:ilvl="0">
      <w:start w:val="1"/>
      <w:numFmt w:val="bullet"/>
      <w:lvlText w:val=""/>
      <w:lvlJc w:val="left"/>
      <w:pPr>
        <w:tabs>
          <w:tab w:val="left" w:pos="0"/>
        </w:tabs>
        <w:ind w:left="420" w:hanging="420"/>
      </w:pPr>
      <w:rPr>
        <w:rFonts w:ascii="Wingdings" w:hAnsi="Wingdings" w:cs="Wingdings" w:hint="default"/>
        <w:sz w:val="13"/>
      </w:rPr>
    </w:lvl>
    <w:lvl w:ilvl="1">
      <w:start w:val="1"/>
      <w:numFmt w:val="bullet"/>
      <w:lvlText w:val=""/>
      <w:lvlJc w:val="left"/>
      <w:pPr>
        <w:tabs>
          <w:tab w:val="left" w:pos="-840"/>
        </w:tabs>
        <w:ind w:left="840" w:hanging="420"/>
      </w:pPr>
      <w:rPr>
        <w:rFonts w:ascii="Wingdings" w:hAnsi="Wingdings" w:hint="default"/>
        <w:sz w:val="13"/>
      </w:rPr>
    </w:lvl>
    <w:lvl w:ilvl="2">
      <w:start w:val="1"/>
      <w:numFmt w:val="bullet"/>
      <w:lvlText w:val=""/>
      <w:lvlJc w:val="left"/>
      <w:pPr>
        <w:tabs>
          <w:tab w:val="left" w:pos="-420"/>
        </w:tabs>
        <w:ind w:left="1260" w:hanging="420"/>
      </w:pPr>
      <w:rPr>
        <w:rFonts w:ascii="Wingdings" w:hAnsi="Wingdings" w:hint="default"/>
        <w:sz w:val="13"/>
      </w:rPr>
    </w:lvl>
    <w:lvl w:ilvl="3">
      <w:start w:val="1"/>
      <w:numFmt w:val="bullet"/>
      <w:lvlText w:val=""/>
      <w:lvlJc w:val="left"/>
      <w:pPr>
        <w:tabs>
          <w:tab w:val="left" w:pos="0"/>
        </w:tabs>
        <w:ind w:left="1680" w:hanging="420"/>
      </w:pPr>
      <w:rPr>
        <w:rFonts w:ascii="Wingdings" w:hAnsi="Wingdings" w:hint="default"/>
        <w:sz w:val="15"/>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840"/>
        </w:tabs>
        <w:ind w:left="2520" w:hanging="420"/>
      </w:pPr>
      <w:rPr>
        <w:rFonts w:ascii="Wingdings" w:hAnsi="Wingdings" w:hint="default"/>
      </w:rPr>
    </w:lvl>
    <w:lvl w:ilvl="6">
      <w:start w:val="1"/>
      <w:numFmt w:val="bullet"/>
      <w:lvlText w:val=""/>
      <w:lvlJc w:val="left"/>
      <w:pPr>
        <w:tabs>
          <w:tab w:val="left" w:pos="1260"/>
        </w:tabs>
        <w:ind w:left="2940" w:hanging="420"/>
      </w:pPr>
      <w:rPr>
        <w:rFonts w:ascii="Wingdings" w:hAnsi="Wingdings" w:hint="default"/>
      </w:rPr>
    </w:lvl>
    <w:lvl w:ilvl="7">
      <w:start w:val="1"/>
      <w:numFmt w:val="bullet"/>
      <w:lvlText w:val=""/>
      <w:lvlJc w:val="left"/>
      <w:pPr>
        <w:tabs>
          <w:tab w:val="left" w:pos="1680"/>
        </w:tabs>
        <w:ind w:left="3360" w:hanging="420"/>
      </w:pPr>
      <w:rPr>
        <w:rFonts w:ascii="Wingdings" w:hAnsi="Wingdings" w:hint="default"/>
      </w:rPr>
    </w:lvl>
    <w:lvl w:ilvl="8">
      <w:start w:val="1"/>
      <w:numFmt w:val="bullet"/>
      <w:lvlText w:val=""/>
      <w:lvlJc w:val="left"/>
      <w:pPr>
        <w:tabs>
          <w:tab w:val="left" w:pos="2100"/>
        </w:tabs>
        <w:ind w:left="3780" w:hanging="420"/>
      </w:pPr>
      <w:rPr>
        <w:rFonts w:ascii="Wingdings" w:hAnsi="Wingdings" w:hint="default"/>
      </w:rPr>
    </w:lvl>
  </w:abstractNum>
  <w:num w:numId="1" w16cid:durableId="1393121797">
    <w:abstractNumId w:val="12"/>
  </w:num>
  <w:num w:numId="2" w16cid:durableId="2002852039">
    <w:abstractNumId w:val="3"/>
  </w:num>
  <w:num w:numId="3" w16cid:durableId="938486979">
    <w:abstractNumId w:val="6"/>
  </w:num>
  <w:num w:numId="4" w16cid:durableId="351231075">
    <w:abstractNumId w:val="13"/>
  </w:num>
  <w:num w:numId="5" w16cid:durableId="767428338">
    <w:abstractNumId w:val="1"/>
  </w:num>
  <w:num w:numId="6" w16cid:durableId="956066794">
    <w:abstractNumId w:val="7"/>
  </w:num>
  <w:num w:numId="7" w16cid:durableId="1590502247">
    <w:abstractNumId w:val="10"/>
  </w:num>
  <w:num w:numId="8" w16cid:durableId="785196085">
    <w:abstractNumId w:val="11"/>
  </w:num>
  <w:num w:numId="9" w16cid:durableId="2117559681">
    <w:abstractNumId w:val="14"/>
  </w:num>
  <w:num w:numId="10" w16cid:durableId="794182941">
    <w:abstractNumId w:val="8"/>
  </w:num>
  <w:num w:numId="11" w16cid:durableId="1295257455">
    <w:abstractNumId w:val="4"/>
  </w:num>
  <w:num w:numId="12" w16cid:durableId="1786382406">
    <w:abstractNumId w:val="0"/>
  </w:num>
  <w:num w:numId="13" w16cid:durableId="267929731">
    <w:abstractNumId w:val="2"/>
  </w:num>
  <w:num w:numId="14" w16cid:durableId="1243638225">
    <w:abstractNumId w:val="5"/>
  </w:num>
  <w:num w:numId="15" w16cid:durableId="4149086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proofState w:spelling="clean"/>
  <w:revisionView w:formatting="0"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27136"/>
    <w:rsid w:val="00031C8D"/>
    <w:rsid w:val="000674E7"/>
    <w:rsid w:val="00075809"/>
    <w:rsid w:val="000965A9"/>
    <w:rsid w:val="000B5C1C"/>
    <w:rsid w:val="000C61A1"/>
    <w:rsid w:val="000C753C"/>
    <w:rsid w:val="00113496"/>
    <w:rsid w:val="00130CF1"/>
    <w:rsid w:val="00131081"/>
    <w:rsid w:val="00132A78"/>
    <w:rsid w:val="0014301E"/>
    <w:rsid w:val="001516A0"/>
    <w:rsid w:val="0017082B"/>
    <w:rsid w:val="00170A8E"/>
    <w:rsid w:val="001724A0"/>
    <w:rsid w:val="00175112"/>
    <w:rsid w:val="001776E1"/>
    <w:rsid w:val="00183B4B"/>
    <w:rsid w:val="00193F7A"/>
    <w:rsid w:val="001A02A8"/>
    <w:rsid w:val="001A767A"/>
    <w:rsid w:val="001C702D"/>
    <w:rsid w:val="002236D3"/>
    <w:rsid w:val="00225B13"/>
    <w:rsid w:val="00226DB4"/>
    <w:rsid w:val="00234A21"/>
    <w:rsid w:val="002429DE"/>
    <w:rsid w:val="002579B3"/>
    <w:rsid w:val="002804C7"/>
    <w:rsid w:val="002B7B35"/>
    <w:rsid w:val="002D233F"/>
    <w:rsid w:val="002D5214"/>
    <w:rsid w:val="002E119A"/>
    <w:rsid w:val="002F0AB2"/>
    <w:rsid w:val="002F7B17"/>
    <w:rsid w:val="00301D43"/>
    <w:rsid w:val="003344D5"/>
    <w:rsid w:val="0033458C"/>
    <w:rsid w:val="00342FE8"/>
    <w:rsid w:val="00356619"/>
    <w:rsid w:val="0037359D"/>
    <w:rsid w:val="0038543D"/>
    <w:rsid w:val="003933C4"/>
    <w:rsid w:val="003E3BAD"/>
    <w:rsid w:val="003F1BB8"/>
    <w:rsid w:val="003F4108"/>
    <w:rsid w:val="0040363B"/>
    <w:rsid w:val="00403CD6"/>
    <w:rsid w:val="004420D9"/>
    <w:rsid w:val="004455B5"/>
    <w:rsid w:val="00450704"/>
    <w:rsid w:val="00474E8B"/>
    <w:rsid w:val="004874D5"/>
    <w:rsid w:val="004A4F2E"/>
    <w:rsid w:val="004A5A7E"/>
    <w:rsid w:val="004B2512"/>
    <w:rsid w:val="004B399E"/>
    <w:rsid w:val="004F47AB"/>
    <w:rsid w:val="0052397A"/>
    <w:rsid w:val="00523DBE"/>
    <w:rsid w:val="005268D2"/>
    <w:rsid w:val="0054112B"/>
    <w:rsid w:val="00567643"/>
    <w:rsid w:val="00571122"/>
    <w:rsid w:val="00571B8A"/>
    <w:rsid w:val="00582606"/>
    <w:rsid w:val="00584691"/>
    <w:rsid w:val="005873F3"/>
    <w:rsid w:val="00596FBC"/>
    <w:rsid w:val="005A3A67"/>
    <w:rsid w:val="005B7B4C"/>
    <w:rsid w:val="005D019D"/>
    <w:rsid w:val="005E2D58"/>
    <w:rsid w:val="005E6EBB"/>
    <w:rsid w:val="005F276E"/>
    <w:rsid w:val="006010E5"/>
    <w:rsid w:val="00614115"/>
    <w:rsid w:val="0061437A"/>
    <w:rsid w:val="00625DEC"/>
    <w:rsid w:val="00627AA1"/>
    <w:rsid w:val="00637B55"/>
    <w:rsid w:val="00670945"/>
    <w:rsid w:val="00693BE1"/>
    <w:rsid w:val="006A6636"/>
    <w:rsid w:val="006B06C2"/>
    <w:rsid w:val="006B5BB5"/>
    <w:rsid w:val="006E0C43"/>
    <w:rsid w:val="006F3E18"/>
    <w:rsid w:val="0070356C"/>
    <w:rsid w:val="007224F2"/>
    <w:rsid w:val="007369D1"/>
    <w:rsid w:val="00766308"/>
    <w:rsid w:val="00770C63"/>
    <w:rsid w:val="00772197"/>
    <w:rsid w:val="00775FC1"/>
    <w:rsid w:val="0078629C"/>
    <w:rsid w:val="00787EB2"/>
    <w:rsid w:val="007A48FC"/>
    <w:rsid w:val="007B42DB"/>
    <w:rsid w:val="007E18DE"/>
    <w:rsid w:val="007F4E32"/>
    <w:rsid w:val="007F662E"/>
    <w:rsid w:val="0080110F"/>
    <w:rsid w:val="008061DA"/>
    <w:rsid w:val="00812B98"/>
    <w:rsid w:val="00826E73"/>
    <w:rsid w:val="00833587"/>
    <w:rsid w:val="008335FC"/>
    <w:rsid w:val="00855DDC"/>
    <w:rsid w:val="0087467B"/>
    <w:rsid w:val="00887D01"/>
    <w:rsid w:val="008B65F6"/>
    <w:rsid w:val="008C74ED"/>
    <w:rsid w:val="008D2A1E"/>
    <w:rsid w:val="008E6D7A"/>
    <w:rsid w:val="009121BB"/>
    <w:rsid w:val="009172EA"/>
    <w:rsid w:val="009226E3"/>
    <w:rsid w:val="009332AD"/>
    <w:rsid w:val="009412B9"/>
    <w:rsid w:val="009513F9"/>
    <w:rsid w:val="0095592C"/>
    <w:rsid w:val="009637E3"/>
    <w:rsid w:val="0097076F"/>
    <w:rsid w:val="009A439E"/>
    <w:rsid w:val="009F3898"/>
    <w:rsid w:val="009F5D6C"/>
    <w:rsid w:val="00A03411"/>
    <w:rsid w:val="00A21E44"/>
    <w:rsid w:val="00A6466A"/>
    <w:rsid w:val="00A72197"/>
    <w:rsid w:val="00A770A4"/>
    <w:rsid w:val="00A77C0A"/>
    <w:rsid w:val="00AA1245"/>
    <w:rsid w:val="00AF3235"/>
    <w:rsid w:val="00B0181D"/>
    <w:rsid w:val="00B0227E"/>
    <w:rsid w:val="00B20F54"/>
    <w:rsid w:val="00B2353F"/>
    <w:rsid w:val="00B27957"/>
    <w:rsid w:val="00B307C5"/>
    <w:rsid w:val="00B31D34"/>
    <w:rsid w:val="00B32D7C"/>
    <w:rsid w:val="00B70030"/>
    <w:rsid w:val="00B95B6E"/>
    <w:rsid w:val="00BB2697"/>
    <w:rsid w:val="00BC08F6"/>
    <w:rsid w:val="00BF64C5"/>
    <w:rsid w:val="00C24524"/>
    <w:rsid w:val="00C3548C"/>
    <w:rsid w:val="00C36B03"/>
    <w:rsid w:val="00C4624C"/>
    <w:rsid w:val="00C53987"/>
    <w:rsid w:val="00C74513"/>
    <w:rsid w:val="00C9018F"/>
    <w:rsid w:val="00C905DF"/>
    <w:rsid w:val="00C9137D"/>
    <w:rsid w:val="00C93438"/>
    <w:rsid w:val="00C9566F"/>
    <w:rsid w:val="00CA1860"/>
    <w:rsid w:val="00CA64E5"/>
    <w:rsid w:val="00CC1321"/>
    <w:rsid w:val="00CD3A69"/>
    <w:rsid w:val="00CF3293"/>
    <w:rsid w:val="00CF7A8C"/>
    <w:rsid w:val="00D02040"/>
    <w:rsid w:val="00D21234"/>
    <w:rsid w:val="00D24D00"/>
    <w:rsid w:val="00D25986"/>
    <w:rsid w:val="00D374A2"/>
    <w:rsid w:val="00D43760"/>
    <w:rsid w:val="00D46D22"/>
    <w:rsid w:val="00D57EE9"/>
    <w:rsid w:val="00D61F3E"/>
    <w:rsid w:val="00D97E08"/>
    <w:rsid w:val="00DA700E"/>
    <w:rsid w:val="00DB6575"/>
    <w:rsid w:val="00DD5BB0"/>
    <w:rsid w:val="00DE1E2A"/>
    <w:rsid w:val="00DF26C3"/>
    <w:rsid w:val="00DF2E77"/>
    <w:rsid w:val="00E2425C"/>
    <w:rsid w:val="00E409FE"/>
    <w:rsid w:val="00E435CD"/>
    <w:rsid w:val="00E47191"/>
    <w:rsid w:val="00E54F8C"/>
    <w:rsid w:val="00E551D9"/>
    <w:rsid w:val="00E77D83"/>
    <w:rsid w:val="00F03BEF"/>
    <w:rsid w:val="00F133B3"/>
    <w:rsid w:val="00F302D0"/>
    <w:rsid w:val="00F32079"/>
    <w:rsid w:val="00F4229E"/>
    <w:rsid w:val="00F57504"/>
    <w:rsid w:val="00F66377"/>
    <w:rsid w:val="00F77A2B"/>
    <w:rsid w:val="00F9165D"/>
    <w:rsid w:val="00F94237"/>
    <w:rsid w:val="00FA2BD2"/>
    <w:rsid w:val="00FE521D"/>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C27377"/>
    <w:rsid w:val="08CA7368"/>
    <w:rsid w:val="08E76A46"/>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F0E18EA"/>
    <w:rsid w:val="0F2949AD"/>
    <w:rsid w:val="0F856685"/>
    <w:rsid w:val="0F9827E1"/>
    <w:rsid w:val="0FC34B48"/>
    <w:rsid w:val="102C48A3"/>
    <w:rsid w:val="10783643"/>
    <w:rsid w:val="10F468BD"/>
    <w:rsid w:val="10FC5772"/>
    <w:rsid w:val="11E54EED"/>
    <w:rsid w:val="11F5397D"/>
    <w:rsid w:val="12073C61"/>
    <w:rsid w:val="120F41BF"/>
    <w:rsid w:val="129C348E"/>
    <w:rsid w:val="12A926B4"/>
    <w:rsid w:val="12C43913"/>
    <w:rsid w:val="12D71181"/>
    <w:rsid w:val="13A40A8D"/>
    <w:rsid w:val="13D44784"/>
    <w:rsid w:val="13E42DD7"/>
    <w:rsid w:val="1419533D"/>
    <w:rsid w:val="14226315"/>
    <w:rsid w:val="14731A94"/>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66ABA"/>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4F6141"/>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F36BB6"/>
    <w:rsid w:val="21F6420C"/>
    <w:rsid w:val="22097CEF"/>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CD500C"/>
    <w:rsid w:val="27F54F9D"/>
    <w:rsid w:val="284C1C5F"/>
    <w:rsid w:val="286B4E12"/>
    <w:rsid w:val="28706D19"/>
    <w:rsid w:val="287E2C63"/>
    <w:rsid w:val="289A78F2"/>
    <w:rsid w:val="298E7457"/>
    <w:rsid w:val="2A557F75"/>
    <w:rsid w:val="2A5E615F"/>
    <w:rsid w:val="2B286380"/>
    <w:rsid w:val="2B4F6CE6"/>
    <w:rsid w:val="2B577D1D"/>
    <w:rsid w:val="2B666D45"/>
    <w:rsid w:val="2B7D7783"/>
    <w:rsid w:val="2BA77E28"/>
    <w:rsid w:val="2BD31A99"/>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A1529E"/>
    <w:rsid w:val="30CC4E64"/>
    <w:rsid w:val="315E7D2D"/>
    <w:rsid w:val="31EE0B4F"/>
    <w:rsid w:val="32235CBE"/>
    <w:rsid w:val="323002F6"/>
    <w:rsid w:val="33172A43"/>
    <w:rsid w:val="339E473B"/>
    <w:rsid w:val="33B026C0"/>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BC08CA"/>
    <w:rsid w:val="3FCB25AE"/>
    <w:rsid w:val="401747B4"/>
    <w:rsid w:val="40392E41"/>
    <w:rsid w:val="408B53C4"/>
    <w:rsid w:val="40A01A22"/>
    <w:rsid w:val="41503B6E"/>
    <w:rsid w:val="415733AE"/>
    <w:rsid w:val="41630D72"/>
    <w:rsid w:val="417567D4"/>
    <w:rsid w:val="41B31CF9"/>
    <w:rsid w:val="41CA6261"/>
    <w:rsid w:val="41DF2AEE"/>
    <w:rsid w:val="421D1C63"/>
    <w:rsid w:val="428D6698"/>
    <w:rsid w:val="429C03A0"/>
    <w:rsid w:val="42D80E0B"/>
    <w:rsid w:val="43127FE0"/>
    <w:rsid w:val="432C1FA4"/>
    <w:rsid w:val="435E7A42"/>
    <w:rsid w:val="4409148E"/>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B1153B"/>
    <w:rsid w:val="46C27032"/>
    <w:rsid w:val="46CD299F"/>
    <w:rsid w:val="473B1090"/>
    <w:rsid w:val="47BD1E59"/>
    <w:rsid w:val="47FD50B0"/>
    <w:rsid w:val="48456D36"/>
    <w:rsid w:val="485E2293"/>
    <w:rsid w:val="48917F72"/>
    <w:rsid w:val="49024135"/>
    <w:rsid w:val="494769C6"/>
    <w:rsid w:val="499576D3"/>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821F7"/>
    <w:rsid w:val="507951F2"/>
    <w:rsid w:val="51200A2D"/>
    <w:rsid w:val="514C537E"/>
    <w:rsid w:val="516E572D"/>
    <w:rsid w:val="518604E5"/>
    <w:rsid w:val="51F83758"/>
    <w:rsid w:val="51FB0B52"/>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CE4A87"/>
    <w:rsid w:val="56E31ADE"/>
    <w:rsid w:val="575F06E8"/>
    <w:rsid w:val="57B01B5E"/>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B87A6E"/>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BCA3618"/>
    <w:rsid w:val="6C2A5117"/>
    <w:rsid w:val="6C391AED"/>
    <w:rsid w:val="6C432A11"/>
    <w:rsid w:val="6C47110C"/>
    <w:rsid w:val="6C5D505A"/>
    <w:rsid w:val="6CA64085"/>
    <w:rsid w:val="6CC60283"/>
    <w:rsid w:val="6CDA03F3"/>
    <w:rsid w:val="6D436291"/>
    <w:rsid w:val="6D93510E"/>
    <w:rsid w:val="6DE86C68"/>
    <w:rsid w:val="6E4A50D6"/>
    <w:rsid w:val="6E572D1F"/>
    <w:rsid w:val="6FBB5544"/>
    <w:rsid w:val="6FFE1AE2"/>
    <w:rsid w:val="705E076B"/>
    <w:rsid w:val="705F156B"/>
    <w:rsid w:val="70D35D7E"/>
    <w:rsid w:val="7159783F"/>
    <w:rsid w:val="7201141F"/>
    <w:rsid w:val="72CB77F1"/>
    <w:rsid w:val="72D22799"/>
    <w:rsid w:val="730808D4"/>
    <w:rsid w:val="73697BBA"/>
    <w:rsid w:val="73764075"/>
    <w:rsid w:val="73C95B29"/>
    <w:rsid w:val="74152946"/>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BF6ED9"/>
  <w15:docId w15:val="{8C87DD86-D02D-4602-A306-FA490A656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val="en-GB"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a5">
    <w:name w:val="annotation text"/>
    <w:basedOn w:val="a0"/>
    <w:pPr>
      <w:jc w:val="left"/>
    </w:pPr>
  </w:style>
  <w:style w:type="paragraph" w:styleId="20">
    <w:name w:val="List 2"/>
    <w:basedOn w:val="a6"/>
    <w:qFormat/>
    <w:pPr>
      <w:ind w:left="851"/>
    </w:pPr>
  </w:style>
  <w:style w:type="paragraph" w:styleId="a6">
    <w:name w:val="List"/>
    <w:basedOn w:val="a0"/>
    <w:qFormat/>
    <w:pPr>
      <w:ind w:left="568" w:hanging="284"/>
    </w:pPr>
  </w:style>
  <w:style w:type="paragraph" w:styleId="a7">
    <w:name w:val="Balloon Text"/>
    <w:basedOn w:val="a0"/>
    <w:link w:val="a8"/>
    <w:qFormat/>
    <w:pPr>
      <w:spacing w:after="0"/>
    </w:pPr>
    <w:rPr>
      <w:sz w:val="18"/>
      <w:szCs w:val="18"/>
    </w:rPr>
  </w:style>
  <w:style w:type="paragraph" w:styleId="a9">
    <w:name w:val="footer"/>
    <w:basedOn w:val="a0"/>
    <w:uiPriority w:val="99"/>
    <w:qFormat/>
    <w:pPr>
      <w:tabs>
        <w:tab w:val="center" w:pos="4252"/>
        <w:tab w:val="right" w:pos="8504"/>
      </w:tabs>
    </w:pPr>
  </w:style>
  <w:style w:type="paragraph" w:styleId="aa">
    <w:name w:val="header"/>
    <w:basedOn w:val="a0"/>
    <w:link w:val="ab"/>
    <w:uiPriority w:val="99"/>
    <w:qFormat/>
    <w:pPr>
      <w:widowControl w:val="0"/>
    </w:pPr>
    <w:rPr>
      <w:rFonts w:ascii="Arial" w:eastAsia="MS Mincho" w:hAnsi="Arial"/>
      <w:b/>
      <w:sz w:val="18"/>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22"/>
    <w:qFormat/>
    <w:rPr>
      <w:rFonts w:cs="Times New Roman"/>
      <w:b/>
    </w:rPr>
  </w:style>
  <w:style w:type="character" w:styleId="ae">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basedOn w:val="a0"/>
    <w:link w:val="af"/>
    <w:uiPriority w:val="34"/>
    <w:qFormat/>
    <w:pPr>
      <w:numPr>
        <w:numId w:val="4"/>
      </w:numPr>
      <w:spacing w:before="240" w:after="0" w:afterAutospacing="0"/>
    </w:pPr>
  </w:style>
  <w:style w:type="character" w:customStyle="1" w:styleId="a8">
    <w:name w:val="批注框文本 字符"/>
    <w:basedOn w:val="a1"/>
    <w:link w:val="a7"/>
    <w:qFormat/>
    <w:rPr>
      <w:rFonts w:eastAsia="MS Gothic"/>
      <w:sz w:val="18"/>
      <w:szCs w:val="18"/>
      <w:lang w:val="en-GB" w:eastAsia="ja-JP"/>
    </w:rPr>
  </w:style>
  <w:style w:type="character" w:customStyle="1" w:styleId="af">
    <w:name w:val="列表段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6"/>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character" w:styleId="af0">
    <w:name w:val="annotation reference"/>
    <w:basedOn w:val="a1"/>
    <w:rPr>
      <w:sz w:val="21"/>
      <w:szCs w:val="21"/>
    </w:rPr>
  </w:style>
  <w:style w:type="character" w:customStyle="1" w:styleId="ab">
    <w:name w:val="页眉 字符"/>
    <w:basedOn w:val="a1"/>
    <w:link w:val="aa"/>
    <w:uiPriority w:val="99"/>
    <w:rsid w:val="00AA1245"/>
    <w:rPr>
      <w:rFonts w:ascii="Arial" w:eastAsia="MS Mincho" w:hAnsi="Arial"/>
      <w:b/>
      <w:sz w:val="18"/>
      <w:lang w:val="en-GB" w:eastAsia="ja-JP"/>
    </w:rPr>
  </w:style>
  <w:style w:type="paragraph" w:styleId="af1">
    <w:name w:val="Normal (Web)"/>
    <w:basedOn w:val="a0"/>
    <w:rsid w:val="005A3A67"/>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8147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520</TotalTime>
  <Pages>5</Pages>
  <Words>1696</Words>
  <Characters>9671</Characters>
  <Application>Microsoft Office Word</Application>
  <DocSecurity>0</DocSecurity>
  <Lines>80</Lines>
  <Paragraphs>22</Paragraphs>
  <ScaleCrop>false</ScaleCrop>
  <Company/>
  <LinksUpToDate>false</LinksUpToDate>
  <CharactersWithSpaces>11345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马小骏(Ma Xiaojun)</cp:lastModifiedBy>
  <cp:revision>59</cp:revision>
  <dcterms:created xsi:type="dcterms:W3CDTF">2023-12-27T23:54:00Z</dcterms:created>
  <dcterms:modified xsi:type="dcterms:W3CDTF">2026-01-30T07:23:00Z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85FACE9897794C12986C81F9FA085E1E_13</vt:lpwstr>
  </property>
  <property fmtid="{D5CDD505-2E9C-101B-9397-08002B2CF9AE}" pid="4" name="KSOTemplateDocerSaveRecord">
    <vt:lpwstr>eyJoZGlkIjoiNjg5YTE3M2RiMjhjZDUyY2MxZjU4MzFhNTRmNWZiNWEiLCJ1c2VySWQiOiI0NDM1NzkyNzAifQ==</vt:lpwstr>
  </property>
</Properties>
</file>