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639"/>
        </w:tabs>
        <w:spacing w:before="120" w:after="120" w:line="240" w:lineRule="auto"/>
        <w:ind w:right="2" w:firstLine="221" w:firstLineChars="100"/>
        <w:rPr>
          <w:rFonts w:ascii="Arial" w:hAnsi="Arial" w:cs="Arial"/>
          <w:b/>
          <w:bCs/>
          <w:sz w:val="22"/>
          <w:szCs w:val="22"/>
        </w:rPr>
      </w:pPr>
      <w:r>
        <w:rPr>
          <w:rFonts w:ascii="Arial" w:hAnsi="Arial" w:cs="Arial"/>
          <w:b/>
          <w:bCs/>
          <w:sz w:val="22"/>
          <w:szCs w:val="22"/>
          <w:lang w:eastAsia="ja-JP"/>
        </w:rPr>
        <w:t>3GPP TSG RAN WG1 Meeting #1</w:t>
      </w:r>
      <w:r>
        <w:rPr>
          <w:rFonts w:hint="eastAsia" w:ascii="Arial" w:hAnsi="Arial" w:cs="Arial"/>
          <w:b/>
          <w:bCs/>
          <w:sz w:val="22"/>
          <w:szCs w:val="22"/>
        </w:rPr>
        <w:t>22</w:t>
      </w:r>
      <w:r>
        <w:rPr>
          <w:rFonts w:ascii="Arial" w:hAnsi="Arial" w:cs="Arial"/>
          <w:b/>
          <w:bCs/>
          <w:sz w:val="22"/>
          <w:szCs w:val="22"/>
          <w:lang w:eastAsia="ja-JP"/>
        </w:rPr>
        <w:tab/>
      </w:r>
      <w:r>
        <w:rPr>
          <w:rFonts w:ascii="Arial" w:hAnsi="Arial" w:cs="Arial"/>
          <w:b/>
          <w:bCs/>
          <w:sz w:val="22"/>
          <w:szCs w:val="22"/>
          <w:lang w:eastAsia="ja-JP"/>
        </w:rPr>
        <w:tab/>
      </w:r>
      <w:r>
        <w:rPr>
          <w:rFonts w:ascii="Arial" w:hAnsi="Arial" w:cs="Arial"/>
          <w:b/>
          <w:bCs/>
          <w:sz w:val="22"/>
          <w:szCs w:val="22"/>
          <w:lang w:eastAsia="ja-JP"/>
        </w:rPr>
        <w:t xml:space="preserve">                            R1-2</w:t>
      </w:r>
      <w:r>
        <w:rPr>
          <w:rFonts w:hint="eastAsia" w:ascii="Arial" w:hAnsi="Arial" w:cs="Arial"/>
          <w:b/>
          <w:bCs/>
          <w:sz w:val="22"/>
          <w:szCs w:val="22"/>
        </w:rPr>
        <w:t>505606</w:t>
      </w:r>
    </w:p>
    <w:p>
      <w:pPr>
        <w:spacing w:beforeLines="0" w:after="0" w:afterLines="0"/>
        <w:rPr>
          <w:sz w:val="22"/>
          <w:szCs w:val="22"/>
        </w:rPr>
      </w:pPr>
      <w:r>
        <w:rPr>
          <w:rFonts w:hint="eastAsia" w:ascii="Arial" w:hAnsi="Arial" w:cs="Arial"/>
          <w:b/>
          <w:bCs/>
          <w:sz w:val="22"/>
          <w:szCs w:val="22"/>
        </w:rPr>
        <w:t>Bengaluru</w:t>
      </w:r>
      <w:r>
        <w:rPr>
          <w:rFonts w:ascii="Arial" w:hAnsi="Arial" w:cs="Arial"/>
          <w:b/>
          <w:bCs/>
          <w:sz w:val="22"/>
          <w:szCs w:val="22"/>
          <w:lang w:eastAsia="ja-JP"/>
        </w:rPr>
        <w:t xml:space="preserve">, </w:t>
      </w:r>
      <w:r>
        <w:rPr>
          <w:rFonts w:hint="eastAsia" w:ascii="Arial" w:hAnsi="Arial" w:cs="Arial"/>
          <w:b/>
          <w:bCs/>
          <w:sz w:val="22"/>
          <w:szCs w:val="22"/>
        </w:rPr>
        <w:t>India, August 25</w:t>
      </w:r>
      <w:r>
        <w:rPr>
          <w:rFonts w:hint="eastAsia" w:ascii="Arial" w:hAnsi="Arial" w:cs="Arial"/>
          <w:b/>
          <w:bCs/>
          <w:sz w:val="22"/>
          <w:szCs w:val="22"/>
          <w:vertAlign w:val="superscript"/>
        </w:rPr>
        <w:t>th</w:t>
      </w:r>
      <w:r>
        <w:rPr>
          <w:rFonts w:ascii="Arial" w:hAnsi="Arial" w:eastAsia="MS Mincho" w:cs="Arial"/>
          <w:b/>
          <w:bCs/>
          <w:sz w:val="22"/>
          <w:szCs w:val="22"/>
        </w:rPr>
        <w:t xml:space="preserve"> –</w:t>
      </w:r>
      <w:r>
        <w:rPr>
          <w:rFonts w:ascii="Arial" w:hAnsi="Arial" w:cs="Arial"/>
          <w:b/>
          <w:bCs/>
          <w:sz w:val="22"/>
          <w:szCs w:val="22"/>
        </w:rPr>
        <w:t xml:space="preserve"> </w:t>
      </w:r>
      <w:r>
        <w:rPr>
          <w:rFonts w:hint="eastAsia" w:ascii="Arial" w:hAnsi="Arial" w:cs="Arial"/>
          <w:b/>
          <w:bCs/>
          <w:sz w:val="22"/>
          <w:szCs w:val="22"/>
        </w:rPr>
        <w:t>29</w:t>
      </w:r>
      <w:r>
        <w:rPr>
          <w:rFonts w:hint="eastAsia" w:ascii="Arial" w:hAnsi="Arial" w:cs="Arial"/>
          <w:b/>
          <w:bCs/>
          <w:sz w:val="22"/>
          <w:szCs w:val="22"/>
          <w:vertAlign w:val="superscript"/>
        </w:rPr>
        <w:t>th</w:t>
      </w:r>
      <w:r>
        <w:rPr>
          <w:rFonts w:ascii="Arial" w:hAnsi="Arial" w:cs="Arial"/>
          <w:b/>
          <w:bCs/>
          <w:sz w:val="22"/>
          <w:szCs w:val="22"/>
          <w:lang w:eastAsia="ja-JP"/>
        </w:rPr>
        <w:t>, 202</w:t>
      </w:r>
      <w:r>
        <w:rPr>
          <w:rFonts w:hint="eastAsia" w:ascii="Arial" w:hAnsi="Arial" w:cs="Arial"/>
          <w:b/>
          <w:bCs/>
          <w:sz w:val="22"/>
          <w:szCs w:val="22"/>
        </w:rPr>
        <w:t>5</w:t>
      </w:r>
    </w:p>
    <w:p>
      <w:pPr>
        <w:tabs>
          <w:tab w:val="center" w:pos="4536"/>
          <w:tab w:val="right" w:pos="9072"/>
        </w:tabs>
        <w:spacing w:beforeLines="0" w:after="0" w:afterLines="0" w:line="240" w:lineRule="auto"/>
        <w:rPr>
          <w:rFonts w:ascii="Arial" w:hAnsi="Arial" w:cs="Arial"/>
          <w:b/>
          <w:bCs/>
          <w:sz w:val="22"/>
          <w:szCs w:val="22"/>
        </w:rPr>
      </w:pPr>
    </w:p>
    <w:p>
      <w:pPr>
        <w:tabs>
          <w:tab w:val="left" w:pos="1985"/>
        </w:tabs>
        <w:spacing w:beforeLines="0" w:after="0" w:afterLines="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Pr>
          <w:rFonts w:hint="eastAsia" w:ascii="Arial" w:hAnsi="Arial"/>
          <w:b/>
          <w:sz w:val="22"/>
          <w:szCs w:val="22"/>
        </w:rPr>
        <w:t>Discussion on modulation for 6GR</w:t>
      </w:r>
      <w:r>
        <w:rPr>
          <w:rFonts w:ascii="Arial" w:hAnsi="Arial"/>
          <w:b/>
          <w:sz w:val="22"/>
          <w:szCs w:val="22"/>
        </w:rPr>
        <w:t> </w:t>
      </w:r>
    </w:p>
    <w:p>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r>
      <w:r>
        <w:rPr>
          <w:rFonts w:ascii="Arial" w:hAnsi="Arial"/>
          <w:b/>
          <w:sz w:val="22"/>
          <w:szCs w:val="22"/>
        </w:rPr>
        <w:t>ZTE</w:t>
      </w:r>
      <w:r>
        <w:rPr>
          <w:rFonts w:hint="eastAsia" w:ascii="Arial" w:hAnsi="Arial"/>
          <w:b/>
          <w:sz w:val="22"/>
          <w:szCs w:val="22"/>
        </w:rPr>
        <w:t xml:space="preserve"> Corporation</w:t>
      </w:r>
      <w:r>
        <w:rPr>
          <w:rFonts w:ascii="Arial" w:hAnsi="Arial"/>
          <w:b/>
          <w:sz w:val="22"/>
          <w:szCs w:val="22"/>
        </w:rPr>
        <w:t>, Sanechips</w:t>
      </w:r>
    </w:p>
    <w:p>
      <w:pPr>
        <w:tabs>
          <w:tab w:val="left" w:pos="1985"/>
        </w:tabs>
        <w:spacing w:before="120" w:after="120"/>
        <w:rPr>
          <w:b/>
          <w:sz w:val="20"/>
          <w:szCs w:val="22"/>
        </w:rPr>
      </w:pPr>
      <w:r>
        <w:rPr>
          <w:rFonts w:ascii="Arial" w:hAnsi="Arial"/>
          <w:b/>
          <w:sz w:val="22"/>
          <w:szCs w:val="22"/>
          <w:lang w:val="pt-BR"/>
        </w:rPr>
        <w:t>Agenda item:</w:t>
      </w:r>
      <w:r>
        <w:rPr>
          <w:rFonts w:ascii="Arial" w:hAnsi="Arial"/>
          <w:b/>
          <w:sz w:val="22"/>
          <w:szCs w:val="22"/>
          <w:lang w:val="pt-BR"/>
        </w:rPr>
        <w:tab/>
      </w:r>
      <w:r>
        <w:rPr>
          <w:rFonts w:hint="eastAsia" w:ascii="Arial" w:hAnsi="Arial"/>
          <w:b/>
          <w:sz w:val="22"/>
          <w:szCs w:val="22"/>
        </w:rPr>
        <w:t>11</w:t>
      </w:r>
      <w:r>
        <w:rPr>
          <w:rFonts w:ascii="Arial" w:hAnsi="Arial"/>
          <w:b/>
          <w:sz w:val="22"/>
          <w:szCs w:val="22"/>
        </w:rPr>
        <w:t>.</w:t>
      </w:r>
      <w:r>
        <w:rPr>
          <w:rFonts w:hint="eastAsia" w:ascii="Arial" w:hAnsi="Arial"/>
          <w:b/>
          <w:sz w:val="22"/>
          <w:szCs w:val="22"/>
        </w:rPr>
        <w:t>4</w:t>
      </w:r>
      <w:r>
        <w:rPr>
          <w:rFonts w:ascii="Arial" w:hAnsi="Arial"/>
          <w:b/>
          <w:sz w:val="22"/>
          <w:szCs w:val="22"/>
        </w:rPr>
        <w:t>.</w:t>
      </w:r>
      <w:r>
        <w:rPr>
          <w:rFonts w:hint="eastAsia" w:ascii="Arial" w:hAnsi="Arial"/>
          <w:b/>
          <w:sz w:val="22"/>
          <w:szCs w:val="22"/>
        </w:rPr>
        <w:t>2</w:t>
      </w:r>
    </w:p>
    <w:p>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hint="eastAsia" w:ascii="Arial" w:hAnsi="Arial"/>
          <w:b/>
          <w:sz w:val="22"/>
          <w:szCs w:val="22"/>
        </w:rPr>
        <w:t>Discussion</w:t>
      </w:r>
      <w:r>
        <w:rPr>
          <w:rFonts w:ascii="Arial" w:hAnsi="Arial"/>
          <w:b/>
          <w:sz w:val="22"/>
          <w:szCs w:val="22"/>
        </w:rPr>
        <w:t xml:space="preserve"> and decision</w:t>
      </w:r>
    </w:p>
    <w:p>
      <w:pPr>
        <w:pStyle w:val="2"/>
        <w:spacing w:before="120" w:after="120"/>
        <w:ind w:left="0"/>
        <w:rPr>
          <w:rFonts w:eastAsia="宋体"/>
        </w:rPr>
      </w:pPr>
      <w:bookmarkStart w:id="241" w:name="_GoBack"/>
      <w:bookmarkEnd w:id="241"/>
      <w:r>
        <w:rPr>
          <w:rFonts w:hint="eastAsia" w:eastAsia="宋体"/>
        </w:rPr>
        <w:t>Introduction</w:t>
      </w:r>
    </w:p>
    <w:p>
      <w:pPr>
        <w:spacing w:before="120" w:after="120"/>
        <w:rPr>
          <w:szCs w:val="21"/>
        </w:rPr>
      </w:pPr>
      <w:r>
        <w:rPr>
          <w:rFonts w:hint="eastAsia"/>
          <w:szCs w:val="21"/>
        </w:rPr>
        <w:t xml:space="preserve">In RAN#108 meeting, the SID of 6G </w:t>
      </w:r>
      <w:r>
        <w:t>Radio</w:t>
      </w:r>
      <w:r>
        <w:rPr>
          <w:rFonts w:hint="eastAsia"/>
        </w:rPr>
        <w:t xml:space="preserve"> (6G</w:t>
      </w:r>
      <w:r>
        <w:rPr>
          <w:rFonts w:hint="eastAsia"/>
          <w:szCs w:val="21"/>
        </w:rPr>
        <w:t xml:space="preserve">R) interface was agreed </w:t>
      </w:r>
      <w:r>
        <w:rPr>
          <w:rFonts w:hint="eastAsia"/>
          <w:szCs w:val="21"/>
        </w:rPr>
        <w:fldChar w:fldCharType="begin"/>
      </w:r>
      <w:r>
        <w:rPr>
          <w:rFonts w:hint="eastAsia"/>
          <w:szCs w:val="21"/>
        </w:rPr>
        <w:instrText xml:space="preserve"> REF _Ref17440 \r \h </w:instrText>
      </w:r>
      <w:r>
        <w:rPr>
          <w:rFonts w:hint="eastAsia"/>
          <w:szCs w:val="21"/>
        </w:rPr>
        <w:fldChar w:fldCharType="separate"/>
      </w:r>
      <w:r>
        <w:rPr>
          <w:rFonts w:hint="eastAsia"/>
          <w:szCs w:val="21"/>
        </w:rPr>
        <w:t>[1]</w:t>
      </w:r>
      <w:r>
        <w:rPr>
          <w:rFonts w:hint="eastAsia"/>
          <w:szCs w:val="21"/>
        </w:rPr>
        <w:fldChar w:fldCharType="end"/>
      </w:r>
      <w:r>
        <w:rPr>
          <w:rFonts w:hint="eastAsia"/>
          <w:szCs w:val="21"/>
        </w:rPr>
        <w:t>. The objective</w:t>
      </w:r>
      <w:r>
        <w:rPr>
          <w:szCs w:val="21"/>
        </w:rPr>
        <w:t xml:space="preserve"> of modulation is </w:t>
      </w:r>
      <w:r>
        <w:rPr>
          <w:rFonts w:hint="eastAsia"/>
          <w:szCs w:val="21"/>
        </w:rPr>
        <w:t>shown as follows.</w:t>
      </w:r>
    </w:p>
    <w:p>
      <w:pPr>
        <w:pStyle w:val="31"/>
        <w:numPr>
          <w:ilvl w:val="0"/>
          <w:numId w:val="5"/>
        </w:numPr>
        <w:spacing w:before="120" w:after="120"/>
        <w:rPr>
          <w:szCs w:val="21"/>
        </w:rPr>
      </w:pPr>
      <w:r>
        <w:rPr>
          <w:color w:val="000000"/>
          <w:sz w:val="21"/>
          <w:szCs w:val="21"/>
        </w:rPr>
        <w:t>Waveforms (OFDM-based) and modulations. 5G NR Waveforms and modulation should be considered for 6GR and is also the benchmark for other potential proposals. [RAN1, RAN4]</w:t>
      </w:r>
    </w:p>
    <w:p>
      <w:pPr>
        <w:spacing w:before="120" w:after="120"/>
      </w:pPr>
      <w:r>
        <w:rPr>
          <w:rFonts w:hint="eastAsia"/>
          <w:szCs w:val="21"/>
        </w:rPr>
        <w:t>In this contribution, we provide analysis on modulation for 6GR</w:t>
      </w:r>
      <w:r>
        <w:rPr>
          <w:szCs w:val="21"/>
        </w:rPr>
        <w:t xml:space="preserve"> including the aspects of modulation order, shaping modulation and low PAPR modulation</w:t>
      </w:r>
      <w:r>
        <w:rPr>
          <w:rFonts w:hint="eastAsia"/>
          <w:szCs w:val="21"/>
        </w:rPr>
        <w:t>.</w:t>
      </w:r>
    </w:p>
    <w:p>
      <w:pPr>
        <w:pStyle w:val="2"/>
        <w:spacing w:before="120" w:after="120"/>
        <w:ind w:left="0"/>
      </w:pPr>
      <w:r>
        <w:rPr>
          <w:rFonts w:hint="eastAsia" w:eastAsia="宋体"/>
        </w:rPr>
        <w:t>Discussion on QAM modulation for 6GR</w:t>
      </w:r>
    </w:p>
    <w:p>
      <w:pPr>
        <w:spacing w:before="120" w:after="120"/>
      </w:pPr>
      <w:r>
        <w:t xml:space="preserve">Traditional </w:t>
      </w:r>
      <w:r>
        <w:rPr>
          <w:rFonts w:hint="eastAsia"/>
        </w:rPr>
        <w:t>quadrature amplitude modulation (QAM)</w:t>
      </w:r>
      <w:r>
        <w:t xml:space="preserve"> constellation has been widely used in wireless communication. It is a classic and efficient technique, offering benefits such as spectral efficiency, mature implementation frameworks, and proven robustness. Therefore, QAM constellation can be considered as a starting point for 6GR. </w:t>
      </w:r>
    </w:p>
    <w:p>
      <w:pPr>
        <w:pStyle w:val="54"/>
        <w:spacing w:before="120" w:after="120"/>
        <w:jc w:val="both"/>
        <w:rPr>
          <w:lang w:val="en-US" w:eastAsia="zh-CN"/>
        </w:rPr>
      </w:pPr>
      <w:bookmarkStart w:id="0" w:name="_Toc18410"/>
      <w:bookmarkStart w:id="1" w:name="_Toc206179001"/>
      <w:bookmarkStart w:id="2" w:name="_Toc399"/>
      <w:bookmarkStart w:id="3" w:name="_Toc27028"/>
      <w:bookmarkStart w:id="4" w:name="_Toc9262"/>
      <w:bookmarkStart w:id="5" w:name="_Toc4525"/>
      <w:bookmarkStart w:id="6" w:name="_Toc24818"/>
      <w:r>
        <w:rPr>
          <w:lang w:val="en-US" w:eastAsia="zh-CN"/>
        </w:rPr>
        <w:t>QAM constellation can be considered as the starting point for 6GR.</w:t>
      </w:r>
      <w:bookmarkEnd w:id="0"/>
      <w:bookmarkEnd w:id="1"/>
      <w:bookmarkEnd w:id="2"/>
      <w:bookmarkEnd w:id="3"/>
      <w:bookmarkEnd w:id="4"/>
      <w:bookmarkEnd w:id="5"/>
      <w:bookmarkEnd w:id="6"/>
    </w:p>
    <w:p>
      <w:pPr>
        <w:spacing w:before="120" w:after="120"/>
      </w:pPr>
      <w:r>
        <w:rPr>
          <w:rFonts w:hint="eastAsia"/>
        </w:rPr>
        <w:t>H</w:t>
      </w:r>
      <w:r>
        <w:t xml:space="preserve">owever, higher modulation order for QAM constellation compared to 5G NR (e.g., 2048QAM and 4096QAM) is more sensitive on </w:t>
      </w:r>
      <w:r>
        <w:rPr>
          <w:rFonts w:hint="eastAsia"/>
        </w:rPr>
        <w:t>error vector magnitude (</w:t>
      </w:r>
      <w:r>
        <w:t>EVM</w:t>
      </w:r>
      <w:r>
        <w:rPr>
          <w:rFonts w:hint="eastAsia"/>
        </w:rPr>
        <w:t xml:space="preserve">) </w:t>
      </w:r>
      <w:r>
        <w:t xml:space="preserve">and requires higher </w:t>
      </w:r>
      <w:r>
        <w:rPr>
          <w:rFonts w:hint="eastAsia"/>
        </w:rPr>
        <w:t>signal-to-noise ratio (</w:t>
      </w:r>
      <w:r>
        <w:t>SNR</w:t>
      </w:r>
      <w:r>
        <w:rPr>
          <w:rFonts w:hint="eastAsia"/>
        </w:rPr>
        <w:t>)</w:t>
      </w:r>
      <w:r>
        <w:t>. Therefore, we think 2048QAM or 4096QAM should not be considered in 6G Day 1.</w:t>
      </w:r>
    </w:p>
    <w:p>
      <w:pPr>
        <w:pStyle w:val="54"/>
        <w:spacing w:before="120" w:after="120"/>
        <w:jc w:val="both"/>
        <w:rPr>
          <w:rFonts w:eastAsia="宋体"/>
        </w:rPr>
      </w:pPr>
      <w:bookmarkStart w:id="7" w:name="_Toc28155"/>
      <w:bookmarkStart w:id="8" w:name="_Toc30884"/>
      <w:bookmarkStart w:id="9" w:name="_Toc31281"/>
      <w:bookmarkStart w:id="10" w:name="_Toc25730"/>
      <w:bookmarkStart w:id="11" w:name="_Toc32660"/>
      <w:bookmarkStart w:id="12" w:name="_Toc206179002"/>
      <w:bookmarkStart w:id="13" w:name="_Toc20626"/>
      <w:r>
        <w:rPr>
          <w:lang w:val="en-US" w:eastAsia="zh-CN"/>
        </w:rPr>
        <w:t xml:space="preserve">Do not support </w:t>
      </w:r>
      <w:r>
        <w:t xml:space="preserve">2048QAM </w:t>
      </w:r>
      <w:r>
        <w:rPr>
          <w:lang w:eastAsia="zh-CN"/>
        </w:rPr>
        <w:t>or</w:t>
      </w:r>
      <w:r>
        <w:t xml:space="preserve"> 4096QAM</w:t>
      </w:r>
      <w:r>
        <w:rPr>
          <w:lang w:val="en-US" w:eastAsia="zh-CN"/>
        </w:rPr>
        <w:t xml:space="preserve"> in 6G Day 1.</w:t>
      </w:r>
      <w:bookmarkEnd w:id="7"/>
      <w:bookmarkEnd w:id="8"/>
      <w:bookmarkEnd w:id="9"/>
      <w:bookmarkEnd w:id="10"/>
      <w:bookmarkEnd w:id="11"/>
      <w:bookmarkEnd w:id="12"/>
      <w:bookmarkEnd w:id="13"/>
    </w:p>
    <w:p>
      <w:pPr>
        <w:pStyle w:val="2"/>
        <w:spacing w:before="120" w:after="120"/>
        <w:ind w:left="0"/>
      </w:pPr>
      <w:r>
        <w:rPr>
          <w:rFonts w:hint="eastAsia" w:eastAsia="宋体"/>
        </w:rPr>
        <w:t xml:space="preserve">Discussion on </w:t>
      </w:r>
      <w:r>
        <w:rPr>
          <w:rFonts w:eastAsia="宋体"/>
        </w:rPr>
        <w:t>shaping</w:t>
      </w:r>
      <w:r>
        <w:rPr>
          <w:rFonts w:hint="eastAsia" w:eastAsia="宋体"/>
        </w:rPr>
        <w:t xml:space="preserve"> modulation for 6GR</w:t>
      </w:r>
    </w:p>
    <w:p>
      <w:pPr>
        <w:pStyle w:val="3"/>
        <w:spacing w:before="120" w:after="120"/>
        <w:ind w:left="991" w:right="210" w:hanging="991" w:hangingChars="354"/>
      </w:pPr>
      <w:r>
        <w:rPr>
          <w:rFonts w:hint="eastAsia" w:eastAsia="宋体"/>
        </w:rPr>
        <w:t>Motivation</w:t>
      </w:r>
    </w:p>
    <w:p>
      <w:pPr>
        <w:spacing w:before="120" w:after="120"/>
      </w:pPr>
      <w:r>
        <w:t>From 3G</w:t>
      </w:r>
      <w:r>
        <w:rPr>
          <w:rFonts w:hint="eastAsia"/>
        </w:rPr>
        <w:t xml:space="preserve"> </w:t>
      </w:r>
      <w:r>
        <w:rPr>
          <w:rFonts w:hint="eastAsia"/>
        </w:rPr>
        <w:fldChar w:fldCharType="begin"/>
      </w:r>
      <w:r>
        <w:rPr>
          <w:rFonts w:hint="eastAsia"/>
        </w:rPr>
        <w:instrText xml:space="preserve"> REF _Ref23705 \r \h </w:instrText>
      </w:r>
      <w:r>
        <w:rPr>
          <w:rFonts w:hint="eastAsia"/>
        </w:rPr>
        <w:fldChar w:fldCharType="separate"/>
      </w:r>
      <w:r>
        <w:rPr>
          <w:rFonts w:hint="eastAsia"/>
        </w:rPr>
        <w:t>[2]</w:t>
      </w:r>
      <w:r>
        <w:rPr>
          <w:rFonts w:hint="eastAsia"/>
        </w:rPr>
        <w:fldChar w:fldCharType="end"/>
      </w:r>
      <w:r>
        <w:t xml:space="preserve"> to 5G </w:t>
      </w:r>
      <w:r>
        <w:rPr>
          <w:rFonts w:hint="eastAsia"/>
        </w:rPr>
        <w:fldChar w:fldCharType="begin"/>
      </w:r>
      <w:r>
        <w:rPr>
          <w:rFonts w:hint="eastAsia"/>
        </w:rPr>
        <w:instrText xml:space="preserve"> REF _Ref23663 \r \h </w:instrText>
      </w:r>
      <w:r>
        <w:rPr>
          <w:rFonts w:hint="eastAsia"/>
        </w:rPr>
        <w:fldChar w:fldCharType="separate"/>
      </w:r>
      <w:r>
        <w:rPr>
          <w:rFonts w:hint="eastAsia"/>
        </w:rPr>
        <w:t>[3]</w:t>
      </w:r>
      <w:r>
        <w:rPr>
          <w:rFonts w:hint="eastAsia"/>
        </w:rPr>
        <w:fldChar w:fldCharType="end"/>
      </w:r>
      <w:r>
        <w:t>, QAM constellation is used for modulation. According to mathematical analysis, QAM constellation still has 1.53dB gap to ideal channel capacity in high spectral efficiency</w:t>
      </w:r>
      <w:r>
        <w:rPr>
          <w:rFonts w:hint="eastAsia"/>
        </w:rPr>
        <w:t xml:space="preserve"> (</w:t>
      </w:r>
      <w:r>
        <w:t>SE</w:t>
      </w:r>
      <w:r>
        <w:rPr>
          <w:rFonts w:hint="eastAsia"/>
        </w:rPr>
        <w:t>)</w:t>
      </w:r>
      <w:r>
        <w:t xml:space="preserve"> region at additive white Gaussian noise (AWGN) channels. In 6GR, we should strive to provide better experience for users. On the one hand, better performance would be expected for traditional service in mobile phone to improve UE experience. On the other hand, some new services with higher QoS requirement will be a challenge for 6GR. For example, immersive communication is one of the killer applications for 6GR </w:t>
      </w:r>
      <w:r>
        <w:fldChar w:fldCharType="begin"/>
      </w:r>
      <w:r>
        <w:instrText xml:space="preserve"> REF _Ref18331 \r \h </w:instrText>
      </w:r>
      <w:r>
        <w:fldChar w:fldCharType="separate"/>
      </w:r>
      <w:r>
        <w:t>[1]</w:t>
      </w:r>
      <w:r>
        <w:fldChar w:fldCharType="end"/>
      </w:r>
      <w:r>
        <w:fldChar w:fldCharType="begin"/>
      </w:r>
      <w:r>
        <w:instrText xml:space="preserve"> REF _Ref23509 \r \h </w:instrText>
      </w:r>
      <w:r>
        <w:fldChar w:fldCharType="separate"/>
      </w:r>
      <w:r>
        <w:t>[4]</w:t>
      </w:r>
      <w:r>
        <w:fldChar w:fldCharType="end"/>
      </w:r>
      <w:r>
        <w:t xml:space="preserve">, which is characterized by large and variable packet size, high reliability and stringent latency. It requires higher user experienced data rate, better spectral efficiency and better energy efficiency for 6G system, which means high modulation orders (including e.g., 256QAM and 1024QAM) are needed for immersive communication. </w:t>
      </w:r>
      <w:r>
        <w:rPr>
          <w:rFonts w:hint="eastAsia"/>
        </w:rPr>
        <w:t xml:space="preserve">As a result, signal shaping, i.e., designing modulation schemes to approach </w:t>
      </w:r>
      <w:r>
        <w:t xml:space="preserve">channel </w:t>
      </w:r>
      <w:r>
        <w:rPr>
          <w:rFonts w:hint="eastAsia"/>
        </w:rPr>
        <w:t>capacity, is a po</w:t>
      </w:r>
      <w:r>
        <w:t>tential</w:t>
      </w:r>
      <w:r>
        <w:rPr>
          <w:rFonts w:hint="eastAsia"/>
        </w:rPr>
        <w:t xml:space="preserve"> way to obtain gains. </w:t>
      </w:r>
    </w:p>
    <w:p>
      <w:pPr>
        <w:pStyle w:val="51"/>
        <w:spacing w:before="120" w:after="120"/>
        <w:jc w:val="both"/>
      </w:pPr>
      <w:bookmarkStart w:id="14" w:name="_Toc16256"/>
      <w:bookmarkStart w:id="15" w:name="_Toc13410"/>
      <w:bookmarkStart w:id="16" w:name="_Toc23265"/>
      <w:bookmarkStart w:id="17" w:name="_Toc4448"/>
      <w:bookmarkStart w:id="18" w:name="_Toc1887"/>
      <w:bookmarkStart w:id="19" w:name="_Toc11324"/>
      <w:bookmarkStart w:id="20" w:name="_Toc19588"/>
      <w:bookmarkStart w:id="21" w:name="_Toc7243"/>
      <w:bookmarkStart w:id="22" w:name="_Toc9889"/>
      <w:bookmarkStart w:id="23" w:name="_Toc4144"/>
      <w:bookmarkStart w:id="24" w:name="_Toc206178979"/>
      <w:bookmarkStart w:id="25" w:name="_Toc11021"/>
      <w:bookmarkStart w:id="26" w:name="_Toc32681"/>
      <w:bookmarkStart w:id="27" w:name="_Toc12522"/>
      <w:bookmarkStart w:id="28" w:name="_Toc29057"/>
      <w:bookmarkStart w:id="29" w:name="_Toc29375"/>
      <w:bookmarkStart w:id="30" w:name="_Toc7753"/>
      <w:bookmarkStart w:id="31" w:name="_Toc17886"/>
      <w:bookmarkStart w:id="32" w:name="_Toc13547"/>
      <w:bookmarkStart w:id="33" w:name="_Toc15548"/>
      <w:bookmarkStart w:id="34" w:name="_Toc16597"/>
      <w:bookmarkStart w:id="35" w:name="_Toc17219"/>
      <w:bookmarkStart w:id="36" w:name="_Toc13299"/>
      <w:bookmarkStart w:id="37" w:name="_Toc16821"/>
      <w:bookmarkStart w:id="38" w:name="_Toc8876"/>
      <w:bookmarkStart w:id="39" w:name="_Toc2721"/>
      <w:bookmarkStart w:id="40" w:name="_Toc4269"/>
      <w:bookmarkStart w:id="41" w:name="_Toc6779"/>
      <w:bookmarkStart w:id="42" w:name="_Toc14604"/>
      <w:bookmarkStart w:id="43" w:name="_Toc27278"/>
      <w:bookmarkStart w:id="44" w:name="_Toc16768"/>
      <w:bookmarkStart w:id="45" w:name="_Toc5259"/>
      <w:bookmarkStart w:id="46" w:name="_Toc30232"/>
      <w:bookmarkStart w:id="47" w:name="_Toc18148"/>
      <w:bookmarkStart w:id="48" w:name="_Toc30047"/>
      <w:bookmarkStart w:id="49" w:name="_Toc4276"/>
      <w:r>
        <w:rPr>
          <w:rFonts w:hint="eastAsia"/>
          <w:lang w:val="en-US" w:eastAsia="zh-CN"/>
        </w:rPr>
        <w:t>Shaping modulation is capable of achieving Shannon capacity.</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pPr>
        <w:pStyle w:val="3"/>
        <w:spacing w:before="120" w:after="120"/>
        <w:ind w:left="991" w:right="210" w:hanging="991" w:hangingChars="354"/>
      </w:pPr>
      <w:r>
        <w:rPr>
          <w:rFonts w:hint="eastAsia" w:eastAsia="宋体"/>
        </w:rPr>
        <w:t>M</w:t>
      </w:r>
      <w:r>
        <w:rPr>
          <w:rFonts w:hint="eastAsia"/>
        </w:rPr>
        <w:t>etrics</w:t>
      </w:r>
      <w:r>
        <w:rPr>
          <w:rFonts w:hint="eastAsia" w:eastAsia="宋体"/>
        </w:rPr>
        <w:t xml:space="preserve"> for</w:t>
      </w:r>
      <w:r>
        <w:rPr>
          <w:rFonts w:hint="eastAsia"/>
        </w:rPr>
        <w:t xml:space="preserve"> </w:t>
      </w:r>
      <w:r>
        <w:rPr>
          <w:rFonts w:hint="eastAsia" w:eastAsia="宋体"/>
        </w:rPr>
        <w:t>shaping modulation</w:t>
      </w:r>
    </w:p>
    <w:p>
      <w:pPr>
        <w:spacing w:before="120" w:after="120"/>
      </w:pPr>
      <w:r>
        <w:t>For the evaluation of shaping modulation, the following metrics need to be considered from our perspective.</w:t>
      </w:r>
    </w:p>
    <w:p>
      <w:pPr>
        <w:pStyle w:val="31"/>
        <w:numPr>
          <w:ilvl w:val="0"/>
          <w:numId w:val="6"/>
        </w:numPr>
        <w:spacing w:before="120" w:after="120"/>
        <w:rPr>
          <w:b/>
          <w:sz w:val="21"/>
          <w:szCs w:val="21"/>
        </w:rPr>
      </w:pPr>
      <w:r>
        <w:rPr>
          <w:rFonts w:hint="eastAsia"/>
          <w:b/>
          <w:sz w:val="21"/>
          <w:szCs w:val="21"/>
        </w:rPr>
        <w:t>BLER performance</w:t>
      </w:r>
      <w:r>
        <w:rPr>
          <w:b/>
          <w:sz w:val="21"/>
          <w:szCs w:val="21"/>
        </w:rPr>
        <w:t xml:space="preserve"> for both initial transmission and re-transmission</w:t>
      </w:r>
    </w:p>
    <w:p>
      <w:pPr>
        <w:spacing w:before="120" w:after="120"/>
        <w:rPr>
          <w:szCs w:val="21"/>
        </w:rPr>
      </w:pPr>
      <w:r>
        <w:rPr>
          <w:rFonts w:hint="eastAsia"/>
          <w:szCs w:val="21"/>
        </w:rPr>
        <w:t>Modulation is an essential component in the wireless communication. Therefore, the block error rate (BLER) performance of shaping modulation needs to be evaluated for all potential cases with small to large transport block size (TBS) and modulation and coding scheme (MCS) entries.</w:t>
      </w:r>
    </w:p>
    <w:p>
      <w:pPr>
        <w:spacing w:before="120" w:after="120"/>
        <w:rPr>
          <w:szCs w:val="21"/>
        </w:rPr>
      </w:pPr>
      <w:r>
        <w:rPr>
          <w:rFonts w:hint="eastAsia"/>
          <w:szCs w:val="21"/>
        </w:rPr>
        <w:t>F</w:t>
      </w:r>
      <w:r>
        <w:rPr>
          <w:szCs w:val="21"/>
        </w:rPr>
        <w:t>urthermore,</w:t>
      </w:r>
      <w:r>
        <w:rPr>
          <w:rFonts w:hint="eastAsia"/>
          <w:szCs w:val="21"/>
        </w:rPr>
        <w:t xml:space="preserve"> h</w:t>
      </w:r>
      <w:r>
        <w:rPr>
          <w:szCs w:val="21"/>
        </w:rPr>
        <w:t xml:space="preserve">ybrid </w:t>
      </w:r>
      <w:r>
        <w:rPr>
          <w:rFonts w:hint="eastAsia"/>
          <w:szCs w:val="21"/>
        </w:rPr>
        <w:t>a</w:t>
      </w:r>
      <w:r>
        <w:rPr>
          <w:szCs w:val="21"/>
        </w:rPr>
        <w:t xml:space="preserve">utomatic </w:t>
      </w:r>
      <w:r>
        <w:rPr>
          <w:rFonts w:hint="eastAsia"/>
          <w:szCs w:val="21"/>
        </w:rPr>
        <w:t>r</w:t>
      </w:r>
      <w:r>
        <w:rPr>
          <w:szCs w:val="21"/>
        </w:rPr>
        <w:t>epeat re</w:t>
      </w:r>
      <w:r>
        <w:rPr>
          <w:rFonts w:hint="eastAsia"/>
          <w:szCs w:val="21"/>
        </w:rPr>
        <w:t>q</w:t>
      </w:r>
      <w:r>
        <w:rPr>
          <w:szCs w:val="21"/>
        </w:rPr>
        <w:t xml:space="preserve">uest </w:t>
      </w:r>
      <w:r>
        <w:rPr>
          <w:rFonts w:hint="eastAsia"/>
          <w:szCs w:val="21"/>
        </w:rPr>
        <w:t>a</w:t>
      </w:r>
      <w:r>
        <w:rPr>
          <w:szCs w:val="21"/>
        </w:rPr>
        <w:t xml:space="preserve">cknowledgement </w:t>
      </w:r>
      <w:r>
        <w:rPr>
          <w:rFonts w:hint="eastAsia"/>
          <w:szCs w:val="21"/>
        </w:rPr>
        <w:t>(</w:t>
      </w:r>
      <w:r>
        <w:rPr>
          <w:szCs w:val="21"/>
        </w:rPr>
        <w:t>HARQ-ACK</w:t>
      </w:r>
      <w:r>
        <w:rPr>
          <w:rFonts w:hint="eastAsia"/>
          <w:szCs w:val="21"/>
        </w:rPr>
        <w:t>)</w:t>
      </w:r>
      <w:r>
        <w:rPr>
          <w:szCs w:val="21"/>
        </w:rPr>
        <w:t xml:space="preserve"> based re-transmission is often used when initial transmission fails. In the re-transmission, the MCS is not necessary the same as initial transmission. Instead, it can be adapted to channel condition or available resource allocation. Therefore, the adaptive MCS for both initial transmission and re-transmission should be evaluated.</w:t>
      </w:r>
    </w:p>
    <w:p>
      <w:pPr>
        <w:pStyle w:val="31"/>
        <w:numPr>
          <w:ilvl w:val="0"/>
          <w:numId w:val="6"/>
        </w:numPr>
        <w:spacing w:before="120" w:after="120"/>
        <w:rPr>
          <w:b/>
          <w:sz w:val="21"/>
          <w:szCs w:val="21"/>
        </w:rPr>
      </w:pPr>
      <w:r>
        <w:rPr>
          <w:b/>
          <w:sz w:val="21"/>
          <w:szCs w:val="21"/>
        </w:rPr>
        <w:t>Throughput</w:t>
      </w:r>
    </w:p>
    <w:p>
      <w:pPr>
        <w:spacing w:before="120" w:after="120"/>
        <w:rPr>
          <w:szCs w:val="21"/>
        </w:rPr>
      </w:pPr>
      <w:r>
        <w:rPr>
          <w:rFonts w:hint="eastAsia"/>
          <w:szCs w:val="21"/>
        </w:rPr>
        <w:t>6GR</w:t>
      </w:r>
      <w:r>
        <w:rPr>
          <w:szCs w:val="21"/>
        </w:rPr>
        <w:t xml:space="preserve"> aims to provide higher peak date rate and spectrum efficiency than 5G. </w:t>
      </w:r>
      <w:r>
        <w:rPr>
          <w:rFonts w:hint="eastAsia"/>
          <w:szCs w:val="21"/>
        </w:rPr>
        <w:t>S</w:t>
      </w:r>
      <w:r>
        <w:rPr>
          <w:szCs w:val="21"/>
        </w:rPr>
        <w:t>haping modulation should not degrade data‑channel throughput.</w:t>
      </w:r>
    </w:p>
    <w:p>
      <w:pPr>
        <w:pStyle w:val="31"/>
        <w:numPr>
          <w:ilvl w:val="0"/>
          <w:numId w:val="6"/>
        </w:numPr>
        <w:spacing w:before="120" w:after="120"/>
        <w:rPr>
          <w:b/>
          <w:sz w:val="21"/>
          <w:szCs w:val="21"/>
        </w:rPr>
      </w:pPr>
      <w:r>
        <w:rPr>
          <w:rFonts w:hint="eastAsia"/>
          <w:b/>
          <w:sz w:val="21"/>
          <w:szCs w:val="21"/>
        </w:rPr>
        <w:t>EVM</w:t>
      </w:r>
    </w:p>
    <w:p>
      <w:pPr>
        <w:spacing w:before="120" w:after="120"/>
        <w:rPr>
          <w:szCs w:val="21"/>
        </w:rPr>
      </w:pPr>
      <w:r>
        <w:rPr>
          <w:szCs w:val="21"/>
        </w:rPr>
        <w:t xml:space="preserve">The impact of </w:t>
      </w:r>
      <w:r>
        <w:rPr>
          <w:rFonts w:hint="eastAsia"/>
          <w:szCs w:val="21"/>
        </w:rPr>
        <w:t>EVM is considered when</w:t>
      </w:r>
      <w:r>
        <w:rPr>
          <w:szCs w:val="21"/>
        </w:rPr>
        <w:t xml:space="preserve"> 256QAM and</w:t>
      </w:r>
      <w:r>
        <w:rPr>
          <w:rFonts w:hint="eastAsia"/>
          <w:szCs w:val="21"/>
        </w:rPr>
        <w:t xml:space="preserve"> 1024QAM </w:t>
      </w:r>
      <w:r>
        <w:rPr>
          <w:szCs w:val="21"/>
        </w:rPr>
        <w:t>were introduced in 5G</w:t>
      </w:r>
      <w:r>
        <w:rPr>
          <w:rFonts w:hint="eastAsia"/>
          <w:szCs w:val="21"/>
        </w:rPr>
        <w:t xml:space="preserve"> </w:t>
      </w:r>
      <w:r>
        <w:rPr>
          <w:rFonts w:hint="eastAsia"/>
          <w:szCs w:val="21"/>
        </w:rPr>
        <w:fldChar w:fldCharType="begin"/>
      </w:r>
      <w:r>
        <w:rPr>
          <w:rFonts w:hint="eastAsia"/>
          <w:szCs w:val="21"/>
        </w:rPr>
        <w:instrText xml:space="preserve"> REF _Ref10977 \r \h </w:instrText>
      </w:r>
      <w:r>
        <w:rPr>
          <w:rFonts w:hint="eastAsia"/>
          <w:szCs w:val="21"/>
        </w:rPr>
        <w:fldChar w:fldCharType="separate"/>
      </w:r>
      <w:r>
        <w:rPr>
          <w:rFonts w:hint="eastAsia"/>
          <w:szCs w:val="21"/>
        </w:rPr>
        <w:t>[17]</w:t>
      </w:r>
      <w:r>
        <w:rPr>
          <w:rFonts w:hint="eastAsia"/>
          <w:szCs w:val="21"/>
        </w:rPr>
        <w:fldChar w:fldCharType="end"/>
      </w:r>
      <w:r>
        <w:rPr>
          <w:rFonts w:hint="eastAsia"/>
          <w:szCs w:val="21"/>
        </w:rPr>
        <w:t xml:space="preserve">. </w:t>
      </w:r>
      <w:r>
        <w:rPr>
          <w:szCs w:val="21"/>
        </w:rPr>
        <w:t>Similarly</w:t>
      </w:r>
      <w:r>
        <w:rPr>
          <w:rFonts w:hint="eastAsia"/>
          <w:szCs w:val="21"/>
        </w:rPr>
        <w:t xml:space="preserve">, </w:t>
      </w:r>
      <w:r>
        <w:rPr>
          <w:szCs w:val="21"/>
        </w:rPr>
        <w:t>the EVM impact also needs to be evaluated for shaping modulation</w:t>
      </w:r>
      <w:r>
        <w:rPr>
          <w:rFonts w:hint="eastAsia"/>
          <w:szCs w:val="21"/>
        </w:rPr>
        <w:t>.</w:t>
      </w:r>
    </w:p>
    <w:p>
      <w:pPr>
        <w:pStyle w:val="31"/>
        <w:numPr>
          <w:ilvl w:val="0"/>
          <w:numId w:val="6"/>
        </w:numPr>
        <w:spacing w:before="120" w:after="120"/>
        <w:rPr>
          <w:b/>
          <w:sz w:val="21"/>
          <w:szCs w:val="21"/>
        </w:rPr>
      </w:pPr>
      <w:r>
        <w:rPr>
          <w:rFonts w:hint="eastAsia"/>
          <w:b/>
          <w:sz w:val="21"/>
          <w:szCs w:val="21"/>
        </w:rPr>
        <w:t>Complexity</w:t>
      </w:r>
    </w:p>
    <w:p>
      <w:pPr>
        <w:spacing w:before="120" w:after="120"/>
        <w:rPr>
          <w:szCs w:val="21"/>
        </w:rPr>
      </w:pPr>
      <w:r>
        <w:rPr>
          <w:szCs w:val="21"/>
        </w:rPr>
        <w:t xml:space="preserve">The </w:t>
      </w:r>
      <w:r>
        <w:rPr>
          <w:rFonts w:hint="eastAsia"/>
          <w:szCs w:val="21"/>
        </w:rPr>
        <w:t xml:space="preserve">transmitter </w:t>
      </w:r>
      <w:r>
        <w:rPr>
          <w:szCs w:val="21"/>
        </w:rPr>
        <w:t xml:space="preserve">and </w:t>
      </w:r>
      <w:r>
        <w:rPr>
          <w:rFonts w:hint="eastAsia"/>
          <w:szCs w:val="21"/>
        </w:rPr>
        <w:t>receiver</w:t>
      </w:r>
      <w:r>
        <w:rPr>
          <w:szCs w:val="21"/>
        </w:rPr>
        <w:t xml:space="preserve"> c</w:t>
      </w:r>
      <w:r>
        <w:rPr>
          <w:rFonts w:hint="eastAsia"/>
          <w:szCs w:val="21"/>
        </w:rPr>
        <w:t xml:space="preserve">omplexity </w:t>
      </w:r>
      <w:r>
        <w:rPr>
          <w:szCs w:val="21"/>
        </w:rPr>
        <w:t xml:space="preserve">of </w:t>
      </w:r>
      <w:r>
        <w:rPr>
          <w:rFonts w:hint="eastAsia"/>
          <w:szCs w:val="21"/>
        </w:rPr>
        <w:t>different shaping modulation is quite different</w:t>
      </w:r>
      <w:r>
        <w:rPr>
          <w:szCs w:val="21"/>
        </w:rPr>
        <w:t>.</w:t>
      </w:r>
      <w:r>
        <w:rPr>
          <w:rFonts w:hint="eastAsia"/>
          <w:szCs w:val="21"/>
        </w:rPr>
        <w:t xml:space="preserve"> </w:t>
      </w:r>
      <w:r>
        <w:rPr>
          <w:szCs w:val="21"/>
        </w:rPr>
        <w:t>As</w:t>
      </w:r>
      <w:r>
        <w:rPr>
          <w:rFonts w:hint="eastAsia"/>
          <w:szCs w:val="21"/>
        </w:rPr>
        <w:t xml:space="preserve"> complexity is related to power consumption, which is sensitive to mobile device. Thus, the </w:t>
      </w:r>
      <w:r>
        <w:rPr>
          <w:szCs w:val="21"/>
        </w:rPr>
        <w:t>complexity of shaping modulation</w:t>
      </w:r>
      <w:r>
        <w:rPr>
          <w:rFonts w:hint="eastAsia"/>
          <w:szCs w:val="21"/>
        </w:rPr>
        <w:t xml:space="preserve"> should be considered.</w:t>
      </w:r>
    </w:p>
    <w:p>
      <w:pPr>
        <w:pStyle w:val="54"/>
        <w:spacing w:before="120" w:after="120"/>
        <w:rPr>
          <w:rFonts w:eastAsia="宋体"/>
          <w:lang w:val="en-US" w:eastAsia="zh-CN"/>
        </w:rPr>
      </w:pPr>
      <w:bookmarkStart w:id="50" w:name="_Toc23580"/>
      <w:bookmarkStart w:id="51" w:name="_Toc17047"/>
      <w:bookmarkStart w:id="52" w:name="_Toc20266"/>
      <w:bookmarkStart w:id="53" w:name="_Toc11380"/>
      <w:bookmarkStart w:id="54" w:name="_Toc22335"/>
      <w:bookmarkStart w:id="55" w:name="_Toc13120"/>
      <w:bookmarkStart w:id="56" w:name="_Toc31543"/>
      <w:bookmarkStart w:id="57" w:name="_Toc21680"/>
      <w:bookmarkStart w:id="58" w:name="_Toc5213"/>
      <w:bookmarkStart w:id="59" w:name="_Toc20604"/>
      <w:bookmarkStart w:id="60" w:name="_Toc27197"/>
      <w:bookmarkStart w:id="61" w:name="_Toc102"/>
      <w:bookmarkStart w:id="62" w:name="_Toc7428"/>
      <w:bookmarkStart w:id="63" w:name="_Toc206179003"/>
      <w:r>
        <w:rPr>
          <w:lang w:val="en-US" w:eastAsia="zh-CN"/>
        </w:rPr>
        <w:t>The following metrics should be evaluated for shaping modulation</w:t>
      </w:r>
      <w:r>
        <w:rPr>
          <w:rFonts w:hint="eastAsia"/>
          <w:lang w:val="en-US" w:eastAsia="zh-CN"/>
        </w:rPr>
        <w:t>.</w:t>
      </w:r>
      <w:bookmarkEnd w:id="50"/>
      <w:bookmarkEnd w:id="51"/>
      <w:bookmarkEnd w:id="52"/>
      <w:bookmarkEnd w:id="53"/>
      <w:bookmarkEnd w:id="54"/>
      <w:bookmarkEnd w:id="55"/>
      <w:bookmarkEnd w:id="56"/>
      <w:bookmarkEnd w:id="57"/>
      <w:bookmarkEnd w:id="58"/>
      <w:bookmarkEnd w:id="59"/>
      <w:bookmarkEnd w:id="60"/>
      <w:bookmarkEnd w:id="61"/>
      <w:bookmarkEnd w:id="62"/>
      <w:bookmarkEnd w:id="63"/>
    </w:p>
    <w:p>
      <w:pPr>
        <w:pStyle w:val="54"/>
        <w:numPr>
          <w:ilvl w:val="1"/>
          <w:numId w:val="4"/>
        </w:numPr>
        <w:spacing w:before="120" w:after="120"/>
        <w:rPr>
          <w:rFonts w:eastAsia="宋体"/>
          <w:lang w:val="en-US" w:eastAsia="zh-CN"/>
        </w:rPr>
      </w:pPr>
      <w:bookmarkStart w:id="64" w:name="_Toc206179004"/>
      <w:r>
        <w:rPr>
          <w:rFonts w:hint="eastAsia"/>
          <w:sz w:val="21"/>
          <w:szCs w:val="21"/>
        </w:rPr>
        <w:t>BLER performance</w:t>
      </w:r>
      <w:r>
        <w:rPr>
          <w:sz w:val="21"/>
          <w:szCs w:val="21"/>
        </w:rPr>
        <w:t xml:space="preserve"> for both initial transmission and re-transmission with varied TBS and spectrum efficiency</w:t>
      </w:r>
      <w:bookmarkEnd w:id="64"/>
    </w:p>
    <w:p>
      <w:pPr>
        <w:pStyle w:val="54"/>
        <w:numPr>
          <w:ilvl w:val="1"/>
          <w:numId w:val="4"/>
        </w:numPr>
        <w:spacing w:before="120" w:after="120"/>
        <w:rPr>
          <w:rFonts w:eastAsia="宋体"/>
          <w:lang w:val="en-US" w:eastAsia="zh-CN"/>
        </w:rPr>
      </w:pPr>
      <w:bookmarkStart w:id="65" w:name="_Toc206179005"/>
      <w:r>
        <w:rPr>
          <w:szCs w:val="21"/>
        </w:rPr>
        <w:t>Throughput</w:t>
      </w:r>
      <w:bookmarkEnd w:id="65"/>
    </w:p>
    <w:p>
      <w:pPr>
        <w:pStyle w:val="54"/>
        <w:numPr>
          <w:ilvl w:val="1"/>
          <w:numId w:val="4"/>
        </w:numPr>
        <w:spacing w:before="120" w:after="120"/>
        <w:rPr>
          <w:rFonts w:eastAsia="宋体"/>
          <w:lang w:val="en-US" w:eastAsia="zh-CN"/>
        </w:rPr>
      </w:pPr>
      <w:bookmarkStart w:id="66" w:name="_Toc206179006"/>
      <w:r>
        <w:rPr>
          <w:rFonts w:hint="eastAsia"/>
          <w:szCs w:val="21"/>
        </w:rPr>
        <w:t>EVM</w:t>
      </w:r>
      <w:bookmarkEnd w:id="66"/>
    </w:p>
    <w:p>
      <w:pPr>
        <w:pStyle w:val="54"/>
        <w:numPr>
          <w:ilvl w:val="1"/>
          <w:numId w:val="4"/>
        </w:numPr>
        <w:spacing w:before="120" w:after="120"/>
        <w:rPr>
          <w:rFonts w:eastAsia="宋体"/>
          <w:lang w:val="en-US" w:eastAsia="zh-CN"/>
        </w:rPr>
      </w:pPr>
      <w:bookmarkStart w:id="67" w:name="_Toc206179007"/>
      <w:r>
        <w:rPr>
          <w:rFonts w:hint="eastAsia"/>
          <w:szCs w:val="21"/>
        </w:rPr>
        <w:t>Complexity</w:t>
      </w:r>
      <w:bookmarkEnd w:id="67"/>
    </w:p>
    <w:p>
      <w:pPr>
        <w:pStyle w:val="3"/>
        <w:spacing w:before="120" w:after="120"/>
        <w:ind w:left="991" w:right="210" w:hanging="991" w:hangingChars="354"/>
        <w:rPr>
          <w:rFonts w:eastAsia="宋体"/>
        </w:rPr>
      </w:pPr>
      <w:r>
        <w:rPr>
          <w:rFonts w:hint="eastAsia" w:eastAsia="宋体"/>
        </w:rPr>
        <w:t>Analysis for shaping modulation</w:t>
      </w:r>
    </w:p>
    <w:p>
      <w:pPr>
        <w:spacing w:before="120" w:after="120"/>
      </w:pPr>
      <w:r>
        <w:t>Typically, t</w:t>
      </w:r>
      <w:r>
        <w:rPr>
          <w:rFonts w:hint="eastAsia"/>
        </w:rPr>
        <w:t xml:space="preserve">here are two major types of signal shaping, namely, geometric shaping </w:t>
      </w:r>
      <w:r>
        <w:rPr>
          <w:rFonts w:hint="eastAsia"/>
        </w:rPr>
        <w:fldChar w:fldCharType="begin"/>
      </w:r>
      <w:r>
        <w:rPr>
          <w:rFonts w:hint="eastAsia"/>
        </w:rPr>
        <w:instrText xml:space="preserve"> REF _Ref24515 \r \h </w:instrText>
      </w:r>
      <w:r>
        <w:rPr>
          <w:rFonts w:hint="eastAsia"/>
        </w:rPr>
        <w:fldChar w:fldCharType="separate"/>
      </w:r>
      <w:r>
        <w:rPr>
          <w:rFonts w:hint="eastAsia"/>
        </w:rPr>
        <w:t>[5]</w:t>
      </w:r>
      <w:r>
        <w:rPr>
          <w:rFonts w:hint="eastAsia"/>
        </w:rPr>
        <w:fldChar w:fldCharType="end"/>
      </w:r>
      <w:r>
        <w:rPr>
          <w:rFonts w:hint="eastAsia"/>
        </w:rPr>
        <w:t xml:space="preserve"> and probabilistic shaping </w:t>
      </w:r>
      <w:r>
        <w:rPr>
          <w:rFonts w:hint="eastAsia"/>
        </w:rPr>
        <w:fldChar w:fldCharType="begin"/>
      </w:r>
      <w:r>
        <w:rPr>
          <w:rFonts w:hint="eastAsia"/>
        </w:rPr>
        <w:instrText xml:space="preserve"> REF _Ref24521 \r \h </w:instrText>
      </w:r>
      <w:r>
        <w:rPr>
          <w:rFonts w:hint="eastAsia"/>
        </w:rPr>
        <w:fldChar w:fldCharType="separate"/>
      </w:r>
      <w:r>
        <w:rPr>
          <w:rFonts w:hint="eastAsia"/>
        </w:rPr>
        <w:t>[6]</w:t>
      </w:r>
      <w:r>
        <w:rPr>
          <w:rFonts w:hint="eastAsia"/>
        </w:rPr>
        <w:fldChar w:fldCharType="end"/>
      </w:r>
      <w:r>
        <w:rPr>
          <w:rFonts w:hint="eastAsia"/>
        </w:rPr>
        <w:fldChar w:fldCharType="begin"/>
      </w:r>
      <w:r>
        <w:rPr>
          <w:rFonts w:hint="eastAsia"/>
        </w:rPr>
        <w:instrText xml:space="preserve"> REF _Ref18228 \r \h </w:instrText>
      </w:r>
      <w:r>
        <w:rPr>
          <w:rFonts w:hint="eastAsia"/>
        </w:rPr>
        <w:fldChar w:fldCharType="end"/>
      </w:r>
      <w:r>
        <w:t xml:space="preserve">, </w:t>
      </w:r>
      <w:r>
        <w:rPr>
          <w:rFonts w:hint="eastAsia"/>
        </w:rPr>
        <w:t xml:space="preserve">where details are discussed </w:t>
      </w:r>
      <w:r>
        <w:t xml:space="preserve">as </w:t>
      </w:r>
      <w:r>
        <w:rPr>
          <w:rFonts w:hint="eastAsia"/>
        </w:rPr>
        <w:t>follow</w:t>
      </w:r>
      <w:r>
        <w:t>s</w:t>
      </w:r>
      <w:r>
        <w:rPr>
          <w:rFonts w:hint="eastAsia"/>
        </w:rPr>
        <w:t>.</w:t>
      </w:r>
    </w:p>
    <w:p>
      <w:pPr>
        <w:pStyle w:val="4"/>
        <w:spacing w:after="120"/>
        <w:ind w:right="210"/>
      </w:pPr>
      <w:r>
        <w:rPr>
          <w:rFonts w:hint="eastAsia"/>
        </w:rPr>
        <w:t>Geometric shaping modulation</w:t>
      </w:r>
    </w:p>
    <w:p>
      <w:pPr>
        <w:spacing w:before="120" w:after="120"/>
      </w:pPr>
      <w:r>
        <w:rPr>
          <w:rFonts w:hint="eastAsia"/>
        </w:rPr>
        <w:t>Geometric shaping employs non-uniform constellations (NUCs) as an alternative to conventional QAM. Unlike uniformly spaced QAM, NUCs approximate a Gaussian distribution in the complex plane, offering potential gains in spectral efficiency and noise resilience.</w:t>
      </w:r>
    </w:p>
    <w:p>
      <w:pPr>
        <w:spacing w:before="120" w:after="120"/>
        <w:rPr>
          <w:highlight w:val="yellow"/>
        </w:rPr>
      </w:pPr>
      <w:r>
        <w:t xml:space="preserve">NUC modulation is a mature technique for performance improvement in coded modulation. NUC modulation has been used in broadcast systems for many years, such as </w:t>
      </w:r>
      <w:r>
        <w:rPr>
          <w:rFonts w:hint="eastAsia"/>
        </w:rPr>
        <w:t>a</w:t>
      </w:r>
      <w:r>
        <w:t xml:space="preserve">dvanced </w:t>
      </w:r>
      <w:r>
        <w:rPr>
          <w:rFonts w:hint="eastAsia"/>
        </w:rPr>
        <w:t>t</w:t>
      </w:r>
      <w:r>
        <w:t xml:space="preserve">elevision </w:t>
      </w:r>
      <w:r>
        <w:rPr>
          <w:rFonts w:hint="eastAsia"/>
        </w:rPr>
        <w:t>s</w:t>
      </w:r>
      <w:r>
        <w:t xml:space="preserve">ystems </w:t>
      </w:r>
      <w:r>
        <w:rPr>
          <w:rFonts w:hint="eastAsia"/>
        </w:rPr>
        <w:t>c</w:t>
      </w:r>
      <w:r>
        <w:t xml:space="preserve">ommittee standard version 3.0 (ATSC 3.0) </w:t>
      </w:r>
      <w:r>
        <w:fldChar w:fldCharType="begin"/>
      </w:r>
      <w:r>
        <w:instrText xml:space="preserve"> REF _Ref25470 \r \h </w:instrText>
      </w:r>
      <w:r>
        <w:fldChar w:fldCharType="separate"/>
      </w:r>
      <w:r>
        <w:t>[7]</w:t>
      </w:r>
      <w:r>
        <w:fldChar w:fldCharType="end"/>
      </w:r>
      <w:r>
        <w:rPr>
          <w:rFonts w:hint="eastAsia"/>
        </w:rPr>
        <w:t xml:space="preserve"> and digital video broadcasting (DVB) standard </w:t>
      </w:r>
      <w:r>
        <w:fldChar w:fldCharType="begin"/>
      </w:r>
      <w:r>
        <w:instrText xml:space="preserve"> REF _Ref25962 \r \h </w:instrText>
      </w:r>
      <w:r>
        <w:fldChar w:fldCharType="separate"/>
      </w:r>
      <w:r>
        <w:t>[8]</w:t>
      </w:r>
      <w:r>
        <w:fldChar w:fldCharType="end"/>
      </w:r>
      <w:r>
        <w:rPr>
          <w:rFonts w:hint="eastAsia"/>
        </w:rPr>
        <w:t>.</w:t>
      </w:r>
    </w:p>
    <w:p>
      <w:pPr>
        <w:spacing w:before="120" w:after="120"/>
        <w:rPr>
          <w:strike/>
        </w:rPr>
      </w:pPr>
      <w:r>
        <w:rPr>
          <w:rFonts w:hint="eastAsia"/>
        </w:rPr>
        <w:t>NUCs include three types: 1D-NUCs (Figure 1(a))</w:t>
      </w:r>
      <w:r>
        <w:t>,</w:t>
      </w:r>
      <w:r>
        <w:rPr>
          <w:rFonts w:hint="eastAsia"/>
        </w:rPr>
        <w:t xml:space="preserve"> 2D-NUCs (Figure 1(b)) </w:t>
      </w:r>
      <w:r>
        <w:t xml:space="preserve">and </w:t>
      </w:r>
      <w:r>
        <w:rPr>
          <w:rFonts w:hint="eastAsia"/>
        </w:rPr>
        <w:t xml:space="preserve">amplitude-phase </w:t>
      </w:r>
      <w:r>
        <w:t>shift</w:t>
      </w:r>
      <w:r>
        <w:rPr>
          <w:rFonts w:hint="eastAsia"/>
        </w:rPr>
        <w:t xml:space="preserve"> keying (APSK) modulation (Figure 1(c)).</w:t>
      </w:r>
    </w:p>
    <w:p>
      <w:pPr>
        <w:pStyle w:val="51"/>
        <w:spacing w:before="120" w:after="120"/>
        <w:jc w:val="both"/>
      </w:pPr>
      <w:bookmarkStart w:id="68" w:name="_Toc18915"/>
      <w:bookmarkStart w:id="69" w:name="_Toc26426"/>
      <w:bookmarkStart w:id="70" w:name="_Toc28761"/>
      <w:bookmarkStart w:id="71" w:name="_Toc10028"/>
      <w:bookmarkStart w:id="72" w:name="_Toc2614"/>
      <w:bookmarkStart w:id="73" w:name="_Toc6307"/>
      <w:bookmarkStart w:id="74" w:name="_Toc20322"/>
      <w:bookmarkStart w:id="75" w:name="_Toc20880"/>
      <w:bookmarkStart w:id="76" w:name="_Toc29972"/>
      <w:bookmarkStart w:id="77" w:name="_Toc6626"/>
      <w:bookmarkStart w:id="78" w:name="_Toc18073"/>
      <w:bookmarkStart w:id="79" w:name="_Toc25505"/>
      <w:bookmarkStart w:id="80" w:name="_Toc7899"/>
      <w:bookmarkStart w:id="81" w:name="_Toc21350"/>
      <w:bookmarkStart w:id="82" w:name="_Toc29102"/>
      <w:bookmarkStart w:id="83" w:name="_Toc11446"/>
      <w:bookmarkStart w:id="84" w:name="_Toc3147"/>
      <w:bookmarkStart w:id="85" w:name="_Toc30593"/>
      <w:bookmarkStart w:id="86" w:name="_Toc22353"/>
      <w:bookmarkStart w:id="87" w:name="_Toc18514"/>
      <w:bookmarkStart w:id="88" w:name="_Toc30223"/>
      <w:bookmarkStart w:id="89" w:name="_Toc27030"/>
      <w:bookmarkStart w:id="90" w:name="_Toc16473"/>
      <w:bookmarkStart w:id="91" w:name="_Toc32433"/>
      <w:bookmarkStart w:id="92" w:name="_Toc31002"/>
      <w:bookmarkStart w:id="93" w:name="_Toc29881"/>
      <w:bookmarkStart w:id="94" w:name="_Toc157"/>
      <w:bookmarkStart w:id="95" w:name="_Toc206178980"/>
      <w:bookmarkStart w:id="96" w:name="_Toc9883"/>
      <w:bookmarkStart w:id="97" w:name="_Toc24361"/>
      <w:bookmarkStart w:id="98" w:name="_Toc25449"/>
      <w:bookmarkStart w:id="99" w:name="_Toc26404"/>
      <w:bookmarkStart w:id="100" w:name="_Toc19717"/>
      <w:bookmarkStart w:id="101" w:name="_Toc27907"/>
      <w:bookmarkStart w:id="102" w:name="_Toc17925"/>
      <w:r>
        <w:rPr>
          <w:rFonts w:hint="eastAsia"/>
          <w:lang w:val="en-US" w:eastAsia="zh-CN"/>
        </w:rPr>
        <w:t xml:space="preserve">NUC </w:t>
      </w:r>
      <w:r>
        <w:t>modulation</w:t>
      </w:r>
      <w:r>
        <w:rPr>
          <w:rFonts w:hint="eastAsia"/>
          <w:lang w:val="en-US" w:eastAsia="zh-CN"/>
        </w:rPr>
        <w:t xml:space="preserve"> is a mature technique and has been widely used in broadcast standards.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pPr>
        <w:spacing w:before="120" w:after="120"/>
      </w:pPr>
      <w:r>
        <w:drawing>
          <wp:inline distT="0" distB="0" distL="114300" distR="114300">
            <wp:extent cx="1818005" cy="1800225"/>
            <wp:effectExtent l="0" t="0" r="1079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12"/>
                    <a:stretch>
                      <a:fillRect/>
                    </a:stretch>
                  </pic:blipFill>
                  <pic:spPr>
                    <a:xfrm>
                      <a:off x="0" y="0"/>
                      <a:ext cx="1818005" cy="1800225"/>
                    </a:xfrm>
                    <a:prstGeom prst="rect">
                      <a:avLst/>
                    </a:prstGeom>
                    <a:noFill/>
                    <a:ln>
                      <a:noFill/>
                    </a:ln>
                  </pic:spPr>
                </pic:pic>
              </a:graphicData>
            </a:graphic>
          </wp:inline>
        </w:drawing>
      </w:r>
      <w:r>
        <w:rPr>
          <w:rFonts w:hint="eastAsia"/>
        </w:rPr>
        <w:t xml:space="preserve">  </w:t>
      </w:r>
      <w:r>
        <w:drawing>
          <wp:inline distT="0" distB="0" distL="114300" distR="114300">
            <wp:extent cx="1827530" cy="1800225"/>
            <wp:effectExtent l="0" t="0" r="1270" b="9525"/>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3"/>
                    <a:stretch>
                      <a:fillRect/>
                    </a:stretch>
                  </pic:blipFill>
                  <pic:spPr>
                    <a:xfrm>
                      <a:off x="0" y="0"/>
                      <a:ext cx="1827530" cy="1800225"/>
                    </a:xfrm>
                    <a:prstGeom prst="rect">
                      <a:avLst/>
                    </a:prstGeom>
                    <a:noFill/>
                    <a:ln>
                      <a:noFill/>
                    </a:ln>
                  </pic:spPr>
                </pic:pic>
              </a:graphicData>
            </a:graphic>
          </wp:inline>
        </w:drawing>
      </w:r>
      <w:r>
        <w:rPr>
          <w:rFonts w:hint="eastAsia"/>
        </w:rPr>
        <w:t xml:space="preserve">  </w:t>
      </w:r>
      <w:r>
        <w:drawing>
          <wp:inline distT="0" distB="0" distL="114300" distR="114300">
            <wp:extent cx="1818005" cy="1800225"/>
            <wp:effectExtent l="0" t="0" r="10795" b="952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4"/>
                    <a:stretch>
                      <a:fillRect/>
                    </a:stretch>
                  </pic:blipFill>
                  <pic:spPr>
                    <a:xfrm>
                      <a:off x="0" y="0"/>
                      <a:ext cx="1818005" cy="1800225"/>
                    </a:xfrm>
                    <a:prstGeom prst="rect">
                      <a:avLst/>
                    </a:prstGeom>
                    <a:noFill/>
                    <a:ln>
                      <a:noFill/>
                    </a:ln>
                  </pic:spPr>
                </pic:pic>
              </a:graphicData>
            </a:graphic>
          </wp:inline>
        </w:drawing>
      </w:r>
    </w:p>
    <w:p>
      <w:pPr>
        <w:numPr>
          <w:ilvl w:val="255"/>
          <w:numId w:val="0"/>
        </w:numPr>
        <w:spacing w:before="120" w:after="120"/>
        <w:jc w:val="center"/>
      </w:pPr>
      <w:r>
        <w:rPr>
          <w:rFonts w:hint="eastAsia"/>
        </w:rPr>
        <w:t>(a) 1D 64NUC                  (b) 2D 64NUC                 (c) 64APSK</w:t>
      </w:r>
    </w:p>
    <w:p>
      <w:pPr>
        <w:spacing w:before="120" w:after="120"/>
        <w:jc w:val="center"/>
        <w:rPr>
          <w:u w:val="single"/>
        </w:rPr>
      </w:pPr>
      <w:r>
        <w:rPr>
          <w:rFonts w:hint="eastAsia"/>
        </w:rPr>
        <w:t>Figure 1 Diagrams for three types of NUCs.</w:t>
      </w:r>
    </w:p>
    <w:p>
      <w:pPr>
        <w:spacing w:before="120" w:after="120"/>
      </w:pPr>
      <w:r>
        <w:rPr>
          <w:rFonts w:hint="eastAsia"/>
        </w:rPr>
        <w:t xml:space="preserve">Figure 2 shows the coding and modulation chain for NUC modulation. It is shown that the coding and modulation chain is the same as that of 5G NR low density parity check (LDPC) coding and modulation chain </w:t>
      </w:r>
      <w:r>
        <w:rPr>
          <w:rFonts w:hint="eastAsia"/>
        </w:rPr>
        <w:fldChar w:fldCharType="begin"/>
      </w:r>
      <w:r>
        <w:rPr>
          <w:rFonts w:hint="eastAsia"/>
        </w:rPr>
        <w:instrText xml:space="preserve"> REF _Ref9859 \r \h </w:instrText>
      </w:r>
      <w:r>
        <w:rPr>
          <w:rFonts w:hint="eastAsia"/>
        </w:rPr>
        <w:fldChar w:fldCharType="separate"/>
      </w:r>
      <w:r>
        <w:rPr>
          <w:rFonts w:hint="eastAsia"/>
        </w:rPr>
        <w:t>[9]</w:t>
      </w:r>
      <w:r>
        <w:rPr>
          <w:rFonts w:hint="eastAsia"/>
        </w:rPr>
        <w:fldChar w:fldCharType="end"/>
      </w:r>
      <w:r>
        <w:rPr>
          <w:rFonts w:hint="eastAsia"/>
        </w:rPr>
        <w:t xml:space="preserve"> except that NUC modulation and demodulation replace QAM modulation and demodulation at the transmitter and the receiver, respectively, where details of channel coding, bit selection, and bit interleaving can be referred to </w:t>
      </w:r>
      <w:r>
        <w:t>3GPP TS 38.212</w:t>
      </w:r>
      <w:r>
        <w:rPr>
          <w:rFonts w:hint="eastAsia"/>
        </w:rPr>
        <w:t xml:space="preserve"> </w:t>
      </w:r>
      <w:r>
        <w:rPr>
          <w:rFonts w:hint="eastAsia"/>
        </w:rPr>
        <w:fldChar w:fldCharType="begin"/>
      </w:r>
      <w:r>
        <w:rPr>
          <w:rFonts w:hint="eastAsia"/>
        </w:rPr>
        <w:instrText xml:space="preserve"> REF _Ref9859 \r \h </w:instrText>
      </w:r>
      <w:r>
        <w:rPr>
          <w:rFonts w:hint="eastAsia"/>
        </w:rPr>
        <w:fldChar w:fldCharType="separate"/>
      </w:r>
      <w:r>
        <w:rPr>
          <w:rFonts w:hint="eastAsia"/>
        </w:rPr>
        <w:t>[9]</w:t>
      </w:r>
      <w:r>
        <w:rPr>
          <w:rFonts w:hint="eastAsia"/>
        </w:rPr>
        <w:fldChar w:fldCharType="end"/>
      </w:r>
      <w:r>
        <w:t>.</w:t>
      </w:r>
    </w:p>
    <w:p>
      <w:pPr>
        <w:spacing w:before="120" w:after="120"/>
        <w:jc w:val="center"/>
      </w:pPr>
      <w:r>
        <w:drawing>
          <wp:inline distT="0" distB="0" distL="114300" distR="114300">
            <wp:extent cx="4208780" cy="1440180"/>
            <wp:effectExtent l="0" t="0" r="1270" b="762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5"/>
                    <a:stretch>
                      <a:fillRect/>
                    </a:stretch>
                  </pic:blipFill>
                  <pic:spPr>
                    <a:xfrm>
                      <a:off x="0" y="0"/>
                      <a:ext cx="4208780" cy="1440180"/>
                    </a:xfrm>
                    <a:prstGeom prst="rect">
                      <a:avLst/>
                    </a:prstGeom>
                    <a:noFill/>
                    <a:ln>
                      <a:noFill/>
                    </a:ln>
                  </pic:spPr>
                </pic:pic>
              </a:graphicData>
            </a:graphic>
          </wp:inline>
        </w:drawing>
      </w:r>
    </w:p>
    <w:p>
      <w:pPr>
        <w:spacing w:before="120" w:after="120"/>
        <w:jc w:val="center"/>
      </w:pPr>
      <w:r>
        <w:rPr>
          <w:rFonts w:hint="eastAsia"/>
        </w:rPr>
        <w:t>Figure 2 Coding and modulation chain for NUC modulation.</w:t>
      </w:r>
    </w:p>
    <w:p>
      <w:pPr>
        <w:pStyle w:val="51"/>
        <w:spacing w:before="120" w:after="120"/>
        <w:jc w:val="both"/>
      </w:pPr>
      <w:bookmarkStart w:id="103" w:name="_Toc28269"/>
      <w:bookmarkStart w:id="104" w:name="_Toc11674"/>
      <w:bookmarkStart w:id="105" w:name="_Toc1278"/>
      <w:bookmarkStart w:id="106" w:name="_Toc31577"/>
      <w:bookmarkStart w:id="107" w:name="_Toc5606"/>
      <w:bookmarkStart w:id="108" w:name="_Toc23340"/>
      <w:bookmarkStart w:id="109" w:name="_Toc16973"/>
      <w:bookmarkStart w:id="110" w:name="_Toc24531"/>
      <w:bookmarkStart w:id="111" w:name="_Toc13717"/>
      <w:bookmarkStart w:id="112" w:name="_Toc27698"/>
      <w:bookmarkStart w:id="113" w:name="_Toc26411"/>
      <w:bookmarkStart w:id="114" w:name="_Toc7741"/>
      <w:bookmarkStart w:id="115" w:name="_Toc31139"/>
      <w:bookmarkStart w:id="116" w:name="_Toc19158"/>
      <w:bookmarkStart w:id="117" w:name="_Toc9088"/>
      <w:bookmarkStart w:id="118" w:name="_Toc206178981"/>
      <w:bookmarkStart w:id="119" w:name="_Toc2431"/>
      <w:bookmarkStart w:id="120" w:name="_Toc27144"/>
      <w:bookmarkStart w:id="121" w:name="_Toc22665"/>
      <w:bookmarkStart w:id="122" w:name="_Toc31289"/>
      <w:bookmarkStart w:id="123" w:name="_Toc31305"/>
      <w:bookmarkStart w:id="124" w:name="_Toc31402"/>
      <w:bookmarkStart w:id="125" w:name="_Toc19101"/>
      <w:bookmarkStart w:id="126" w:name="_Toc13523"/>
      <w:bookmarkStart w:id="127" w:name="_Toc21230"/>
      <w:bookmarkStart w:id="128" w:name="_Toc24950"/>
      <w:bookmarkStart w:id="129" w:name="_Toc22162"/>
      <w:bookmarkStart w:id="130" w:name="_Toc17439"/>
      <w:bookmarkStart w:id="131" w:name="_Toc10652"/>
      <w:r>
        <w:rPr>
          <w:rFonts w:hint="eastAsia"/>
        </w:rPr>
        <w:t>Introducing NUC</w:t>
      </w:r>
      <w:r>
        <w:rPr>
          <w:rFonts w:hint="eastAsia"/>
          <w:lang w:val="en-US" w:eastAsia="zh-CN"/>
        </w:rPr>
        <w:t xml:space="preserve"> for 6GR</w:t>
      </w:r>
      <w:r>
        <w:rPr>
          <w:rFonts w:hint="eastAsia"/>
        </w:rPr>
        <w:t xml:space="preserve"> does not affect the LDPC coding chain in 5G</w:t>
      </w:r>
      <w:r>
        <w:rPr>
          <w:rFonts w:hint="eastAsia"/>
          <w:lang w:val="en-US" w:eastAsia="zh-CN"/>
        </w:rPr>
        <w:t>. Th</w:t>
      </w:r>
      <w:r>
        <w:rPr>
          <w:rFonts w:hint="eastAsia"/>
        </w:rPr>
        <w:t>e LDPC coding chain in 5G</w:t>
      </w:r>
      <w:r>
        <w:rPr>
          <w:rFonts w:hint="eastAsia"/>
          <w:lang w:val="en-US" w:eastAsia="zh-CN"/>
        </w:rPr>
        <w:t xml:space="preserve"> can be reused in 6GR.</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pPr>
        <w:spacing w:before="120" w:after="120"/>
      </w:pPr>
      <w:r>
        <w:rPr>
          <w:rFonts w:hint="eastAsia"/>
        </w:rPr>
        <w:t xml:space="preserve">For NUC modulation, every </w:t>
      </w:r>
      <w:r>
        <w:rPr>
          <w:i/>
          <w:iCs/>
        </w:rPr>
        <w:t>Q</w:t>
      </w:r>
      <w:r>
        <w:rPr>
          <w:vertAlign w:val="subscript"/>
        </w:rPr>
        <w:t>m</w:t>
      </w:r>
      <w:r>
        <w:rPr>
          <w:rFonts w:hint="eastAsia"/>
          <w:i/>
          <w:iCs/>
          <w:vertAlign w:val="subscript"/>
        </w:rPr>
        <w:t xml:space="preserve"> </w:t>
      </w:r>
      <w:r>
        <w:t>bit</w:t>
      </w:r>
      <w:r>
        <w:rPr>
          <w:rFonts w:hint="eastAsia"/>
        </w:rPr>
        <w:t xml:space="preserve">s </w:t>
      </w:r>
      <w:r>
        <w:rPr>
          <w:rFonts w:hint="eastAsia"/>
          <w:i/>
          <w:iCs/>
        </w:rPr>
        <w:t>b</w:t>
      </w:r>
      <w:r>
        <w:rPr>
          <w:rFonts w:hint="eastAsia"/>
          <w:vertAlign w:val="subscript"/>
        </w:rPr>
        <w:t>0</w:t>
      </w:r>
      <w:r>
        <w:rPr>
          <w:rFonts w:hint="eastAsia"/>
        </w:rPr>
        <w:t xml:space="preserve">, ..., </w:t>
      </w:r>
      <w:r>
        <w:rPr>
          <w:rFonts w:hint="eastAsia"/>
          <w:i/>
          <w:iCs/>
        </w:rPr>
        <w:t>b</w:t>
      </w:r>
      <w:r>
        <w:rPr>
          <w:rFonts w:hint="eastAsia"/>
          <w:i/>
          <w:iCs/>
          <w:vertAlign w:val="subscript"/>
        </w:rPr>
        <w:t>Q</w:t>
      </w:r>
      <w:r>
        <w:rPr>
          <w:rFonts w:hint="eastAsia"/>
          <w:vertAlign w:val="subscript"/>
        </w:rPr>
        <w:t xml:space="preserve">m-1 </w:t>
      </w:r>
      <w:r>
        <w:rPr>
          <w:rFonts w:hint="eastAsia"/>
        </w:rPr>
        <w:t xml:space="preserve">from the output sequence of the bit interleaving is independently and separately mapped to a constellation point of a given NUC using a predefined bit-to-symbol mapping, where </w:t>
      </w:r>
      <w:r>
        <w:rPr>
          <w:rFonts w:hint="eastAsia"/>
          <w:i/>
          <w:iCs/>
        </w:rPr>
        <w:t>Q</w:t>
      </w:r>
      <w:r>
        <w:rPr>
          <w:rFonts w:hint="eastAsia"/>
          <w:vertAlign w:val="subscript"/>
        </w:rPr>
        <w:t xml:space="preserve">m </w:t>
      </w:r>
      <w:r>
        <w:rPr>
          <w:rFonts w:hint="eastAsia"/>
        </w:rPr>
        <w:t>is the modulation order of the given NUC.</w:t>
      </w:r>
    </w:p>
    <w:p>
      <w:pPr>
        <w:spacing w:before="120" w:after="120"/>
      </w:pPr>
      <w:r>
        <w:rPr>
          <w:rFonts w:hint="eastAsia"/>
        </w:rPr>
        <w:t xml:space="preserve">For NUC demodulation, every received symbol </w:t>
      </w:r>
      <w:r>
        <w:rPr>
          <w:rFonts w:hint="eastAsia"/>
          <w:i/>
          <w:iCs/>
        </w:rPr>
        <w:t>y</w:t>
      </w:r>
      <w:r>
        <w:rPr>
          <w:i/>
          <w:iCs/>
          <w:vertAlign w:val="subscript"/>
        </w:rPr>
        <w:t>i</w:t>
      </w:r>
      <w:r>
        <w:rPr>
          <w:rFonts w:hint="eastAsia"/>
          <w:i/>
          <w:iCs/>
        </w:rPr>
        <w:t xml:space="preserve"> </w:t>
      </w:r>
      <w:r>
        <w:t>in</w:t>
      </w:r>
      <w:r>
        <w:rPr>
          <w:rFonts w:hint="eastAsia"/>
        </w:rPr>
        <w:t xml:space="preserve"> a received sequence </w:t>
      </w:r>
      <w:r>
        <w:rPr>
          <w:rFonts w:hint="eastAsia"/>
          <w:i/>
          <w:iCs/>
        </w:rPr>
        <w:t>y</w:t>
      </w:r>
      <w:r>
        <w:rPr>
          <w:rFonts w:hint="eastAsia"/>
          <w:vertAlign w:val="subscript"/>
        </w:rPr>
        <w:t>0</w:t>
      </w:r>
      <w:r>
        <w:rPr>
          <w:rFonts w:hint="eastAsia"/>
        </w:rPr>
        <w:t xml:space="preserve">, ..., </w:t>
      </w:r>
      <w:r>
        <w:rPr>
          <w:rFonts w:hint="eastAsia"/>
          <w:i/>
          <w:iCs/>
        </w:rPr>
        <w:t>y</w:t>
      </w:r>
      <w:r>
        <w:rPr>
          <w:rFonts w:hint="eastAsia"/>
          <w:i/>
          <w:iCs/>
          <w:vertAlign w:val="subscript"/>
        </w:rPr>
        <w:t>N</w:t>
      </w:r>
      <w:r>
        <w:rPr>
          <w:vertAlign w:val="subscript"/>
        </w:rPr>
        <w:t>s</w:t>
      </w:r>
      <w:r>
        <w:rPr>
          <w:rFonts w:hint="eastAsia"/>
          <w:vertAlign w:val="subscript"/>
        </w:rPr>
        <w:t>-1</w:t>
      </w:r>
      <w:r>
        <w:rPr>
          <w:rFonts w:hint="eastAsia"/>
        </w:rPr>
        <w:t xml:space="preserve"> is independently and separately demodulated to </w:t>
      </w:r>
      <w:r>
        <w:rPr>
          <w:rFonts w:hint="eastAsia"/>
          <w:i/>
          <w:iCs/>
        </w:rPr>
        <w:t>Q</w:t>
      </w:r>
      <w:r>
        <w:rPr>
          <w:rFonts w:hint="eastAsia"/>
          <w:vertAlign w:val="subscript"/>
        </w:rPr>
        <w:t>m</w:t>
      </w:r>
      <w:r>
        <w:rPr>
          <w:rFonts w:hint="eastAsia"/>
          <w:i/>
          <w:iCs/>
        </w:rPr>
        <w:t xml:space="preserve"> </w:t>
      </w:r>
      <w:r>
        <w:rPr>
          <w:rFonts w:hint="eastAsia"/>
        </w:rPr>
        <w:t xml:space="preserve">log-likelihood-ratio (LLR) values </w:t>
      </w:r>
      <w:r>
        <w:rPr>
          <w:rFonts w:hint="eastAsia"/>
          <w:i/>
          <w:iCs/>
        </w:rPr>
        <w:t>l</w:t>
      </w:r>
      <w:r>
        <w:rPr>
          <w:rFonts w:hint="eastAsia"/>
          <w:vertAlign w:val="subscript"/>
        </w:rPr>
        <w:t>0</w:t>
      </w:r>
      <w:r>
        <w:rPr>
          <w:rFonts w:hint="eastAsia"/>
        </w:rPr>
        <w:t xml:space="preserve">, ..., </w:t>
      </w:r>
      <w:r>
        <w:rPr>
          <w:rFonts w:hint="eastAsia"/>
          <w:i/>
          <w:iCs/>
        </w:rPr>
        <w:t>l</w:t>
      </w:r>
      <w:r>
        <w:rPr>
          <w:i/>
          <w:iCs/>
          <w:vertAlign w:val="subscript"/>
        </w:rPr>
        <w:t>Q</w:t>
      </w:r>
      <w:r>
        <w:rPr>
          <w:rFonts w:hint="eastAsia"/>
          <w:vertAlign w:val="subscript"/>
        </w:rPr>
        <w:t>m-1</w:t>
      </w:r>
      <w:r>
        <w:rPr>
          <w:rFonts w:hint="eastAsia"/>
        </w:rPr>
        <w:t>.</w:t>
      </w:r>
    </w:p>
    <w:p>
      <w:pPr>
        <w:pStyle w:val="51"/>
        <w:spacing w:before="120" w:after="120"/>
      </w:pPr>
      <w:bookmarkStart w:id="132" w:name="_Toc18340"/>
      <w:bookmarkStart w:id="133" w:name="_Toc27947"/>
      <w:bookmarkStart w:id="134" w:name="_Toc25722"/>
      <w:bookmarkStart w:id="135" w:name="_Toc16206"/>
      <w:bookmarkStart w:id="136" w:name="_Toc20316"/>
      <w:bookmarkStart w:id="137" w:name="_Toc206178982"/>
      <w:bookmarkStart w:id="138" w:name="_Toc29438"/>
      <w:bookmarkStart w:id="139" w:name="_Toc1665"/>
      <w:bookmarkStart w:id="140" w:name="_Toc12647"/>
      <w:bookmarkStart w:id="141" w:name="_Toc9972"/>
      <w:bookmarkStart w:id="142" w:name="_Toc5391"/>
      <w:bookmarkStart w:id="143" w:name="_Toc29165"/>
      <w:bookmarkStart w:id="144" w:name="_Toc24394"/>
      <w:bookmarkStart w:id="145" w:name="_Toc22601"/>
      <w:bookmarkStart w:id="146" w:name="_Toc3266"/>
      <w:bookmarkStart w:id="147" w:name="_Toc12552"/>
      <w:bookmarkStart w:id="148" w:name="_Toc18587"/>
      <w:bookmarkStart w:id="149" w:name="_Toc2971"/>
      <w:bookmarkStart w:id="150" w:name="_Toc15298"/>
      <w:bookmarkStart w:id="151" w:name="_Toc28133"/>
      <w:bookmarkStart w:id="152" w:name="_Toc2898"/>
      <w:bookmarkStart w:id="153" w:name="_Toc12604"/>
      <w:bookmarkStart w:id="154" w:name="_Toc3509"/>
      <w:bookmarkStart w:id="155" w:name="_Toc21799"/>
      <w:bookmarkStart w:id="156" w:name="_Toc27050"/>
      <w:bookmarkStart w:id="157" w:name="_Toc25383"/>
      <w:bookmarkStart w:id="158" w:name="_Toc24321"/>
      <w:bookmarkStart w:id="159" w:name="_Toc1602"/>
      <w:bookmarkStart w:id="160" w:name="_Toc31119"/>
      <w:r>
        <w:t>NUC modulation/demodulation is a full parallel process and it is easier to achieve ultra-high throughput for 6GR.</w:t>
      </w:r>
      <w:bookmarkEnd w:id="132"/>
      <w:bookmarkEnd w:id="133"/>
      <w:bookmarkEnd w:id="134"/>
      <w:bookmarkEnd w:id="135"/>
      <w:bookmarkEnd w:id="136"/>
      <w:bookmarkEnd w:id="137"/>
      <w:bookmarkEnd w:id="138"/>
    </w:p>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Pr>
        <w:spacing w:before="120" w:after="120"/>
      </w:pPr>
      <w:r>
        <w:rPr>
          <w:rFonts w:hint="eastAsia"/>
        </w:rPr>
        <w:t xml:space="preserve">Figure 3 gives shaping gain of NUC schemes over legacy QAM schemes at a target BLER of 0.01 under AWGN channels, where a TBS of 8424 is used for all simulated MCSs in 256QAM MCS index table </w:t>
      </w:r>
      <w:r>
        <w:rPr>
          <w:rFonts w:hint="eastAsia"/>
        </w:rPr>
        <w:fldChar w:fldCharType="begin"/>
      </w:r>
      <w:r>
        <w:rPr>
          <w:rFonts w:hint="eastAsia"/>
        </w:rPr>
        <w:instrText xml:space="preserve"> REF _Ref999 \r \h </w:instrText>
      </w:r>
      <w:r>
        <w:rPr>
          <w:rFonts w:hint="eastAsia"/>
        </w:rPr>
        <w:fldChar w:fldCharType="separate"/>
      </w:r>
      <w:r>
        <w:rPr>
          <w:rFonts w:hint="eastAsia"/>
        </w:rPr>
        <w:t>[10]</w:t>
      </w:r>
      <w:r>
        <w:rPr>
          <w:rFonts w:hint="eastAsia"/>
        </w:rPr>
        <w:fldChar w:fldCharType="end"/>
      </w:r>
      <w:r>
        <w:rPr>
          <w:rFonts w:hint="eastAsia"/>
        </w:rPr>
        <w:t xml:space="preserve"> while other simulation settings are presented in Table A-1 in the Appendix. In Figure 3, shaping gain </w:t>
      </w:r>
      <m:oMath>
        <m:r>
          <m:rPr/>
          <w:rPr>
            <w:rFonts w:ascii="Cambria Math" w:hAnsi="Cambria Math"/>
          </w:rPr>
          <m:t>G</m:t>
        </m:r>
      </m:oMath>
      <w:r>
        <w:rPr>
          <w:rFonts w:hint="eastAsia"/>
        </w:rPr>
        <w:t xml:space="preserve"> is defined as</w:t>
      </w:r>
    </w:p>
    <w:p>
      <w:pPr>
        <w:spacing w:before="120" w:after="120"/>
        <w:jc w:val="center"/>
      </w:pPr>
      <m:oMath>
        <m:r>
          <m:rPr/>
          <w:rPr>
            <w:rFonts w:ascii="Cambria Math" w:hAnsi="Cambria Math"/>
          </w:rPr>
          <m:t>G</m:t>
        </m:r>
        <m:r>
          <m:rPr>
            <m:sty m:val="p"/>
          </m:rPr>
          <w:rPr>
            <w:rFonts w:ascii="Cambria Math" w:hAnsi="Cambria Math"/>
          </w:rPr>
          <m:t>=</m:t>
        </m:r>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min,QAM</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min,NUC</m:t>
            </m:r>
            <m:ctrlPr>
              <w:rPr>
                <w:rFonts w:ascii="Cambria Math" w:hAnsi="Cambria Math"/>
              </w:rPr>
            </m:ctrlPr>
          </m:sub>
        </m:sSub>
      </m:oMath>
      <w:r>
        <w:rPr>
          <w:rFonts w:hint="eastAsia" w:hAnsi="Cambria Math"/>
        </w:rPr>
        <w:t>,</w:t>
      </w:r>
    </w:p>
    <w:p>
      <w:pPr>
        <w:spacing w:before="120" w:after="120"/>
      </w:pPr>
      <w:r>
        <w:rPr>
          <w:rFonts w:hint="eastAsia"/>
        </w:rPr>
        <w:t xml:space="preserve">where </w:t>
      </w:r>
      <m:oMath>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min,QAM</m:t>
            </m:r>
            <m:ctrlPr>
              <w:rPr>
                <w:rFonts w:ascii="Cambria Math" w:hAnsi="Cambria Math"/>
              </w:rPr>
            </m:ctrlPr>
          </m:sub>
        </m:sSub>
      </m:oMath>
      <w:r>
        <w:rPr>
          <w:rFonts w:hint="eastAsia" w:hAnsi="Cambria Math"/>
        </w:rPr>
        <w:t xml:space="preserve"> is </w:t>
      </w:r>
      <w:r>
        <w:rPr>
          <w:rFonts w:hint="eastAsia"/>
        </w:rPr>
        <w:t xml:space="preserve">the minimum SNR in dB for a legacy QAM scheme to achieve a target BLER of 0.01, </w:t>
      </w:r>
      <m:oMath>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min,NUC</m:t>
            </m:r>
            <m:ctrlPr>
              <w:rPr>
                <w:rFonts w:ascii="Cambria Math" w:hAnsi="Cambria Math"/>
              </w:rPr>
            </m:ctrlPr>
          </m:sub>
        </m:sSub>
      </m:oMath>
      <w:r>
        <w:rPr>
          <w:rFonts w:hint="eastAsia" w:hAnsi="Cambria Math"/>
        </w:rPr>
        <w:t xml:space="preserve"> is </w:t>
      </w:r>
      <w:r>
        <w:rPr>
          <w:rFonts w:hint="eastAsia"/>
        </w:rPr>
        <w:t>the minimum SNR in dB for an NUC scheme to achieve a target BLER of 0.01, both the legacy QAM scheme and NUC scheme are of the same SE.</w:t>
      </w:r>
    </w:p>
    <w:p>
      <w:pPr>
        <w:spacing w:before="120" w:after="120"/>
      </w:pPr>
      <w:r>
        <w:rPr>
          <w:rFonts w:hint="eastAsia"/>
        </w:rPr>
        <w:t>From Figure 3, it can be observed that</w:t>
      </w:r>
    </w:p>
    <w:p>
      <w:pPr>
        <w:numPr>
          <w:ilvl w:val="0"/>
          <w:numId w:val="7"/>
        </w:numPr>
        <w:spacing w:before="120" w:after="120"/>
      </w:pPr>
      <w:r>
        <w:rPr>
          <w:rFonts w:hint="eastAsia"/>
        </w:rPr>
        <w:t xml:space="preserve">Shaping gain is about 0.15 to 0.25 dB for MCS 5 to 10 (corresponding to </w:t>
      </w:r>
      <w:r>
        <w:rPr>
          <w:rFonts w:hint="eastAsia"/>
          <w:i/>
          <w:iCs/>
        </w:rPr>
        <w:t>Q</w:t>
      </w:r>
      <w:r>
        <w:rPr>
          <w:rFonts w:hint="eastAsia"/>
          <w:vertAlign w:val="subscript"/>
        </w:rPr>
        <w:t>m</w:t>
      </w:r>
      <w:r>
        <w:rPr>
          <w:rFonts w:hint="eastAsia"/>
        </w:rPr>
        <w:t xml:space="preserve"> = 4).</w:t>
      </w:r>
    </w:p>
    <w:p>
      <w:pPr>
        <w:numPr>
          <w:ilvl w:val="0"/>
          <w:numId w:val="7"/>
        </w:numPr>
        <w:spacing w:before="120" w:after="120"/>
      </w:pPr>
      <w:r>
        <w:rPr>
          <w:rFonts w:hint="eastAsia"/>
        </w:rPr>
        <w:t xml:space="preserve">Shaping gain is about 0.3 to 0.5 dB for MCS 11 to 19 (corresponding to </w:t>
      </w:r>
      <w:r>
        <w:rPr>
          <w:rFonts w:hint="eastAsia"/>
          <w:i/>
          <w:iCs/>
        </w:rPr>
        <w:t>Q</w:t>
      </w:r>
      <w:r>
        <w:rPr>
          <w:rFonts w:hint="eastAsia"/>
          <w:vertAlign w:val="subscript"/>
        </w:rPr>
        <w:t>m</w:t>
      </w:r>
      <w:r>
        <w:rPr>
          <w:rFonts w:hint="eastAsia"/>
        </w:rPr>
        <w:t xml:space="preserve"> = 6).</w:t>
      </w:r>
    </w:p>
    <w:p>
      <w:pPr>
        <w:numPr>
          <w:ilvl w:val="0"/>
          <w:numId w:val="7"/>
        </w:numPr>
        <w:spacing w:before="120" w:after="120"/>
      </w:pPr>
      <w:r>
        <w:rPr>
          <w:rFonts w:hint="eastAsia"/>
        </w:rPr>
        <w:t xml:space="preserve">Shaping gain is about 0.4 to 0.75 dB for MCS 20 to 27 (corresponding to </w:t>
      </w:r>
      <w:r>
        <w:rPr>
          <w:rFonts w:hint="eastAsia"/>
          <w:i/>
          <w:iCs/>
        </w:rPr>
        <w:t>Q</w:t>
      </w:r>
      <w:r>
        <w:rPr>
          <w:rFonts w:hint="eastAsia"/>
          <w:vertAlign w:val="subscript"/>
        </w:rPr>
        <w:t>m</w:t>
      </w:r>
      <w:r>
        <w:rPr>
          <w:rFonts w:hint="eastAsia"/>
        </w:rPr>
        <w:t xml:space="preserve"> = 8).</w:t>
      </w:r>
    </w:p>
    <w:p>
      <w:pPr>
        <w:spacing w:before="120" w:after="120"/>
        <w:jc w:val="center"/>
      </w:pPr>
      <w:r>
        <w:drawing>
          <wp:inline distT="0" distB="0" distL="114300" distR="114300">
            <wp:extent cx="4815205" cy="2934970"/>
            <wp:effectExtent l="0" t="0" r="4445" b="1778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16"/>
                    <a:stretch>
                      <a:fillRect/>
                    </a:stretch>
                  </pic:blipFill>
                  <pic:spPr>
                    <a:xfrm>
                      <a:off x="0" y="0"/>
                      <a:ext cx="4815205" cy="2934970"/>
                    </a:xfrm>
                    <a:prstGeom prst="rect">
                      <a:avLst/>
                    </a:prstGeom>
                    <a:noFill/>
                    <a:ln>
                      <a:noFill/>
                    </a:ln>
                  </pic:spPr>
                </pic:pic>
              </a:graphicData>
            </a:graphic>
          </wp:inline>
        </w:drawing>
      </w:r>
    </w:p>
    <w:p>
      <w:pPr>
        <w:tabs>
          <w:tab w:val="left" w:pos="0"/>
          <w:tab w:val="left" w:pos="420"/>
        </w:tabs>
        <w:spacing w:before="120" w:after="120"/>
        <w:jc w:val="center"/>
        <w:rPr>
          <w:highlight w:val="yellow"/>
        </w:rPr>
      </w:pPr>
      <w:r>
        <w:rPr>
          <w:rFonts w:hint="eastAsia"/>
        </w:rPr>
        <w:t xml:space="preserve">Figure 3 Shaping gain for NUC schemes over legacy QAM schemes over AWGN channels at TBS = 8424 for different MCS entries in 256QAM MCS index table </w:t>
      </w:r>
      <w:r>
        <w:rPr>
          <w:rFonts w:hint="eastAsia"/>
        </w:rPr>
        <w:fldChar w:fldCharType="begin"/>
      </w:r>
      <w:r>
        <w:rPr>
          <w:rFonts w:hint="eastAsia"/>
        </w:rPr>
        <w:instrText xml:space="preserve"> REF _Ref999 \r \h </w:instrText>
      </w:r>
      <w:r>
        <w:rPr>
          <w:rFonts w:hint="eastAsia"/>
        </w:rPr>
        <w:fldChar w:fldCharType="separate"/>
      </w:r>
      <w:r>
        <w:rPr>
          <w:rFonts w:hint="eastAsia"/>
        </w:rPr>
        <w:t>[10]</w:t>
      </w:r>
      <w:r>
        <w:rPr>
          <w:rFonts w:hint="eastAsia"/>
        </w:rPr>
        <w:fldChar w:fldCharType="end"/>
      </w:r>
      <w:r>
        <w:rPr>
          <w:rFonts w:hint="eastAsia"/>
        </w:rPr>
        <w:t>.</w:t>
      </w:r>
    </w:p>
    <w:p>
      <w:pPr>
        <w:pStyle w:val="51"/>
        <w:spacing w:before="120" w:after="120"/>
        <w:jc w:val="both"/>
        <w:rPr>
          <w:lang w:val="en-US" w:eastAsia="zh-CN"/>
        </w:rPr>
      </w:pPr>
      <w:bookmarkStart w:id="161" w:name="_Toc379"/>
      <w:bookmarkStart w:id="162" w:name="_Toc6762"/>
      <w:bookmarkStart w:id="163" w:name="_Toc18062"/>
      <w:bookmarkStart w:id="164" w:name="_Toc14743"/>
      <w:bookmarkStart w:id="165" w:name="_Toc3451"/>
      <w:bookmarkStart w:id="166" w:name="_Toc16905"/>
      <w:bookmarkStart w:id="167" w:name="_Toc21157"/>
      <w:bookmarkStart w:id="168" w:name="_Toc14000"/>
      <w:bookmarkStart w:id="169" w:name="_Toc18033"/>
      <w:bookmarkStart w:id="170" w:name="_Toc20371"/>
      <w:bookmarkStart w:id="171" w:name="_Toc206178983"/>
      <w:bookmarkStart w:id="172" w:name="_Toc14957"/>
      <w:bookmarkStart w:id="173" w:name="_Toc27943"/>
      <w:r>
        <w:rPr>
          <w:rFonts w:hint="eastAsia"/>
        </w:rPr>
        <w:t xml:space="preserve">NUC </w:t>
      </w:r>
      <w:r>
        <w:rPr>
          <w:rFonts w:hint="eastAsia"/>
          <w:lang w:val="en-US" w:eastAsia="zh-CN"/>
        </w:rPr>
        <w:t>can have shaping gain from 0.15 dB to 0.75 dB</w:t>
      </w:r>
      <w:r>
        <w:rPr>
          <w:lang w:val="en-US" w:eastAsia="zh-CN"/>
        </w:rPr>
        <w:t>, where</w:t>
      </w:r>
      <w:r>
        <w:rPr>
          <w:rFonts w:hint="eastAsia"/>
          <w:lang w:val="en-US" w:eastAsia="zh-CN"/>
        </w:rPr>
        <w:t xml:space="preserve"> shaping gain of </w:t>
      </w:r>
      <w:r>
        <w:rPr>
          <w:rFonts w:hint="eastAsia"/>
        </w:rPr>
        <w:t xml:space="preserve">NUC </w:t>
      </w:r>
      <w:r>
        <w:rPr>
          <w:rFonts w:hint="eastAsia"/>
          <w:lang w:val="en-US" w:eastAsia="zh-CN"/>
        </w:rPr>
        <w:t>increases</w:t>
      </w:r>
      <w:r>
        <w:rPr>
          <w:lang w:val="en-US" w:eastAsia="zh-CN"/>
        </w:rPr>
        <w:t xml:space="preserve"> as </w:t>
      </w:r>
      <w:r>
        <w:rPr>
          <w:rFonts w:hint="eastAsia"/>
          <w:lang w:val="en-US" w:eastAsia="zh-CN"/>
        </w:rPr>
        <w:t>the</w:t>
      </w:r>
      <w:r>
        <w:rPr>
          <w:lang w:val="en-US" w:eastAsia="zh-CN"/>
        </w:rPr>
        <w:t xml:space="preserve"> </w:t>
      </w:r>
      <w:r>
        <w:rPr>
          <w:rFonts w:hint="eastAsia"/>
          <w:lang w:val="en-US" w:eastAsia="zh-CN"/>
        </w:rPr>
        <w:t>modulation order</w:t>
      </w:r>
      <w:r>
        <w:rPr>
          <w:lang w:val="en-US" w:eastAsia="zh-CN"/>
        </w:rPr>
        <w:t xml:space="preserve"> increases</w:t>
      </w:r>
      <w:r>
        <w:rPr>
          <w:rFonts w:hint="eastAsia"/>
        </w:rPr>
        <w:t>.</w:t>
      </w:r>
      <w:bookmarkEnd w:id="161"/>
      <w:bookmarkEnd w:id="162"/>
      <w:bookmarkEnd w:id="163"/>
      <w:bookmarkEnd w:id="164"/>
      <w:bookmarkEnd w:id="165"/>
      <w:bookmarkEnd w:id="166"/>
      <w:bookmarkEnd w:id="167"/>
      <w:bookmarkEnd w:id="168"/>
      <w:bookmarkEnd w:id="169"/>
      <w:bookmarkEnd w:id="170"/>
      <w:bookmarkEnd w:id="171"/>
      <w:bookmarkEnd w:id="172"/>
      <w:bookmarkEnd w:id="173"/>
    </w:p>
    <w:p>
      <w:pPr>
        <w:pStyle w:val="54"/>
        <w:spacing w:before="120" w:after="120"/>
        <w:jc w:val="both"/>
        <w:rPr>
          <w:rFonts w:eastAsia="宋体"/>
          <w:lang w:val="en-US" w:eastAsia="zh-CN"/>
        </w:rPr>
      </w:pPr>
      <w:bookmarkStart w:id="174" w:name="_Toc1382"/>
      <w:bookmarkStart w:id="175" w:name="_Toc5316"/>
      <w:bookmarkStart w:id="176" w:name="_Toc9866"/>
      <w:bookmarkStart w:id="177" w:name="_Toc206179008"/>
      <w:bookmarkStart w:id="178" w:name="_Toc32123"/>
      <w:bookmarkStart w:id="179" w:name="_Toc16021"/>
      <w:bookmarkStart w:id="180" w:name="_Toc2032"/>
      <w:r>
        <w:rPr>
          <w:lang w:val="en-US" w:eastAsia="zh-CN"/>
        </w:rPr>
        <w:t>NUC modulation for 6GR can be studied and considered.</w:t>
      </w:r>
      <w:bookmarkEnd w:id="174"/>
      <w:bookmarkEnd w:id="175"/>
      <w:bookmarkEnd w:id="176"/>
      <w:bookmarkEnd w:id="177"/>
      <w:bookmarkEnd w:id="178"/>
      <w:bookmarkEnd w:id="179"/>
      <w:bookmarkEnd w:id="180"/>
    </w:p>
    <w:p>
      <w:pPr>
        <w:pStyle w:val="51"/>
        <w:numPr>
          <w:ilvl w:val="255"/>
          <w:numId w:val="0"/>
        </w:numPr>
        <w:tabs>
          <w:tab w:val="clear" w:pos="0"/>
        </w:tabs>
        <w:spacing w:before="120" w:after="120"/>
        <w:jc w:val="both"/>
        <w:rPr>
          <w:highlight w:val="yellow"/>
          <w:lang w:val="en-US" w:eastAsia="zh-CN"/>
        </w:rPr>
      </w:pPr>
    </w:p>
    <w:p>
      <w:pPr>
        <w:pStyle w:val="4"/>
        <w:spacing w:after="120"/>
        <w:ind w:right="210"/>
        <w:jc w:val="left"/>
      </w:pPr>
      <w:r>
        <w:rPr>
          <w:rFonts w:hint="eastAsia"/>
        </w:rPr>
        <w:t>Probabilistic</w:t>
      </w:r>
      <w:r>
        <w:rPr>
          <w:rFonts w:hint="eastAsia" w:eastAsia="宋体"/>
        </w:rPr>
        <w:t xml:space="preserve"> shaping</w:t>
      </w:r>
      <w:r>
        <w:rPr>
          <w:rFonts w:hint="eastAsia"/>
        </w:rPr>
        <w:t xml:space="preserve"> modulation</w:t>
      </w:r>
    </w:p>
    <w:p>
      <w:pPr>
        <w:spacing w:before="120" w:after="120"/>
      </w:pPr>
      <w:r>
        <w:rPr>
          <w:rFonts w:hint="eastAsia"/>
        </w:rPr>
        <w:t>Probabilistic shaping</w:t>
      </w:r>
      <w:r>
        <w:t xml:space="preserve"> approximates the optimal Gaussian distribution by transmitting different QAM symbols at different probabilities</w:t>
      </w:r>
      <w:r>
        <w:rPr>
          <w:rFonts w:hint="eastAsia"/>
        </w:rPr>
        <w:t xml:space="preserve"> </w:t>
      </w:r>
      <w:r>
        <w:rPr>
          <w:rFonts w:hint="eastAsia"/>
        </w:rPr>
        <w:fldChar w:fldCharType="begin"/>
      </w:r>
      <w:r>
        <w:rPr>
          <w:rFonts w:hint="eastAsia"/>
        </w:rPr>
        <w:instrText xml:space="preserve"> REF _Ref23228 \r \h </w:instrText>
      </w:r>
      <w:r>
        <w:rPr>
          <w:rFonts w:hint="eastAsia"/>
        </w:rPr>
        <w:fldChar w:fldCharType="end"/>
      </w:r>
      <w:r>
        <w:rPr>
          <w:rFonts w:hint="eastAsia"/>
        </w:rPr>
        <w:fldChar w:fldCharType="begin"/>
      </w:r>
      <w:r>
        <w:rPr>
          <w:rFonts w:hint="eastAsia"/>
        </w:rPr>
        <w:instrText xml:space="preserve"> REF _Ref24521 \r \h </w:instrText>
      </w:r>
      <w:r>
        <w:rPr>
          <w:rFonts w:hint="eastAsia"/>
        </w:rPr>
        <w:fldChar w:fldCharType="separate"/>
      </w:r>
      <w:r>
        <w:rPr>
          <w:rFonts w:hint="eastAsia"/>
        </w:rPr>
        <w:t>[6]</w:t>
      </w:r>
      <w:r>
        <w:rPr>
          <w:rFonts w:hint="eastAsia"/>
        </w:rPr>
        <w:fldChar w:fldCharType="end"/>
      </w:r>
      <w:r>
        <w:rPr>
          <w:rFonts w:hint="eastAsia"/>
        </w:rPr>
        <w:t>. One typical method is probabilistic amplitude shaping (PAS). Figure 4 gives an example of PAS 64QAM. Figure 5 shows the coding and modulation chain for PAS modulation.</w:t>
      </w:r>
    </w:p>
    <w:p>
      <w:pPr>
        <w:numPr>
          <w:ilvl w:val="255"/>
          <w:numId w:val="0"/>
        </w:numPr>
        <w:spacing w:before="120" w:after="120"/>
        <w:jc w:val="center"/>
      </w:pPr>
      <w:r>
        <w:drawing>
          <wp:inline distT="0" distB="0" distL="114300" distR="114300">
            <wp:extent cx="3599815" cy="2533650"/>
            <wp:effectExtent l="0" t="0" r="635" b="0"/>
            <wp:docPr id="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pic:cNvPicPr>
                      <a:picLocks noChangeAspect="1"/>
                    </pic:cNvPicPr>
                  </pic:nvPicPr>
                  <pic:blipFill>
                    <a:blip r:embed="rId17"/>
                    <a:stretch>
                      <a:fillRect/>
                    </a:stretch>
                  </pic:blipFill>
                  <pic:spPr>
                    <a:xfrm>
                      <a:off x="0" y="0"/>
                      <a:ext cx="3599815" cy="2533650"/>
                    </a:xfrm>
                    <a:prstGeom prst="rect">
                      <a:avLst/>
                    </a:prstGeom>
                    <a:noFill/>
                    <a:ln>
                      <a:noFill/>
                    </a:ln>
                  </pic:spPr>
                </pic:pic>
              </a:graphicData>
            </a:graphic>
          </wp:inline>
        </w:drawing>
      </w:r>
    </w:p>
    <w:p>
      <w:pPr>
        <w:spacing w:before="120" w:after="120"/>
        <w:jc w:val="center"/>
      </w:pPr>
      <w:r>
        <w:rPr>
          <w:rFonts w:hint="eastAsia"/>
        </w:rPr>
        <w:t>Figure 4 Diagram for PAS 64QAM.</w:t>
      </w:r>
    </w:p>
    <w:p>
      <w:pPr>
        <w:spacing w:before="120" w:after="120"/>
      </w:pPr>
      <w:r>
        <w:t>Based on our study, we think the following technical issues should be addressed.</w:t>
      </w:r>
    </w:p>
    <w:p>
      <w:pPr>
        <w:pStyle w:val="31"/>
        <w:numPr>
          <w:ilvl w:val="0"/>
          <w:numId w:val="8"/>
        </w:numPr>
        <w:spacing w:before="120" w:after="120"/>
        <w:rPr>
          <w:b/>
          <w:szCs w:val="21"/>
        </w:rPr>
      </w:pPr>
      <w:r>
        <w:rPr>
          <w:b/>
          <w:sz w:val="21"/>
          <w:szCs w:val="21"/>
        </w:rPr>
        <w:t>Impact on coding chain</w:t>
      </w:r>
    </w:p>
    <w:p>
      <w:pPr>
        <w:spacing w:before="120" w:after="120"/>
      </w:pPr>
      <w:r>
        <w:rPr>
          <w:rFonts w:hint="eastAsia"/>
        </w:rPr>
        <w:t xml:space="preserve">PAS </w:t>
      </w:r>
      <w:r>
        <w:t>requires</w:t>
      </w:r>
      <w:r>
        <w:rPr>
          <w:rFonts w:hint="eastAsia"/>
        </w:rPr>
        <w:t xml:space="preserve"> a serial concatenation architecture of a distribution matcher (DM) and a channel coder </w:t>
      </w:r>
      <w:r>
        <w:rPr>
          <w:rFonts w:hint="eastAsia"/>
        </w:rPr>
        <w:fldChar w:fldCharType="begin"/>
      </w:r>
      <w:r>
        <w:rPr>
          <w:rFonts w:hint="eastAsia"/>
        </w:rPr>
        <w:instrText xml:space="preserve"> REF _Ref19656 \r \h </w:instrText>
      </w:r>
      <w:r>
        <w:instrText xml:space="preserve"> \* MERGEFORMAT </w:instrText>
      </w:r>
      <w:r>
        <w:rPr>
          <w:rFonts w:hint="eastAsia"/>
        </w:rPr>
        <w:fldChar w:fldCharType="separate"/>
      </w:r>
      <w:r>
        <w:rPr>
          <w:rFonts w:hint="eastAsia"/>
        </w:rPr>
        <w:t>[11]</w:t>
      </w:r>
      <w:r>
        <w:rPr>
          <w:rFonts w:hint="eastAsia"/>
        </w:rPr>
        <w:fldChar w:fldCharType="end"/>
      </w:r>
      <w:r>
        <w:rPr>
          <w:rFonts w:hint="eastAsia"/>
        </w:rPr>
        <w:t>, where the DM is applied prior to the channel coder.</w:t>
      </w:r>
    </w:p>
    <w:p>
      <w:pPr>
        <w:spacing w:before="120" w:after="120"/>
      </w:pPr>
      <w:r>
        <w:rPr>
          <w:rFonts w:hint="eastAsia"/>
        </w:rPr>
        <w:t>In Figure 5, equiprobable data bits are split into two parts: bits for shaping and bits for non-shaping. The reason for splitting data bits into two parts is to adjust the SE as well as the probability distribution of QAM symbols since the optimal probability distribution for a specific SE restricts the maximum number of bits for shaping, then extra bits exceeding the maximum number of bits for shaping cannot be used for shaping, resulting in the bits for non-shaping.</w:t>
      </w:r>
      <w:r>
        <w:t xml:space="preserve"> </w:t>
      </w:r>
      <w:r>
        <w:rPr>
          <w:rFonts w:hint="eastAsia"/>
        </w:rPr>
        <w:t>The equiprobable bits for shaping are</w:t>
      </w:r>
      <w:r>
        <w:t xml:space="preserve"> </w:t>
      </w:r>
      <w:r>
        <w:rPr>
          <w:rFonts w:hint="eastAsia"/>
        </w:rPr>
        <w:t>input to the DM and transformed into non-uniform amplitude levels of amplitude shift keying (ASK) symbols.</w:t>
      </w:r>
    </w:p>
    <w:p>
      <w:pPr>
        <w:spacing w:before="120" w:after="120"/>
        <w:jc w:val="center"/>
      </w:pPr>
      <w:r>
        <w:drawing>
          <wp:inline distT="0" distB="0" distL="0" distR="0">
            <wp:extent cx="4421505" cy="15303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stretch>
                      <a:fillRect/>
                    </a:stretch>
                  </pic:blipFill>
                  <pic:spPr>
                    <a:xfrm>
                      <a:off x="0" y="0"/>
                      <a:ext cx="4455351" cy="1542292"/>
                    </a:xfrm>
                    <a:prstGeom prst="rect">
                      <a:avLst/>
                    </a:prstGeom>
                  </pic:spPr>
                </pic:pic>
              </a:graphicData>
            </a:graphic>
          </wp:inline>
        </w:drawing>
      </w:r>
    </w:p>
    <w:p>
      <w:pPr>
        <w:spacing w:before="120" w:after="120"/>
        <w:jc w:val="center"/>
      </w:pPr>
      <w:r>
        <w:rPr>
          <w:rFonts w:hint="eastAsia"/>
        </w:rPr>
        <w:t>Figure 5 Coding and modulation chain for PAS modulation</w:t>
      </w:r>
      <w:r>
        <w:t xml:space="preserve"> at transmitter</w:t>
      </w:r>
      <w:r>
        <w:rPr>
          <w:rFonts w:hint="eastAsia"/>
        </w:rPr>
        <w:t>.</w:t>
      </w:r>
    </w:p>
    <w:p>
      <w:pPr>
        <w:spacing w:before="120" w:after="120"/>
      </w:pPr>
      <w:r>
        <w:t>Besides, t</w:t>
      </w:r>
      <w:r>
        <w:rPr>
          <w:rFonts w:hint="eastAsia"/>
        </w:rPr>
        <w:t>he shaped bits, the bits for non-shaping as well as the parity bits are combined and used for QAM modulation. Specifically, the shaped bits are mapped to amplitudes of the ASK symbols, the bits for non-shaping and the parity bits are mapped to the equally probable phase components of the ASK symbols. Finally, every two ASK symbols are combined into a QAM symbols and transmitted over the channel.</w:t>
      </w:r>
      <w:r>
        <w:t xml:space="preserve"> </w:t>
      </w:r>
      <w:r>
        <w:rPr>
          <w:rFonts w:hint="eastAsia"/>
        </w:rPr>
        <w:t xml:space="preserve">PAS inherently has an interleaver on the coded bits of channel coding output, which is different from the bit interleaving after 5G NR LDPC coding. </w:t>
      </w:r>
      <w:r>
        <w:t>To this end, we need to evaluate the impact of PAS on bit interleav</w:t>
      </w:r>
      <w:r>
        <w:rPr>
          <w:rFonts w:hint="eastAsia"/>
        </w:rPr>
        <w:t>ing</w:t>
      </w:r>
      <w:r>
        <w:t xml:space="preserve"> after LDPC coding.</w:t>
      </w:r>
    </w:p>
    <w:p>
      <w:pPr>
        <w:pStyle w:val="51"/>
        <w:spacing w:before="120" w:after="120"/>
        <w:jc w:val="both"/>
      </w:pPr>
      <w:bookmarkStart w:id="181" w:name="_Toc206178984"/>
      <w:r>
        <w:rPr>
          <w:lang w:val="en-US" w:eastAsia="zh-CN"/>
        </w:rPr>
        <w:t>PAS modulation has impacts on coding chain in terms of:</w:t>
      </w:r>
      <w:bookmarkEnd w:id="181"/>
    </w:p>
    <w:p>
      <w:pPr>
        <w:pStyle w:val="51"/>
        <w:numPr>
          <w:ilvl w:val="0"/>
          <w:numId w:val="9"/>
        </w:numPr>
        <w:spacing w:before="120" w:after="120"/>
        <w:jc w:val="both"/>
      </w:pPr>
      <w:bookmarkStart w:id="182" w:name="_Toc206178985"/>
      <w:r>
        <w:rPr>
          <w:lang w:val="en-US" w:eastAsia="zh-CN"/>
        </w:rPr>
        <w:t>Additional procedures before or after channel coding</w:t>
      </w:r>
      <w:bookmarkEnd w:id="182"/>
      <w:r>
        <w:rPr>
          <w:lang w:val="en-US" w:eastAsia="zh-CN"/>
        </w:rPr>
        <w:t xml:space="preserve"> </w:t>
      </w:r>
    </w:p>
    <w:p>
      <w:pPr>
        <w:pStyle w:val="51"/>
        <w:numPr>
          <w:ilvl w:val="0"/>
          <w:numId w:val="9"/>
        </w:numPr>
        <w:spacing w:before="120" w:after="120"/>
        <w:jc w:val="both"/>
      </w:pPr>
      <w:bookmarkStart w:id="183" w:name="_Toc206178986"/>
      <w:r>
        <w:rPr>
          <w:lang w:val="en-US" w:eastAsia="zh-CN"/>
        </w:rPr>
        <w:t>Bit interleaving</w:t>
      </w:r>
      <w:bookmarkEnd w:id="183"/>
    </w:p>
    <w:p>
      <w:pPr>
        <w:pStyle w:val="31"/>
        <w:numPr>
          <w:ilvl w:val="0"/>
          <w:numId w:val="10"/>
        </w:numPr>
        <w:spacing w:before="120" w:after="120"/>
        <w:rPr>
          <w:b/>
          <w:szCs w:val="21"/>
        </w:rPr>
      </w:pPr>
      <w:r>
        <w:rPr>
          <w:b/>
          <w:sz w:val="21"/>
          <w:szCs w:val="21"/>
        </w:rPr>
        <w:t>Analysis of DM algorithms</w:t>
      </w:r>
    </w:p>
    <w:p>
      <w:pPr>
        <w:spacing w:before="120" w:after="120"/>
      </w:pPr>
      <w:r>
        <w:rPr>
          <w:rFonts w:hint="eastAsia"/>
        </w:rPr>
        <w:t xml:space="preserve">There are many DM algorithms in the literature, such as shell mapping </w:t>
      </w:r>
      <w:r>
        <w:rPr>
          <w:rFonts w:hint="eastAsia"/>
        </w:rPr>
        <w:fldChar w:fldCharType="begin"/>
      </w:r>
      <w:r>
        <w:rPr>
          <w:rFonts w:hint="eastAsia"/>
        </w:rPr>
        <w:instrText xml:space="preserve"> REF _Ref8193 \r \h </w:instrText>
      </w:r>
      <w:r>
        <w:rPr>
          <w:rFonts w:hint="eastAsia"/>
        </w:rPr>
        <w:fldChar w:fldCharType="separate"/>
      </w:r>
      <w:r>
        <w:rPr>
          <w:rFonts w:hint="eastAsia"/>
        </w:rPr>
        <w:t>[12]</w:t>
      </w:r>
      <w:r>
        <w:rPr>
          <w:rFonts w:hint="eastAsia"/>
        </w:rPr>
        <w:fldChar w:fldCharType="end"/>
      </w:r>
      <w:r>
        <w:rPr>
          <w:rFonts w:hint="eastAsia"/>
        </w:rPr>
        <w:t xml:space="preserve">, constant composition distribution matching (CCDM) </w:t>
      </w:r>
      <w:r>
        <w:rPr>
          <w:rFonts w:hint="eastAsia"/>
        </w:rPr>
        <w:fldChar w:fldCharType="begin"/>
      </w:r>
      <w:r>
        <w:rPr>
          <w:rFonts w:hint="eastAsia"/>
        </w:rPr>
        <w:instrText xml:space="preserve"> REF _Ref20528 \r \h </w:instrText>
      </w:r>
      <w:r>
        <w:rPr>
          <w:rFonts w:hint="eastAsia"/>
        </w:rPr>
        <w:fldChar w:fldCharType="separate"/>
      </w:r>
      <w:r>
        <w:rPr>
          <w:rFonts w:hint="eastAsia"/>
        </w:rPr>
        <w:t>[13]</w:t>
      </w:r>
      <w:r>
        <w:rPr>
          <w:rFonts w:hint="eastAsia"/>
        </w:rPr>
        <w:fldChar w:fldCharType="end"/>
      </w:r>
      <w:r>
        <w:rPr>
          <w:rFonts w:hint="eastAsia"/>
        </w:rPr>
        <w:t xml:space="preserve">, (approximate) enumerative sphere shaping ((A)ESS) </w:t>
      </w:r>
      <w:r>
        <w:rPr>
          <w:rFonts w:hint="eastAsia"/>
        </w:rPr>
        <w:fldChar w:fldCharType="begin"/>
      </w:r>
      <w:r>
        <w:rPr>
          <w:rFonts w:hint="eastAsia"/>
        </w:rPr>
        <w:instrText xml:space="preserve"> REF _Ref30671 \r \h </w:instrText>
      </w:r>
      <w:r>
        <w:rPr>
          <w:rFonts w:hint="eastAsia"/>
        </w:rPr>
        <w:fldChar w:fldCharType="separate"/>
      </w:r>
      <w:r>
        <w:rPr>
          <w:rFonts w:hint="eastAsia"/>
        </w:rPr>
        <w:t>[14]</w:t>
      </w:r>
      <w:r>
        <w:rPr>
          <w:rFonts w:hint="eastAsia"/>
        </w:rPr>
        <w:fldChar w:fldCharType="end"/>
      </w:r>
      <w:r>
        <w:rPr>
          <w:rFonts w:hint="eastAsia"/>
        </w:rPr>
        <w:fldChar w:fldCharType="begin"/>
      </w:r>
      <w:r>
        <w:rPr>
          <w:rFonts w:hint="eastAsia"/>
        </w:rPr>
        <w:instrText xml:space="preserve"> REF _Ref26526 \r \h </w:instrText>
      </w:r>
      <w:r>
        <w:rPr>
          <w:rFonts w:hint="eastAsia"/>
        </w:rPr>
        <w:fldChar w:fldCharType="end"/>
      </w:r>
      <w:r>
        <w:rPr>
          <w:rFonts w:hint="eastAsia"/>
        </w:rPr>
        <w:t>.</w:t>
      </w:r>
    </w:p>
    <w:p>
      <w:pPr>
        <w:spacing w:before="120" w:after="120"/>
        <w:rPr>
          <w:u w:val="single"/>
        </w:rPr>
      </w:pPr>
      <w:r>
        <w:rPr>
          <w:u w:val="single"/>
        </w:rPr>
        <w:t>Analysis#1: CCDM algorithm</w:t>
      </w:r>
    </w:p>
    <w:p>
      <w:pPr>
        <w:spacing w:before="120" w:after="120"/>
        <w:rPr>
          <w:highlight w:val="yellow"/>
        </w:rPr>
      </w:pPr>
      <w:r>
        <w:rPr>
          <w:rFonts w:hint="eastAsia"/>
        </w:rPr>
        <w:t>The most popular DM is CCDM, which is based on the arithmetic coding algorithm</w:t>
      </w:r>
      <w:r>
        <w:rPr>
          <w:rFonts w:hint="eastAsia"/>
        </w:rPr>
        <w:fldChar w:fldCharType="begin"/>
      </w:r>
      <w:r>
        <w:rPr>
          <w:rFonts w:hint="eastAsia"/>
        </w:rPr>
        <w:instrText xml:space="preserve"> REF _Ref26526 \r \h </w:instrText>
      </w:r>
      <w:r>
        <w:rPr>
          <w:rFonts w:hint="eastAsia"/>
        </w:rPr>
        <w:fldChar w:fldCharType="end"/>
      </w:r>
      <w:r>
        <w:rPr>
          <w:rFonts w:hint="eastAsia"/>
        </w:rPr>
        <w:t>. Specifically, arithmetic decoding is used at the transmitter for DM encoding, while arithmetic encoding is used at the receiver for DM decoding. In other words, the encoding and decoding operations for the DM are the reverse of those used in conventional arithmetic coding.</w:t>
      </w:r>
    </w:p>
    <w:p>
      <w:pPr>
        <w:spacing w:before="120" w:after="120"/>
      </w:pPr>
      <w:r>
        <w:rPr>
          <w:rFonts w:hint="eastAsia"/>
        </w:rPr>
        <w:t xml:space="preserve">CCDM needs an amplitude distribution as input to generate non-uniform amplitude levels </w:t>
      </w:r>
      <w:r>
        <w:rPr>
          <w:rFonts w:hint="eastAsia"/>
        </w:rPr>
        <w:fldChar w:fldCharType="begin"/>
      </w:r>
      <w:r>
        <w:rPr>
          <w:rFonts w:hint="eastAsia"/>
        </w:rPr>
        <w:instrText xml:space="preserve"> REF _Ref20528 \r \h </w:instrText>
      </w:r>
      <w:r>
        <w:rPr>
          <w:rFonts w:hint="eastAsia"/>
        </w:rPr>
        <w:fldChar w:fldCharType="separate"/>
      </w:r>
      <w:r>
        <w:rPr>
          <w:rFonts w:hint="eastAsia"/>
        </w:rPr>
        <w:t>[13]</w:t>
      </w:r>
      <w:r>
        <w:rPr>
          <w:rFonts w:hint="eastAsia"/>
        </w:rPr>
        <w:fldChar w:fldCharType="end"/>
      </w:r>
      <w:r>
        <w:rPr>
          <w:rFonts w:hint="eastAsia"/>
        </w:rPr>
        <w:t>. The non-uniform amplitude distribution is the Maxwell-Boltzmann distribution defined as:</w:t>
      </w:r>
    </w:p>
    <w:p>
      <w:pPr>
        <w:spacing w:before="120" w:after="120"/>
        <w:jc w:val="center"/>
      </w:pPr>
      <w:r>
        <w:t>Pr(</w:t>
      </w:r>
      <w:r>
        <w:rPr>
          <w:i/>
          <w:iCs/>
        </w:rPr>
        <w:t>A</w:t>
      </w:r>
      <w:r>
        <w:t xml:space="preserve">) = </w:t>
      </w:r>
      <w:r>
        <w:rPr>
          <w:i/>
          <w:iCs/>
        </w:rPr>
        <w:t>β</w:t>
      </w:r>
      <w:r>
        <w:t>·</w:t>
      </w:r>
      <w:r>
        <w:rPr>
          <w:rFonts w:hint="eastAsia"/>
        </w:rPr>
        <w:t>exp(-</w:t>
      </w:r>
      <w:r>
        <w:rPr>
          <w:rFonts w:hint="eastAsia"/>
          <w:i/>
          <w:iCs/>
        </w:rPr>
        <w:t>v</w:t>
      </w:r>
      <w:r>
        <w:t>·</w:t>
      </w:r>
      <w:r>
        <w:rPr>
          <w:rFonts w:hint="eastAsia"/>
        </w:rPr>
        <w:t>|</w:t>
      </w:r>
      <w:r>
        <w:rPr>
          <w:rFonts w:hint="eastAsia"/>
          <w:i/>
          <w:iCs/>
        </w:rPr>
        <w:t>A</w:t>
      </w:r>
      <w:r>
        <w:rPr>
          <w:rFonts w:hint="eastAsia"/>
        </w:rPr>
        <w:t>|</w:t>
      </w:r>
      <w:r>
        <w:rPr>
          <w:rFonts w:hint="eastAsia"/>
          <w:vertAlign w:val="superscript"/>
        </w:rPr>
        <w:t>2</w:t>
      </w:r>
      <w:r>
        <w:rPr>
          <w:rFonts w:hint="eastAsia"/>
        </w:rPr>
        <w:t>)</w:t>
      </w:r>
    </w:p>
    <w:p>
      <w:pPr>
        <w:tabs>
          <w:tab w:val="left" w:pos="0"/>
          <w:tab w:val="left" w:pos="420"/>
        </w:tabs>
        <w:spacing w:before="120" w:after="120"/>
      </w:pPr>
      <w:r>
        <w:rPr>
          <w:rFonts w:hint="eastAsia"/>
        </w:rPr>
        <w:t xml:space="preserve">where </w:t>
      </w:r>
      <w:r>
        <w:rPr>
          <w:rFonts w:hint="eastAsia"/>
          <w:i/>
          <w:iCs/>
        </w:rPr>
        <w:t>A</w:t>
      </w:r>
      <w:r>
        <w:rPr>
          <w:rFonts w:hint="eastAsia"/>
        </w:rPr>
        <w:t xml:space="preserve"> representing an ASK amplitude in the set {1, 3, ..., 2^</w:t>
      </w:r>
      <w:r>
        <w:rPr>
          <w:rFonts w:hint="eastAsia"/>
          <w:i/>
          <w:iCs/>
        </w:rPr>
        <w:t>m</w:t>
      </w:r>
      <w:r>
        <w:rPr>
          <w:rFonts w:hint="eastAsia"/>
        </w:rPr>
        <w:t xml:space="preserve">-1} and </w:t>
      </w:r>
      <w:r>
        <w:rPr>
          <w:rFonts w:hint="eastAsia"/>
          <w:i/>
          <w:iCs/>
        </w:rPr>
        <w:t xml:space="preserve">m </w:t>
      </w:r>
      <w:r>
        <w:rPr>
          <w:rFonts w:hint="eastAsia"/>
        </w:rPr>
        <w:t xml:space="preserve">is the modulation order of ASK, </w:t>
      </w:r>
      <w:r>
        <w:rPr>
          <w:i/>
          <w:iCs/>
        </w:rPr>
        <w:t>β</w:t>
      </w:r>
      <w:r>
        <w:rPr>
          <w:rFonts w:hint="eastAsia"/>
          <w:i/>
          <w:iCs/>
        </w:rPr>
        <w:t xml:space="preserve"> </w:t>
      </w:r>
      <w:r>
        <w:rPr>
          <w:rFonts w:hint="eastAsia"/>
        </w:rPr>
        <w:t xml:space="preserve">is a normalization factor, and </w:t>
      </w:r>
      <w:r>
        <w:rPr>
          <w:rFonts w:hint="eastAsia"/>
          <w:i/>
          <w:iCs/>
        </w:rPr>
        <w:t>v</w:t>
      </w:r>
      <w:r>
        <w:rPr>
          <w:rFonts w:hint="eastAsia"/>
        </w:rPr>
        <w:t xml:space="preserve"> is a non-negative parameter to adjust the probability distribution and need be optimized. The optimal value of </w:t>
      </w:r>
      <w:r>
        <w:rPr>
          <w:rFonts w:hint="eastAsia"/>
          <w:i/>
          <w:iCs/>
        </w:rPr>
        <w:t>v</w:t>
      </w:r>
      <w:r>
        <w:rPr>
          <w:rFonts w:hint="eastAsia"/>
        </w:rPr>
        <w:t xml:space="preserve"> depends on the target SE and the channel state.</w:t>
      </w:r>
    </w:p>
    <w:p>
      <w:pPr>
        <w:spacing w:before="120" w:after="120"/>
      </w:pPr>
      <w:r>
        <w:rPr>
          <w:rFonts w:hint="eastAsia"/>
        </w:rPr>
        <w:t>T</w:t>
      </w:r>
      <w:r>
        <w:t>here are three aspects need to consider in using CCDM based on arithmetic coding for PAS schemes.</w:t>
      </w:r>
    </w:p>
    <w:p>
      <w:pPr>
        <w:spacing w:before="120" w:after="120"/>
      </w:pPr>
      <w:r>
        <w:rPr>
          <w:u w:val="single"/>
        </w:rPr>
        <w:t>The first aspect</w:t>
      </w:r>
      <w:r>
        <w:t xml:space="preserve"> is that a</w:t>
      </w:r>
      <w:r>
        <w:rPr>
          <w:rFonts w:hint="eastAsia"/>
        </w:rPr>
        <w:t xml:space="preserve">rithmetic coding is inherently a serial process for both encoding and decoding. Thus, the CCDM </w:t>
      </w:r>
      <w:r>
        <w:t xml:space="preserve">algorithm </w:t>
      </w:r>
      <w:r>
        <w:rPr>
          <w:rFonts w:hint="eastAsia"/>
        </w:rPr>
        <w:t>is</w:t>
      </w:r>
      <w:r>
        <w:t xml:space="preserve"> a serial process.</w:t>
      </w:r>
      <w:r>
        <w:rPr>
          <w:rFonts w:hint="eastAsia"/>
        </w:rPr>
        <w:t xml:space="preserve"> Serial process is not good for high throughput applications. Support an integrated circuit with a clock </w:t>
      </w:r>
      <w:r>
        <w:t>frequency</w:t>
      </w:r>
      <w:r>
        <w:rPr>
          <w:rFonts w:hint="eastAsia"/>
        </w:rPr>
        <w:t xml:space="preserve"> of </w:t>
      </w:r>
      <w:r>
        <w:rPr>
          <w:rFonts w:hint="eastAsia"/>
          <w:i/>
          <w:iCs/>
        </w:rPr>
        <w:t>f</w:t>
      </w:r>
      <w:r>
        <w:rPr>
          <w:rFonts w:hint="eastAsia"/>
          <w:vertAlign w:val="subscript"/>
        </w:rPr>
        <w:t>clk</w:t>
      </w:r>
      <w:r>
        <w:rPr>
          <w:rFonts w:hint="eastAsia"/>
        </w:rPr>
        <w:t xml:space="preserve"> Hz. CCDM can only process one ASK symbol in one clock. Thus, if QAM of modulation order </w:t>
      </w:r>
      <w:r>
        <w:rPr>
          <w:rFonts w:hint="eastAsia"/>
          <w:i/>
          <w:iCs/>
        </w:rPr>
        <w:t>Q</w:t>
      </w:r>
      <w:r>
        <w:rPr>
          <w:rFonts w:hint="eastAsia"/>
          <w:vertAlign w:val="subscript"/>
        </w:rPr>
        <w:t xml:space="preserve">m </w:t>
      </w:r>
      <w:r>
        <w:rPr>
          <w:rFonts w:hint="eastAsia"/>
        </w:rPr>
        <w:t>is used, the maximum throughput for PAS is</w:t>
      </w:r>
    </w:p>
    <w:p>
      <w:pPr>
        <w:spacing w:before="120" w:after="120"/>
        <w:jc w:val="center"/>
      </w:pPr>
      <w:r>
        <w:rPr>
          <w:rFonts w:hint="eastAsia"/>
          <w:i/>
          <w:iCs/>
        </w:rPr>
        <w:t>T</w:t>
      </w:r>
      <w:r>
        <w:rPr>
          <w:rFonts w:hint="eastAsia"/>
          <w:vertAlign w:val="subscript"/>
        </w:rPr>
        <w:t>max</w:t>
      </w:r>
      <w:r>
        <w:rPr>
          <w:rFonts w:hint="eastAsia"/>
        </w:rPr>
        <w:t xml:space="preserve"> = (</w:t>
      </w:r>
      <w:r>
        <w:rPr>
          <w:rFonts w:hint="eastAsia"/>
          <w:i/>
          <w:iCs/>
        </w:rPr>
        <w:t>Q</w:t>
      </w:r>
      <w:r>
        <w:rPr>
          <w:rFonts w:hint="eastAsia"/>
          <w:vertAlign w:val="subscript"/>
        </w:rPr>
        <w:t>m</w:t>
      </w:r>
      <w:r>
        <w:rPr>
          <w:rFonts w:hint="eastAsia"/>
        </w:rPr>
        <w:t>/2 - 1)</w:t>
      </w:r>
      <w:r>
        <w:t>·</w:t>
      </w:r>
      <w:r>
        <w:rPr>
          <w:rFonts w:hint="eastAsia"/>
          <w:i/>
          <w:iCs/>
        </w:rPr>
        <w:t>f</w:t>
      </w:r>
      <w:r>
        <w:rPr>
          <w:rFonts w:hint="eastAsia"/>
          <w:vertAlign w:val="subscript"/>
        </w:rPr>
        <w:t>clk</w:t>
      </w:r>
      <w:r>
        <w:rPr>
          <w:rFonts w:hint="eastAsia"/>
        </w:rPr>
        <w:t>.</w:t>
      </w:r>
    </w:p>
    <w:p>
      <w:pPr>
        <w:spacing w:before="120" w:after="120"/>
        <w:rPr>
          <w:highlight w:val="yellow"/>
        </w:rPr>
      </w:pPr>
      <w:r>
        <w:rPr>
          <w:rFonts w:hint="eastAsia"/>
        </w:rPr>
        <w:t xml:space="preserve">In current 3GPP specification, the maximum modulation order is </w:t>
      </w:r>
      <w:r>
        <w:rPr>
          <w:rFonts w:hint="eastAsia"/>
          <w:i/>
          <w:iCs/>
        </w:rPr>
        <w:t>Q</w:t>
      </w:r>
      <w:r>
        <w:rPr>
          <w:rFonts w:hint="eastAsia"/>
          <w:vertAlign w:val="subscript"/>
        </w:rPr>
        <w:t>m</w:t>
      </w:r>
      <w:r>
        <w:rPr>
          <w:rFonts w:hint="eastAsia"/>
        </w:rPr>
        <w:t xml:space="preserve"> = 10 corresponding to 1024QAM. </w:t>
      </w:r>
      <w:r>
        <w:t>In current implementation</w:t>
      </w:r>
      <w:r>
        <w:rPr>
          <w:rFonts w:hint="eastAsia"/>
        </w:rPr>
        <w:t xml:space="preserve">, the typical clock </w:t>
      </w:r>
      <w:r>
        <w:t>frequency</w:t>
      </w:r>
      <w:r>
        <w:rPr>
          <w:rFonts w:hint="eastAsia"/>
        </w:rPr>
        <w:t xml:space="preserve"> for integrated circuits is around 1 GHz. Thus, the maximum achievable throughput is 4 gigabits per second (Gbps), which is far away from the peak data rate (1 to 10 times of 5G NR, i.e., 20 to 20</w:t>
      </w:r>
      <w:r>
        <w:t xml:space="preserve">0 Gbps) discussed in </w:t>
      </w:r>
      <w:r>
        <w:rPr>
          <w:rFonts w:hint="eastAsia"/>
        </w:rPr>
        <w:fldChar w:fldCharType="begin"/>
      </w:r>
      <w:r>
        <w:rPr>
          <w:rFonts w:hint="eastAsia"/>
        </w:rPr>
        <w:instrText xml:space="preserve"> REF _Ref32179 \r \h </w:instrText>
      </w:r>
      <w:r>
        <w:rPr>
          <w:rFonts w:hint="eastAsia"/>
        </w:rPr>
        <w:fldChar w:fldCharType="separate"/>
      </w:r>
      <w:r>
        <w:rPr>
          <w:rFonts w:hint="eastAsia"/>
        </w:rPr>
        <w:t>[15]</w:t>
      </w:r>
      <w:r>
        <w:rPr>
          <w:rFonts w:hint="eastAsia"/>
        </w:rPr>
        <w:fldChar w:fldCharType="end"/>
      </w:r>
      <w:r>
        <w:t>.</w:t>
      </w:r>
    </w:p>
    <w:p>
      <w:pPr>
        <w:spacing w:before="120" w:after="120"/>
      </w:pPr>
      <w:bookmarkStart w:id="184" w:name="_Toc4127"/>
      <w:bookmarkEnd w:id="184"/>
      <w:r>
        <w:rPr>
          <w:u w:val="single"/>
        </w:rPr>
        <w:t>The second aspect</w:t>
      </w:r>
      <w:r>
        <w:t xml:space="preserve"> is that</w:t>
      </w:r>
      <w:r>
        <w:rPr>
          <w:rFonts w:hint="eastAsia"/>
        </w:rPr>
        <w:t xml:space="preserve"> the performance of PAS with CCDM degrades for small TBSs. </w:t>
      </w:r>
      <w:r>
        <w:t>We provide some</w:t>
      </w:r>
      <w:r>
        <w:rPr>
          <w:rFonts w:hint="eastAsia"/>
        </w:rPr>
        <w:t xml:space="preserve"> </w:t>
      </w:r>
      <w:r>
        <w:t>evaluation for</w:t>
      </w:r>
      <w:r>
        <w:rPr>
          <w:rFonts w:hint="eastAsia"/>
        </w:rPr>
        <w:t xml:space="preserve"> PAS schemes with CCDM and legacy QAM schemes for TBS = 24, 48, 104, 240 under MCS 20 of 256QAM </w:t>
      </w:r>
      <w:r>
        <w:rPr>
          <w:rFonts w:hint="eastAsia" w:hAnsi="Cambria Math"/>
        </w:rPr>
        <w:t xml:space="preserve">MCS </w:t>
      </w:r>
      <w:r>
        <w:rPr>
          <w:rFonts w:hint="eastAsia"/>
        </w:rPr>
        <w:t xml:space="preserve">table </w:t>
      </w:r>
      <w:r>
        <w:rPr>
          <w:rFonts w:hint="eastAsia"/>
        </w:rPr>
        <w:fldChar w:fldCharType="begin"/>
      </w:r>
      <w:r>
        <w:rPr>
          <w:rFonts w:hint="eastAsia"/>
        </w:rPr>
        <w:instrText xml:space="preserve"> REF _Ref999 \r \h </w:instrText>
      </w:r>
      <w:r>
        <w:rPr>
          <w:rFonts w:hint="eastAsia"/>
        </w:rPr>
        <w:fldChar w:fldCharType="separate"/>
      </w:r>
      <w:r>
        <w:rPr>
          <w:rFonts w:hint="eastAsia"/>
        </w:rPr>
        <w:t>[10]</w:t>
      </w:r>
      <w:r>
        <w:rPr>
          <w:rFonts w:hint="eastAsia"/>
        </w:rPr>
        <w:fldChar w:fldCharType="end"/>
      </w:r>
      <w:r>
        <w:rPr>
          <w:rFonts w:hint="eastAsia"/>
        </w:rPr>
        <w:t xml:space="preserve"> over AWGN channels. </w:t>
      </w:r>
      <w:r>
        <w:t>We</w:t>
      </w:r>
      <w:r>
        <w:rPr>
          <w:rFonts w:hint="eastAsia"/>
        </w:rPr>
        <w:t xml:space="preserve"> observe that PAS schemes with CCDM is about 3.5 dB, 2.2 dB, 1.6 dB, and 0.25 dB worse than the legacy QAM schemes at BLER = 0.01 for TBS = 24, 48, 104, and 240, respectively.</w:t>
      </w:r>
    </w:p>
    <w:p>
      <w:pPr>
        <w:pStyle w:val="51"/>
        <w:spacing w:before="120" w:after="120"/>
        <w:jc w:val="both"/>
      </w:pPr>
      <w:bookmarkStart w:id="185" w:name="_Toc206178987"/>
      <w:r>
        <w:rPr>
          <w:lang w:val="en-US" w:eastAsia="zh-CN"/>
        </w:rPr>
        <w:t>The following</w:t>
      </w:r>
      <w:r>
        <w:rPr>
          <w:rFonts w:hint="eastAsia"/>
          <w:lang w:val="en-US" w:eastAsia="zh-CN"/>
        </w:rPr>
        <w:t xml:space="preserve"> </w:t>
      </w:r>
      <w:r>
        <w:rPr>
          <w:lang w:val="en-US" w:eastAsia="zh-CN"/>
        </w:rPr>
        <w:t>two aspects should be considered for CCDM algorithm:</w:t>
      </w:r>
      <w:bookmarkEnd w:id="185"/>
    </w:p>
    <w:p>
      <w:pPr>
        <w:pStyle w:val="51"/>
        <w:numPr>
          <w:ilvl w:val="0"/>
          <w:numId w:val="9"/>
        </w:numPr>
        <w:spacing w:before="120" w:after="120"/>
        <w:jc w:val="both"/>
      </w:pPr>
      <w:bookmarkStart w:id="186" w:name="_Toc206178989"/>
      <w:r>
        <w:rPr>
          <w:lang w:val="en-US" w:eastAsia="zh-CN"/>
        </w:rPr>
        <w:t>Serial process for encoding and decoding</w:t>
      </w:r>
      <w:bookmarkEnd w:id="186"/>
    </w:p>
    <w:p>
      <w:pPr>
        <w:pStyle w:val="51"/>
        <w:numPr>
          <w:ilvl w:val="0"/>
          <w:numId w:val="9"/>
        </w:numPr>
        <w:spacing w:before="120" w:after="120"/>
        <w:jc w:val="both"/>
      </w:pPr>
      <w:bookmarkStart w:id="187" w:name="_Toc206178990"/>
      <w:r>
        <w:rPr>
          <w:rFonts w:hint="eastAsia"/>
          <w:lang w:eastAsia="zh-CN"/>
        </w:rPr>
        <w:t>P</w:t>
      </w:r>
      <w:r>
        <w:rPr>
          <w:lang w:eastAsia="zh-CN"/>
        </w:rPr>
        <w:t>erformance loss in small TBSs</w:t>
      </w:r>
      <w:bookmarkEnd w:id="187"/>
    </w:p>
    <w:p>
      <w:pPr>
        <w:spacing w:before="120" w:after="120"/>
        <w:rPr>
          <w:u w:val="single"/>
        </w:rPr>
      </w:pPr>
      <w:r>
        <w:rPr>
          <w:u w:val="single"/>
        </w:rPr>
        <w:t>Analysis#2: (A)ESS and shell mapping algorithm</w:t>
      </w:r>
    </w:p>
    <w:p>
      <w:pPr>
        <w:spacing w:before="120" w:after="120"/>
      </w:pPr>
      <w:r>
        <w:rPr>
          <w:rFonts w:hint="eastAsia"/>
        </w:rPr>
        <w:t xml:space="preserve">For </w:t>
      </w:r>
      <w:r>
        <w:t>other DMs,</w:t>
      </w:r>
      <w:r>
        <w:rPr>
          <w:rFonts w:hint="eastAsia"/>
        </w:rPr>
        <w:t xml:space="preserve"> </w:t>
      </w:r>
      <w:r>
        <w:t xml:space="preserve">such </w:t>
      </w:r>
      <w:r>
        <w:rPr>
          <w:rFonts w:hint="eastAsia"/>
        </w:rPr>
        <w:t xml:space="preserve">(A)ESS or shell mapping, the memory usage is ultra large even though </w:t>
      </w:r>
      <w:r>
        <w:rPr>
          <w:rFonts w:hint="eastAsia" w:hAnsi="Cambria Math"/>
        </w:rPr>
        <w:t>only considering a bandwidth of one resource block</w:t>
      </w:r>
      <w:r>
        <w:rPr>
          <w:rFonts w:hint="eastAsia"/>
        </w:rPr>
        <w:t>. Detailed analysis is as follows.</w:t>
      </w:r>
    </w:p>
    <w:p>
      <w:pPr>
        <w:spacing w:before="120" w:after="120"/>
      </w:pPr>
      <w:r>
        <w:rPr>
          <w:rFonts w:hint="eastAsia"/>
        </w:rPr>
        <w:t>The memory usage in bits for (A)ESS or shell mapping is computed as</w:t>
      </w:r>
    </w:p>
    <w:p>
      <w:pPr>
        <w:spacing w:before="120" w:after="120"/>
      </w:pPr>
      <m:oMathPara>
        <m:oMath>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mem</m:t>
              </m:r>
              <m:ctrlPr>
                <w:rPr>
                  <w:rFonts w:ascii="Cambria Math" w:hAnsi="Cambria Math"/>
                </w:rPr>
              </m:ctrlPr>
            </m:sub>
          </m:sSub>
          <m:r>
            <m:rPr>
              <m:sty m:val="p"/>
            </m:rPr>
            <w:rPr>
              <w:rFonts w:ascii="Cambria Math" w:hAnsi="Cambria Math"/>
            </w:rPr>
            <m:t>=</m:t>
          </m:r>
          <m:r>
            <m:rPr/>
            <w:rPr>
              <w:rFonts w:ascii="Cambria Math" w:hAnsi="Cambria Math"/>
            </w:rPr>
            <m:t>L×</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DM</m:t>
              </m:r>
              <m:ctrlPr>
                <w:rPr>
                  <w:rFonts w:ascii="Cambria Math" w:hAnsi="Cambria Math"/>
                  <w:i/>
                  <w:iCs/>
                </w:rPr>
              </m:ctrlPr>
            </m:sub>
          </m:sSub>
          <m:r>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precision</m:t>
              </m:r>
              <m:ctrlPr>
                <w:rPr>
                  <w:rFonts w:ascii="Cambria Math" w:hAnsi="Cambria Math"/>
                </w:rPr>
              </m:ctrlPr>
            </m:sub>
          </m:sSub>
          <m:r>
            <m:rPr>
              <m:sty m:val="p"/>
            </m:rPr>
            <w:rPr>
              <w:rFonts w:ascii="Cambria Math" w:hAnsi="Cambria Math"/>
            </w:rPr>
            <m:t>,</m:t>
          </m:r>
        </m:oMath>
      </m:oMathPara>
    </w:p>
    <w:p>
      <w:pPr>
        <w:spacing w:before="120" w:after="120"/>
        <w:rPr>
          <w:rFonts w:hAnsi="Cambria Math"/>
        </w:rPr>
      </w:pPr>
      <w:r>
        <w:rPr>
          <w:rFonts w:hint="eastAsia"/>
        </w:rPr>
        <w:t xml:space="preserve">where </w:t>
      </w:r>
      <m:oMath>
        <m:r>
          <m:rPr/>
          <w:rPr>
            <w:rFonts w:ascii="Cambria Math" w:hAnsi="Cambria Math"/>
          </w:rPr>
          <m:t>L</m:t>
        </m:r>
      </m:oMath>
      <w:r>
        <w:rPr>
          <w:rFonts w:hint="eastAsia" w:hAnsi="Cambria Math"/>
        </w:rPr>
        <w:t xml:space="preserve"> is the number of possible power levels of the amplitude sequence of the DM output, </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hAnsi="Cambria Math"/>
        </w:rPr>
        <w:t xml:space="preserve"> is </w:t>
      </w:r>
      <w:r>
        <w:rPr>
          <w:rFonts w:hint="eastAsia"/>
        </w:rPr>
        <w:t xml:space="preserve">the DM block length, </w:t>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precision</m:t>
            </m:r>
            <m:ctrlPr>
              <w:rPr>
                <w:rFonts w:ascii="Cambria Math" w:hAnsi="Cambria Math"/>
              </w:rPr>
            </m:ctrlPr>
          </m:sub>
        </m:sSub>
      </m:oMath>
      <w:r>
        <w:rPr>
          <w:rFonts w:hint="eastAsia" w:hAnsi="Cambria Math"/>
        </w:rPr>
        <w:t xml:space="preserve"> is the computation precision in bits for encoding/decoding. For both </w:t>
      </w:r>
      <w:r>
        <w:rPr>
          <w:rFonts w:hint="eastAsia"/>
        </w:rPr>
        <w:t>(A)ESS and shell mapping</w:t>
      </w:r>
      <w:r>
        <w:rPr>
          <w:rFonts w:hint="eastAsia" w:hAnsi="Cambria Math"/>
        </w:rPr>
        <w:t xml:space="preserve"> combined with 2</w:t>
      </w:r>
      <w:r>
        <w:rPr>
          <w:rFonts w:hAnsi="Cambria Math"/>
          <w:i/>
          <w:iCs/>
          <w:vertAlign w:val="superscript"/>
        </w:rPr>
        <w:t>Q</w:t>
      </w:r>
      <w:r>
        <w:rPr>
          <w:rFonts w:hAnsi="Cambria Math"/>
          <w:vertAlign w:val="superscript"/>
        </w:rPr>
        <w:t>m</w:t>
      </w:r>
      <w:r>
        <w:rPr>
          <w:rFonts w:hint="eastAsia" w:hAnsi="Cambria Math"/>
        </w:rPr>
        <w:t>-QAM, the number of possible power levels</w:t>
      </w:r>
      <w:r>
        <w:rPr>
          <w:rFonts w:hint="eastAsia"/>
        </w:rPr>
        <w:t xml:space="preserve"> </w:t>
      </w:r>
      <m:oMath>
        <m:r>
          <m:rPr/>
          <w:rPr>
            <w:rFonts w:ascii="Cambria Math" w:hAnsi="Cambria Math"/>
          </w:rPr>
          <m:t>L</m:t>
        </m:r>
      </m:oMath>
      <w:r>
        <w:rPr>
          <w:rFonts w:hint="eastAsia" w:hAnsi="Cambria Math"/>
        </w:rPr>
        <w:t xml:space="preserve"> is computed as</w:t>
      </w:r>
    </w:p>
    <w:p>
      <w:pPr>
        <w:spacing w:before="120" w:after="120"/>
        <w:jc w:val="center"/>
        <w:rPr>
          <w:rFonts w:hAnsi="Cambria Math"/>
        </w:rPr>
      </w:pPr>
      <m:oMath>
        <m:r>
          <m:rPr/>
          <w:rPr>
            <w:rFonts w:ascii="Cambria Math" w:hAnsi="Cambria Math"/>
          </w:rPr>
          <m:t>L=</m:t>
        </m:r>
        <m:f>
          <m:fPr>
            <m:ctrlPr>
              <w:rPr>
                <w:rFonts w:ascii="Cambria Math" w:hAnsi="Cambria Math"/>
                <w:i/>
              </w:rPr>
            </m:ctrlPr>
          </m:fPr>
          <m:num>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DM</m:t>
                </m:r>
                <m:ctrlPr>
                  <w:rPr>
                    <w:rFonts w:ascii="Cambria Math" w:hAnsi="Cambria Math"/>
                    <w:i/>
                    <w:iCs/>
                  </w:rPr>
                </m:ctrlPr>
              </m:sub>
            </m:sSub>
            <m:r>
              <m:rPr/>
              <w:rPr>
                <w:rFonts w:ascii="Cambria Math" w:hAnsi="Cambria Math"/>
              </w:rPr>
              <m:t>×</m:t>
            </m:r>
            <m:sSubSup>
              <m:sSubSupPr>
                <m:ctrlPr>
                  <w:rPr>
                    <w:rFonts w:ascii="Cambria Math" w:hAnsi="Cambria Math"/>
                    <w:i/>
                    <w:iCs/>
                  </w:rPr>
                </m:ctrlPr>
              </m:sSubSupPr>
              <m:e>
                <m:r>
                  <m:rPr/>
                  <w:rPr>
                    <w:rFonts w:ascii="Cambria Math" w:hAnsi="Cambria Math"/>
                  </w:rPr>
                  <m:t>A</m:t>
                </m:r>
                <m:ctrlPr>
                  <w:rPr>
                    <w:rFonts w:ascii="Cambria Math" w:hAnsi="Cambria Math"/>
                    <w:i/>
                    <w:iCs/>
                  </w:rPr>
                </m:ctrlPr>
              </m:e>
              <m:sub>
                <m:r>
                  <m:rPr>
                    <m:sty m:val="p"/>
                  </m:rPr>
                  <w:rPr>
                    <w:rFonts w:ascii="Cambria Math" w:hAnsi="Cambria Math"/>
                  </w:rPr>
                  <m:t>max</m:t>
                </m:r>
                <m:ctrlPr>
                  <w:rPr>
                    <w:rFonts w:ascii="Cambria Math" w:hAnsi="Cambria Math"/>
                    <w:i/>
                    <w:iCs/>
                  </w:rPr>
                </m:ctrlPr>
              </m:sub>
              <m:sup>
                <m:r>
                  <m:rPr/>
                  <w:rPr>
                    <w:rFonts w:ascii="Cambria Math" w:hAnsi="Cambria Math"/>
                  </w:rPr>
                  <m:t>2</m:t>
                </m:r>
                <m:ctrlPr>
                  <w:rPr>
                    <w:rFonts w:ascii="Cambria Math" w:hAnsi="Cambria Math"/>
                    <w:i/>
                    <w:iCs/>
                  </w:rPr>
                </m:ctrlPr>
              </m:sup>
            </m:sSubSup>
            <m:r>
              <m:rPr/>
              <w:rPr>
                <w:rFonts w:ascii="Cambria Math" w:hAnsi="Cambria Math"/>
              </w:rPr>
              <m:t>−</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DM</m:t>
                </m:r>
                <m:ctrlPr>
                  <w:rPr>
                    <w:rFonts w:ascii="Cambria Math" w:hAnsi="Cambria Math"/>
                    <w:i/>
                    <w:iCs/>
                  </w:rPr>
                </m:ctrlPr>
              </m:sub>
            </m:sSub>
            <m:r>
              <m:rPr/>
              <w:rPr>
                <w:rFonts w:ascii="Cambria Math" w:hAnsi="Cambria Math"/>
              </w:rPr>
              <m:t>×</m:t>
            </m:r>
            <m:sSubSup>
              <m:sSubSupPr>
                <m:ctrlPr>
                  <w:rPr>
                    <w:rFonts w:ascii="Cambria Math" w:hAnsi="Cambria Math"/>
                    <w:i/>
                    <w:iCs/>
                  </w:rPr>
                </m:ctrlPr>
              </m:sSubSupPr>
              <m:e>
                <m:r>
                  <m:rPr/>
                  <w:rPr>
                    <w:rFonts w:ascii="Cambria Math" w:hAnsi="Cambria Math"/>
                  </w:rPr>
                  <m:t>A</m:t>
                </m:r>
                <m:ctrlPr>
                  <w:rPr>
                    <w:rFonts w:ascii="Cambria Math" w:hAnsi="Cambria Math"/>
                    <w:i/>
                    <w:iCs/>
                  </w:rPr>
                </m:ctrlPr>
              </m:e>
              <m:sub>
                <m:r>
                  <m:rPr>
                    <m:sty m:val="p"/>
                  </m:rPr>
                  <w:rPr>
                    <w:rFonts w:ascii="Cambria Math" w:hAnsi="Cambria Math"/>
                  </w:rPr>
                  <m:t>min</m:t>
                </m:r>
                <m:ctrlPr>
                  <w:rPr>
                    <w:rFonts w:ascii="Cambria Math" w:hAnsi="Cambria Math"/>
                    <w:i/>
                    <w:iCs/>
                  </w:rPr>
                </m:ctrlPr>
              </m:sub>
              <m:sup>
                <m:r>
                  <m:rPr/>
                  <w:rPr>
                    <w:rFonts w:ascii="Cambria Math" w:hAnsi="Cambria Math"/>
                  </w:rPr>
                  <m:t>2</m:t>
                </m:r>
                <m:ctrlPr>
                  <w:rPr>
                    <w:rFonts w:ascii="Cambria Math" w:hAnsi="Cambria Math"/>
                    <w:i/>
                    <w:iCs/>
                  </w:rPr>
                </m:ctrlPr>
              </m:sup>
            </m:sSubSup>
            <m:ctrlPr>
              <w:rPr>
                <w:rFonts w:ascii="Cambria Math" w:hAnsi="Cambria Math"/>
                <w:i/>
              </w:rPr>
            </m:ctrlPr>
          </m:num>
          <m:den>
            <m:r>
              <m:rPr/>
              <w:rPr>
                <w:rFonts w:ascii="Cambria Math" w:hAnsi="Cambria Math"/>
              </w:rPr>
              <m:t>8</m:t>
            </m:r>
            <m:ctrlPr>
              <w:rPr>
                <w:rFonts w:ascii="Cambria Math" w:hAnsi="Cambria Math"/>
                <w:i/>
              </w:rPr>
            </m:ctrlPr>
          </m:den>
        </m:f>
        <m:r>
          <m:rPr/>
          <w:rPr>
            <w:rFonts w:ascii="Cambria Math" w:hAnsi="Cambria Math"/>
          </w:rPr>
          <m:t>=</m:t>
        </m:r>
        <m:f>
          <m:fPr>
            <m:ctrlPr>
              <w:rPr>
                <w:rFonts w:ascii="Cambria Math" w:hAnsi="Cambria Math"/>
              </w:rPr>
            </m:ctrlPr>
          </m:fPr>
          <m:num>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DM</m:t>
                </m:r>
                <m:ctrlPr>
                  <w:rPr>
                    <w:rFonts w:ascii="Cambria Math" w:hAnsi="Cambria Math"/>
                    <w:i/>
                    <w:iCs/>
                  </w:rPr>
                </m:ctrlPr>
              </m:sub>
            </m:sSub>
            <m:r>
              <m:rPr/>
              <w:rPr>
                <w:rFonts w:ascii="Cambria Math" w:hAnsi="Cambria Math"/>
              </w:rPr>
              <m:t>×</m:t>
            </m:r>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Q</m:t>
                </m:r>
                <m:r>
                  <m:rPr>
                    <m:sty m:val="p"/>
                  </m:rPr>
                  <w:rPr>
                    <w:rFonts w:hint="eastAsia" w:ascii="Cambria Math" w:hAnsi="Cambria Math"/>
                  </w:rPr>
                  <m:t>m/</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Q</m:t>
                    </m:r>
                    <m:r>
                      <m:rPr>
                        <m:sty m:val="p"/>
                      </m:rPr>
                      <w:rPr>
                        <w:rFonts w:hint="eastAsia" w:ascii="Cambria Math" w:hAnsi="Cambria Math"/>
                      </w:rPr>
                      <m:t>m/</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oMath>
      <w:r>
        <w:rPr>
          <w:rFonts w:hint="eastAsia" w:hAnsi="Cambria Math"/>
        </w:rPr>
        <w:t>,</w:t>
      </w:r>
    </w:p>
    <w:p>
      <w:pPr>
        <w:spacing w:before="120" w:after="120"/>
        <w:rPr>
          <w:rFonts w:hAnsi="Cambria Math"/>
        </w:rPr>
      </w:pPr>
      <w:r>
        <w:rPr>
          <w:rFonts w:hint="eastAsia" w:hAnsi="Cambria Math"/>
        </w:rPr>
        <w:t xml:space="preserve">where </w:t>
      </w:r>
      <m:oMath>
        <m:sSub>
          <m:sSubPr>
            <m:ctrlPr>
              <w:rPr>
                <w:rFonts w:ascii="Cambria Math" w:hAnsi="Cambria Math"/>
              </w:rPr>
            </m:ctrlPr>
          </m:sSubPr>
          <m:e>
            <m:r>
              <m:rPr/>
              <w:rPr>
                <w:rFonts w:ascii="Cambria Math" w:hAnsi="Cambria Math"/>
              </w:rPr>
              <m:t>A</m:t>
            </m:r>
            <m:ctrlPr>
              <w:rPr>
                <w:rFonts w:ascii="Cambria Math" w:hAnsi="Cambria Math"/>
              </w:rPr>
            </m:ctrlPr>
          </m:e>
          <m:sub>
            <m:r>
              <m:rPr>
                <m:sty m:val="p"/>
              </m:rPr>
              <w:rPr>
                <w:rFonts w:ascii="Cambria Math" w:hAnsi="Cambria Math"/>
              </w:rPr>
              <m:t>max</m:t>
            </m:r>
            <m:ctrlPr>
              <w:rPr>
                <w:rFonts w:ascii="Cambria Math" w:hAnsi="Cambria Math"/>
              </w:rPr>
            </m:ctrlP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Q</m:t>
            </m:r>
            <m:r>
              <m:rPr>
                <m:sty m:val="p"/>
              </m:rPr>
              <w:rPr>
                <w:rFonts w:hint="eastAsia" w:ascii="Cambria Math" w:hAnsi="Cambria Math"/>
              </w:rPr>
              <m:t>m/</m:t>
            </m:r>
            <m:r>
              <m:rPr>
                <m:sty m:val="p"/>
              </m:rPr>
              <w:rPr>
                <w:rFonts w:ascii="Cambria Math" w:hAnsi="Cambria Math"/>
              </w:rPr>
              <m:t>2</m:t>
            </m:r>
            <m:ctrlPr>
              <w:rPr>
                <w:rFonts w:ascii="Cambria Math" w:hAnsi="Cambria Math"/>
              </w:rPr>
            </m:ctrlPr>
          </m:sup>
        </m:sSup>
        <m:r>
          <m:rPr>
            <m:sty m:val="p"/>
          </m:rPr>
          <w:rPr>
            <w:rFonts w:ascii="Cambria Math" w:hAnsi="Cambria Math"/>
          </w:rPr>
          <m:t>−1</m:t>
        </m:r>
      </m:oMath>
      <w:r>
        <w:rPr>
          <w:rFonts w:hint="eastAsia" w:hAnsi="Cambria Math"/>
        </w:rPr>
        <w:t xml:space="preserve"> and </w:t>
      </w:r>
      <m:oMath>
        <m:sSub>
          <m:sSubPr>
            <m:ctrlPr>
              <w:rPr>
                <w:rFonts w:ascii="Cambria Math" w:hAnsi="Cambria Math"/>
              </w:rPr>
            </m:ctrlPr>
          </m:sSubPr>
          <m:e>
            <m:r>
              <m:rPr/>
              <w:rPr>
                <w:rFonts w:ascii="Cambria Math" w:hAnsi="Cambria Math"/>
              </w:rPr>
              <m:t>A</m:t>
            </m:r>
            <m:ctrlPr>
              <w:rPr>
                <w:rFonts w:ascii="Cambria Math" w:hAnsi="Cambria Math"/>
              </w:rPr>
            </m:ctrlPr>
          </m:e>
          <m:sub>
            <m:r>
              <m:rPr>
                <m:sty m:val="p"/>
              </m:rPr>
              <w:rPr>
                <w:rFonts w:ascii="Cambria Math" w:hAnsi="Cambria Math"/>
              </w:rPr>
              <m:t>min</m:t>
            </m:r>
            <m:ctrlPr>
              <w:rPr>
                <w:rFonts w:ascii="Cambria Math" w:hAnsi="Cambria Math"/>
              </w:rPr>
            </m:ctrlPr>
          </m:sub>
        </m:sSub>
        <m:r>
          <m:rPr>
            <m:sty m:val="p"/>
          </m:rPr>
          <w:rPr>
            <w:rFonts w:ascii="Cambria Math" w:hAnsi="Cambria Math"/>
          </w:rPr>
          <m:t>=1</m:t>
        </m:r>
      </m:oMath>
      <w:r>
        <w:rPr>
          <w:rFonts w:hint="eastAsia" w:hAnsi="Cambria Math"/>
        </w:rPr>
        <w:t xml:space="preserve"> are the maximum amplitude and the minimum amplitude in the DM output, re</w:t>
      </w:r>
      <w:r>
        <w:rPr>
          <w:rFonts w:hAnsi="Cambria Math"/>
        </w:rPr>
        <w:t>s</w:t>
      </w:r>
      <w:r>
        <w:rPr>
          <w:rFonts w:hint="eastAsia" w:hAnsi="Cambria Math"/>
        </w:rPr>
        <w:t xml:space="preserve">pectively. However, the computation precision </w:t>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precision</m:t>
            </m:r>
            <m:ctrlPr>
              <w:rPr>
                <w:rFonts w:ascii="Cambria Math" w:hAnsi="Cambria Math"/>
              </w:rPr>
            </m:ctrlPr>
          </m:sub>
        </m:sSub>
      </m:oMath>
      <w:r>
        <w:rPr>
          <w:rFonts w:hint="eastAsia" w:hAnsi="Cambria Math"/>
        </w:rPr>
        <w:t xml:space="preserve"> of (A)ESS</w:t>
      </w:r>
      <w:r>
        <w:rPr>
          <w:rFonts w:hint="eastAsia"/>
        </w:rPr>
        <w:t xml:space="preserve"> are </w:t>
      </w:r>
      <w:r>
        <w:rPr>
          <w:rFonts w:hint="eastAsia" w:hAnsi="Cambria Math"/>
        </w:rPr>
        <w:t>different from that of</w:t>
      </w:r>
      <w:r>
        <w:rPr>
          <w:rFonts w:hint="eastAsia"/>
        </w:rPr>
        <w:t xml:space="preserve"> shell mapping. For (A)ESS, </w:t>
      </w:r>
      <w:r>
        <w:rPr>
          <w:rFonts w:hint="eastAsia" w:hAnsi="Cambria Math"/>
        </w:rPr>
        <w:t xml:space="preserve">the typical value for </w:t>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precision</m:t>
            </m:r>
            <m:ctrlPr>
              <w:rPr>
                <w:rFonts w:ascii="Cambria Math" w:hAnsi="Cambria Math"/>
              </w:rPr>
            </m:ctrlPr>
          </m:sub>
        </m:sSub>
      </m:oMath>
      <w:r>
        <w:rPr>
          <w:rFonts w:hint="eastAsia" w:hAnsi="Cambria Math"/>
        </w:rPr>
        <w:t xml:space="preserve"> is 20 </w:t>
      </w:r>
      <w:r>
        <w:rPr>
          <w:rFonts w:hint="eastAsia" w:hAnsi="Cambria Math"/>
        </w:rPr>
        <w:fldChar w:fldCharType="begin"/>
      </w:r>
      <w:r>
        <w:rPr>
          <w:rFonts w:hint="eastAsia" w:hAnsi="Cambria Math"/>
        </w:rPr>
        <w:instrText xml:space="preserve"> REF _Ref30671 \r \h </w:instrText>
      </w:r>
      <w:r>
        <w:rPr>
          <w:rFonts w:hint="eastAsia" w:hAnsi="Cambria Math"/>
        </w:rPr>
        <w:fldChar w:fldCharType="separate"/>
      </w:r>
      <w:r>
        <w:rPr>
          <w:rFonts w:hint="eastAsia" w:hAnsi="Cambria Math"/>
        </w:rPr>
        <w:t>[14]</w:t>
      </w:r>
      <w:r>
        <w:rPr>
          <w:rFonts w:hint="eastAsia" w:hAnsi="Cambria Math"/>
        </w:rPr>
        <w:fldChar w:fldCharType="end"/>
      </w:r>
      <w:r>
        <w:rPr>
          <w:rFonts w:hint="eastAsia"/>
        </w:rPr>
        <w:t xml:space="preserve">. For shell mapping, </w:t>
      </w:r>
      <w:r>
        <w:rPr>
          <w:rFonts w:hint="eastAsia" w:hAnsi="Cambria Math"/>
        </w:rPr>
        <w:t xml:space="preserve">the value </w:t>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precision</m:t>
            </m:r>
            <m:ctrlPr>
              <w:rPr>
                <w:rFonts w:ascii="Cambria Math" w:hAnsi="Cambria Math"/>
              </w:rPr>
            </m:ctrlPr>
          </m:sub>
        </m:sSub>
      </m:oMath>
      <w:r>
        <w:rPr>
          <w:rFonts w:hint="eastAsia" w:hAnsi="Cambria Math"/>
        </w:rPr>
        <w:t xml:space="preserve"> depends on </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hAnsi="Cambria Math"/>
        </w:rPr>
        <w:t xml:space="preserve"> and </w:t>
      </w:r>
      <w:r>
        <w:rPr>
          <w:rFonts w:hAnsi="Cambria Math"/>
          <w:i/>
          <w:iCs/>
        </w:rPr>
        <w:t>Q</w:t>
      </w:r>
      <w:r>
        <w:rPr>
          <w:rFonts w:hAnsi="Cambria Math"/>
          <w:vertAlign w:val="subscript"/>
        </w:rPr>
        <w:t>m</w:t>
      </w:r>
      <w:r>
        <w:rPr>
          <w:rFonts w:hint="eastAsia" w:hAnsi="Cambria Math"/>
          <w:vertAlign w:val="subscript"/>
        </w:rPr>
        <w:t xml:space="preserve"> </w:t>
      </w:r>
      <w:r>
        <w:rPr>
          <w:rFonts w:hAnsi="Cambria Math"/>
        </w:rPr>
        <w:t>as</w:t>
      </w:r>
      <w:r>
        <w:rPr>
          <w:rFonts w:hint="eastAsia" w:hAnsi="Cambria Math"/>
        </w:rPr>
        <w:t xml:space="preserve"> </w:t>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precision</m:t>
            </m:r>
            <m:ctrlPr>
              <w:rPr>
                <w:rFonts w:ascii="Cambria Math" w:hAnsi="Cambria Math"/>
              </w:rPr>
            </m:ctrlPr>
          </m:sub>
        </m:sSub>
        <m:r>
          <m:rPr>
            <m:sty m:val="p"/>
          </m:rPr>
          <w:rPr>
            <w:rFonts w:ascii="Cambria Math" w:hAnsi="Cambria Math"/>
          </w:rPr>
          <m:t>=</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DM</m:t>
            </m:r>
            <m:ctrlPr>
              <w:rPr>
                <w:rFonts w:ascii="Cambria Math" w:hAnsi="Cambria Math"/>
                <w:i/>
                <w:iCs/>
              </w:rPr>
            </m:ctrlP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Q</m:t>
                </m:r>
                <m:ctrlPr>
                  <w:rPr>
                    <w:rFonts w:ascii="Cambria Math" w:hAnsi="Cambria Math"/>
                  </w:rPr>
                </m:ctrlPr>
              </m:e>
              <m:sub>
                <m:r>
                  <m:rPr>
                    <m:sty m:val="p"/>
                  </m:rPr>
                  <w:rPr>
                    <w:rFonts w:ascii="Cambria Math" w:hAnsi="Cambria Math"/>
                  </w:rPr>
                  <m:t>m</m:t>
                </m:r>
                <m:ctrlPr>
                  <w:rPr>
                    <w:rFonts w:ascii="Cambria Math" w:hAnsi="Cambria Math"/>
                  </w:rPr>
                </m:ctrlPr>
              </m:sub>
            </m:sSub>
            <m:r>
              <m:rPr>
                <m:sty m:val="p"/>
              </m:rPr>
              <w:rPr>
                <w:rFonts w:ascii="Cambria Math" w:hAnsi="Cambria Math"/>
              </w:rPr>
              <m:t>/2−1</m:t>
            </m:r>
            <m:ctrlPr>
              <w:rPr>
                <w:rFonts w:ascii="Cambria Math" w:hAnsi="Cambria Math"/>
              </w:rPr>
            </m:ctrlPr>
          </m:e>
        </m:d>
      </m:oMath>
      <w:r>
        <w:rPr>
          <w:rFonts w:hint="eastAsia" w:hAnsi="Cambria Math"/>
        </w:rPr>
        <w:t xml:space="preserve">, where </w:t>
      </w:r>
      <m:oMath>
        <m:sSub>
          <m:sSubPr>
            <m:ctrlPr>
              <w:rPr>
                <w:rFonts w:ascii="Cambria Math" w:hAnsi="Cambria Math"/>
              </w:rPr>
            </m:ctrlPr>
          </m:sSubPr>
          <m:e>
            <m:r>
              <m:rPr/>
              <w:rPr>
                <w:rFonts w:ascii="Cambria Math" w:hAnsi="Cambria Math"/>
              </w:rPr>
              <m:t>Q</m:t>
            </m:r>
            <m:ctrlPr>
              <w:rPr>
                <w:rFonts w:ascii="Cambria Math" w:hAnsi="Cambria Math"/>
              </w:rPr>
            </m:ctrlPr>
          </m:e>
          <m:sub>
            <m:r>
              <m:rPr>
                <m:sty m:val="p"/>
              </m:rPr>
              <w:rPr>
                <w:rFonts w:ascii="Cambria Math" w:hAnsi="Cambria Math"/>
              </w:rPr>
              <m:t>m</m:t>
            </m:r>
            <m:ctrlPr>
              <w:rPr>
                <w:rFonts w:ascii="Cambria Math" w:hAnsi="Cambria Math"/>
              </w:rPr>
            </m:ctrlPr>
          </m:sub>
        </m:sSub>
        <m:r>
          <m:rPr>
            <m:sty m:val="p"/>
          </m:rPr>
          <w:rPr>
            <w:rFonts w:ascii="Cambria Math" w:hAnsi="Cambria Math"/>
          </w:rPr>
          <m:t>/2−1</m:t>
        </m:r>
      </m:oMath>
      <w:r>
        <w:rPr>
          <w:rFonts w:hint="eastAsia" w:hAnsi="Cambria Math"/>
        </w:rPr>
        <w:t xml:space="preserve"> is the number of bits corresponding to an amplitude and </w:t>
      </w:r>
      <m:oMath>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DM</m:t>
            </m:r>
            <m:ctrlPr>
              <w:rPr>
                <w:rFonts w:ascii="Cambria Math" w:hAnsi="Cambria Math"/>
                <w:i/>
                <w:iCs/>
              </w:rPr>
            </m:ctrlP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Q</m:t>
                </m:r>
                <m:ctrlPr>
                  <w:rPr>
                    <w:rFonts w:ascii="Cambria Math" w:hAnsi="Cambria Math"/>
                  </w:rPr>
                </m:ctrlPr>
              </m:e>
              <m:sub>
                <m:r>
                  <m:rPr>
                    <m:sty m:val="p"/>
                  </m:rPr>
                  <w:rPr>
                    <w:rFonts w:ascii="Cambria Math" w:hAnsi="Cambria Math"/>
                  </w:rPr>
                  <m:t>m</m:t>
                </m:r>
                <m:ctrlPr>
                  <w:rPr>
                    <w:rFonts w:ascii="Cambria Math" w:hAnsi="Cambria Math"/>
                  </w:rPr>
                </m:ctrlPr>
              </m:sub>
            </m:sSub>
            <m:r>
              <m:rPr>
                <m:sty m:val="p"/>
              </m:rPr>
              <w:rPr>
                <w:rFonts w:ascii="Cambria Math" w:hAnsi="Cambria Math"/>
              </w:rPr>
              <m:t>/2−1</m:t>
            </m:r>
            <m:ctrlPr>
              <w:rPr>
                <w:rFonts w:ascii="Cambria Math" w:hAnsi="Cambria Math"/>
              </w:rPr>
            </m:ctrlPr>
          </m:e>
        </m:d>
      </m:oMath>
      <w:r>
        <w:rPr>
          <w:rFonts w:hint="eastAsia" w:hAnsi="Cambria Math"/>
        </w:rPr>
        <w:t xml:space="preserve"> is the maximum number of data bits input to a DM block.</w:t>
      </w:r>
    </w:p>
    <w:p>
      <w:pPr>
        <w:spacing w:before="120" w:after="120"/>
      </w:pPr>
      <w:r>
        <w:rPr>
          <w:rFonts w:hAnsi="Cambria Math"/>
        </w:rPr>
        <w:t>Assuming</w:t>
      </w:r>
      <w:r>
        <w:rPr>
          <w:rFonts w:hint="eastAsia" w:hAnsi="Cambria Math"/>
        </w:rPr>
        <w:t xml:space="preserve"> </w:t>
      </w:r>
      <w:r>
        <w:rPr>
          <w:rFonts w:hAnsi="Cambria Math"/>
        </w:rPr>
        <w:t>a transport block occupies</w:t>
      </w:r>
      <w:r>
        <w:rPr>
          <w:rFonts w:hint="eastAsia" w:hAnsi="Cambria Math"/>
        </w:rPr>
        <w:t xml:space="preserve"> </w:t>
      </w:r>
      <w:r>
        <w:rPr>
          <w:rFonts w:hAnsi="Cambria Math"/>
        </w:rPr>
        <w:t xml:space="preserve">certain </w:t>
      </w:r>
      <w:r>
        <w:rPr>
          <w:rFonts w:hint="eastAsia" w:hAnsi="Cambria Math"/>
        </w:rPr>
        <w:t>number of OFDM symbols (ranging from 2 to 14) in one slot using</w:t>
      </w:r>
      <w:r>
        <w:rPr>
          <w:rFonts w:hAnsi="Cambria Math"/>
        </w:rPr>
        <w:t xml:space="preserve"> </w:t>
      </w:r>
      <w:r>
        <w:rPr>
          <w:rFonts w:hint="eastAsia" w:hAnsi="Cambria Math"/>
        </w:rPr>
        <w:t>one resource block</w:t>
      </w:r>
      <w:r>
        <w:rPr>
          <w:rFonts w:hAnsi="Cambria Math"/>
        </w:rPr>
        <w:t xml:space="preserve">, </w:t>
      </w:r>
      <w:r>
        <w:rPr>
          <w:rFonts w:hint="eastAsia"/>
        </w:rPr>
        <w:t xml:space="preserve">the memory usage in bits is summed over all possible </w:t>
      </w:r>
      <w:r>
        <w:rPr>
          <w:rFonts w:hint="eastAsia" w:hAnsi="Cambria Math"/>
        </w:rPr>
        <w:t xml:space="preserve">modulation order </w:t>
      </w:r>
      <w:r>
        <w:rPr>
          <w:rFonts w:hAnsi="Cambria Math"/>
          <w:i/>
          <w:iCs/>
        </w:rPr>
        <w:t>Q</w:t>
      </w:r>
      <w:r>
        <w:rPr>
          <w:rFonts w:hAnsi="Cambria Math"/>
          <w:vertAlign w:val="subscript"/>
        </w:rPr>
        <w:t>m</w:t>
      </w:r>
      <w:r>
        <w:rPr>
          <w:rFonts w:hint="eastAsia" w:hAnsi="Cambria Math"/>
        </w:rPr>
        <w:t xml:space="preserve"> under the maximum DM block length </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r>
              <m:rPr>
                <m:sty m:val="p"/>
              </m:rPr>
              <w:rPr>
                <w:rFonts w:ascii="Cambria Math" w:hAnsi="Cambria Math"/>
              </w:rPr>
              <m:t>,max</m:t>
            </m:r>
            <m:ctrlPr>
              <w:rPr>
                <w:rFonts w:hint="eastAsia" w:ascii="Cambria Math" w:hAnsi="Cambria Math"/>
              </w:rPr>
            </m:ctrlPr>
          </m:sub>
        </m:sSub>
        <m:r>
          <m:rPr>
            <m:sty m:val="p"/>
          </m:rPr>
          <w:rPr>
            <w:rFonts w:ascii="Cambria Math" w:hAnsi="Cambria Math"/>
          </w:rPr>
          <m:t>=24×14=336</m:t>
        </m:r>
      </m:oMath>
      <w:r>
        <w:rPr>
          <w:rFonts w:hint="eastAsia" w:hAnsi="Cambria Math"/>
        </w:rPr>
        <w:t>, where 24 is the number of amplitudes in one OFDM symbol of a resource block and 14 is the maximum number of OFDM symbols in a slot.</w:t>
      </w:r>
      <w:r>
        <w:rPr>
          <w:rFonts w:hAnsi="Cambria Math"/>
        </w:rPr>
        <w:t xml:space="preserve"> F</w:t>
      </w:r>
      <w:r>
        <w:rPr>
          <w:rFonts w:hint="eastAsia"/>
        </w:rPr>
        <w:t>or (A)ESS</w:t>
      </w:r>
      <w:r>
        <w:t xml:space="preserve">, </w:t>
      </w:r>
      <w:r>
        <w:rPr>
          <w:rFonts w:hint="eastAsia" w:hAnsi="Cambria Math"/>
        </w:rPr>
        <w:t xml:space="preserve">the total </w:t>
      </w:r>
      <w:r>
        <w:rPr>
          <w:rFonts w:hint="eastAsia"/>
        </w:rPr>
        <w:t>memory usage in bits</w:t>
      </w:r>
      <w:r>
        <w:t xml:space="preserve"> </w:t>
      </w:r>
      <w:r>
        <w:rPr>
          <w:rFonts w:hint="eastAsia"/>
        </w:rPr>
        <w:t>summed over modulation orders 4, 6, and 8</w:t>
      </w:r>
      <w:r>
        <w:rPr>
          <w:rFonts w:hint="eastAsia" w:hAnsi="Cambria Math"/>
        </w:rPr>
        <w:t xml:space="preserve"> </w:t>
      </w:r>
      <w:r>
        <w:rPr>
          <w:rFonts w:hint="eastAsia"/>
        </w:rPr>
        <w:t>is</w:t>
      </w:r>
    </w:p>
    <w:p>
      <w:pPr>
        <w:spacing w:before="120" w:after="120"/>
        <w:rPr>
          <w:rFonts w:hAnsi="Cambria Math"/>
        </w:rPr>
      </w:pPr>
      <m:oMathPara>
        <m:oMath>
          <m:sSubSup>
            <m:sSubSupPr>
              <m:ctrlPr>
                <w:rPr>
                  <w:rFonts w:ascii="Cambria Math" w:hAnsi="Cambria Math"/>
                  <w:i/>
                </w:rPr>
              </m:ctrlPr>
            </m:sSubSupPr>
            <m:e>
              <m:r>
                <m:rPr/>
                <w:rPr>
                  <w:rFonts w:ascii="Cambria Math" w:hAnsi="Cambria Math"/>
                </w:rPr>
                <m:t>N</m:t>
              </m:r>
              <m:ctrlPr>
                <w:rPr>
                  <w:rFonts w:ascii="Cambria Math" w:hAnsi="Cambria Math"/>
                  <w:i/>
                </w:rPr>
              </m:ctrlPr>
            </m:e>
            <m:sub>
              <m:r>
                <m:rPr>
                  <m:sty m:val="p"/>
                </m:rPr>
                <w:rPr>
                  <w:rFonts w:ascii="Cambria Math" w:hAnsi="Cambria Math"/>
                </w:rPr>
                <m:t>mem,(A)ESS</m:t>
              </m:r>
              <m:ctrlPr>
                <w:rPr>
                  <w:rFonts w:ascii="Cambria Math" w:hAnsi="Cambria Math"/>
                  <w:i/>
                </w:rPr>
              </m:ctrlPr>
            </m:sub>
            <m:sup>
              <m:r>
                <m:rPr>
                  <m:sty m:val="p"/>
                </m:rPr>
                <w:rPr>
                  <w:rFonts w:ascii="Cambria Math" w:hAnsi="Cambria Math"/>
                </w:rPr>
                <m:t>total</m:t>
              </m:r>
              <m:ctrlPr>
                <w:rPr>
                  <w:rFonts w:ascii="Cambria Math" w:hAnsi="Cambria Math"/>
                  <w:i/>
                </w:rPr>
              </m:ctrlPr>
            </m:sup>
          </m:sSubSup>
          <m:r>
            <m:rPr>
              <m:sty m:val="p"/>
            </m:rPr>
            <w:rPr>
              <w:rFonts w:ascii="Cambria Math" w:hAnsi="Cambria Math"/>
            </w:rPr>
            <m:t>=</m:t>
          </m:r>
          <m:f>
            <m:fPr>
              <m:ctrlPr>
                <w:rPr>
                  <w:rFonts w:ascii="Cambria Math" w:hAnsi="Cambria Math"/>
                </w:rPr>
              </m:ctrlPr>
            </m:fPr>
            <m:num>
              <m:r>
                <m:rPr>
                  <m:sty m:val="p"/>
                </m:rPr>
                <w:rPr>
                  <w:rFonts w:ascii="Cambria Math" w:hAnsi="Cambria Math"/>
                </w:rPr>
                <m:t>336×</m:t>
              </m:r>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4</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4</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r>
            <m:rPr>
              <m:sty m:val="p"/>
            </m:rPr>
            <w:rPr>
              <w:rFonts w:ascii="Cambria Math" w:hAnsi="Cambria Math"/>
            </w:rPr>
            <m:t>×336</m:t>
          </m:r>
          <m:r>
            <m:rPr/>
            <w:rPr>
              <w:rFonts w:ascii="Cambria Math" w:hAnsi="Cambria Math"/>
            </w:rPr>
            <m:t>×</m:t>
          </m:r>
          <m:r>
            <m:rPr>
              <m:sty m:val="p"/>
            </m:rPr>
            <w:rPr>
              <w:rFonts w:ascii="Cambria Math" w:hAnsi="Cambria Math"/>
            </w:rPr>
            <m:t>20+</m:t>
          </m:r>
          <m:f>
            <m:fPr>
              <m:ctrlPr>
                <w:rPr>
                  <w:rFonts w:ascii="Cambria Math" w:hAnsi="Cambria Math"/>
                </w:rPr>
              </m:ctrlPr>
            </m:fPr>
            <m:num>
              <m:r>
                <m:rPr>
                  <m:sty m:val="p"/>
                </m:rPr>
                <w:rPr>
                  <w:rFonts w:ascii="Cambria Math" w:hAnsi="Cambria Math"/>
                </w:rPr>
                <m:t>336×</m:t>
              </m:r>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6</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6</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r>
            <m:rPr>
              <m:sty m:val="p"/>
            </m:rPr>
            <w:rPr>
              <w:rFonts w:ascii="Cambria Math" w:hAnsi="Cambria Math"/>
            </w:rPr>
            <m:t>×336</m:t>
          </m:r>
          <m:r>
            <m:rPr/>
            <w:rPr>
              <w:rFonts w:ascii="Cambria Math" w:hAnsi="Cambria Math"/>
            </w:rPr>
            <m:t>×</m:t>
          </m:r>
          <m:r>
            <m:rPr>
              <m:sty m:val="p"/>
            </m:rPr>
            <w:rPr>
              <w:rFonts w:ascii="Cambria Math" w:hAnsi="Cambria Math"/>
            </w:rPr>
            <m:t>20+</m:t>
          </m:r>
          <m:f>
            <m:fPr>
              <m:ctrlPr>
                <w:rPr>
                  <w:rFonts w:ascii="Cambria Math" w:hAnsi="Cambria Math"/>
                </w:rPr>
              </m:ctrlPr>
            </m:fPr>
            <m:num>
              <m:r>
                <m:rPr>
                  <m:sty m:val="p"/>
                </m:rPr>
                <w:rPr>
                  <w:rFonts w:ascii="Cambria Math" w:hAnsi="Cambria Math"/>
                </w:rPr>
                <m:t>336×</m:t>
              </m:r>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8</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8</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r>
            <m:rPr>
              <m:sty m:val="p"/>
            </m:rPr>
            <w:rPr>
              <w:rFonts w:ascii="Cambria Math" w:hAnsi="Cambria Math"/>
            </w:rPr>
            <m:t>×336</m:t>
          </m:r>
          <m:r>
            <m:rPr/>
            <w:rPr>
              <w:rFonts w:ascii="Cambria Math" w:hAnsi="Cambria Math"/>
            </w:rPr>
            <m:t>×</m:t>
          </m:r>
          <m:r>
            <m:rPr>
              <m:sty m:val="p"/>
            </m:rPr>
            <w:rPr>
              <w:rFonts w:ascii="Cambria Math" w:hAnsi="Cambria Math"/>
            </w:rPr>
            <m:t>20</m:t>
          </m:r>
          <m:r>
            <m:rPr/>
            <w:rPr>
              <w:rFonts w:ascii="Cambria Math" w:hAnsi="Cambria Math"/>
            </w:rPr>
            <m:t>=79,027,200,</m:t>
          </m:r>
        </m:oMath>
      </m:oMathPara>
    </w:p>
    <w:p>
      <w:pPr>
        <w:spacing w:before="120" w:after="120"/>
      </w:pPr>
      <w:r>
        <w:rPr>
          <w:rFonts w:hint="eastAsia"/>
        </w:rPr>
        <w:t xml:space="preserve">Thus, the total memory usage for (A)ESS is more than </w:t>
      </w:r>
      <w:r>
        <w:t>79</w:t>
      </w:r>
      <w:r>
        <w:rPr>
          <w:rFonts w:hint="eastAsia"/>
        </w:rPr>
        <w:t xml:space="preserve"> </w:t>
      </w:r>
      <w:r>
        <w:t>mega</w:t>
      </w:r>
      <w:r>
        <w:rPr>
          <w:rFonts w:hint="eastAsia"/>
        </w:rPr>
        <w:t xml:space="preserve">bits. For shell mapping, </w:t>
      </w:r>
      <w:r>
        <w:rPr>
          <w:rFonts w:hint="eastAsia" w:hAnsi="Cambria Math"/>
        </w:rPr>
        <w:t xml:space="preserve">the total </w:t>
      </w:r>
      <w:r>
        <w:rPr>
          <w:rFonts w:hint="eastAsia"/>
        </w:rPr>
        <w:t>memory usage in bits summed over modulation orders 4, 6, and 8 is</w:t>
      </w:r>
    </w:p>
    <w:p>
      <w:pPr>
        <w:spacing w:before="120" w:after="120"/>
        <w:jc w:val="center"/>
      </w:pPr>
      <m:oMath>
        <m:sSubSup>
          <m:sSubSupPr>
            <m:ctrlPr>
              <w:rPr>
                <w:rFonts w:ascii="Cambria Math" w:hAnsi="Cambria Math"/>
                <w:i/>
              </w:rPr>
            </m:ctrlPr>
          </m:sSubSupPr>
          <m:e>
            <m:r>
              <m:rPr/>
              <w:rPr>
                <w:rFonts w:ascii="Cambria Math" w:hAnsi="Cambria Math"/>
              </w:rPr>
              <m:t>N</m:t>
            </m:r>
            <m:ctrlPr>
              <w:rPr>
                <w:rFonts w:ascii="Cambria Math" w:hAnsi="Cambria Math"/>
                <w:i/>
              </w:rPr>
            </m:ctrlPr>
          </m:e>
          <m:sub>
            <m:r>
              <m:rPr>
                <m:sty m:val="p"/>
              </m:rPr>
              <w:rPr>
                <w:rFonts w:ascii="Cambria Math" w:hAnsi="Cambria Math"/>
              </w:rPr>
              <m:t>mem,SM</m:t>
            </m:r>
            <m:ctrlPr>
              <w:rPr>
                <w:rFonts w:ascii="Cambria Math" w:hAnsi="Cambria Math"/>
                <w:i/>
              </w:rPr>
            </m:ctrlPr>
          </m:sub>
          <m:sup>
            <m:r>
              <m:rPr>
                <m:sty m:val="p"/>
              </m:rPr>
              <w:rPr>
                <w:rFonts w:ascii="Cambria Math" w:hAnsi="Cambria Math"/>
              </w:rPr>
              <m:t>total</m:t>
            </m:r>
            <m:ctrlPr>
              <w:rPr>
                <w:rFonts w:ascii="Cambria Math" w:hAnsi="Cambria Math"/>
                <w:i/>
              </w:rPr>
            </m:ctrlPr>
          </m:sup>
        </m:sSubSup>
        <m:r>
          <m:rPr>
            <m:sty m:val="p"/>
          </m:rPr>
          <w:rPr>
            <w:rFonts w:ascii="Cambria Math" w:hAnsi="Cambria Math"/>
          </w:rPr>
          <m:t>=</m:t>
        </m:r>
        <m:f>
          <m:fPr>
            <m:ctrlPr>
              <w:rPr>
                <w:rFonts w:ascii="Cambria Math" w:hAnsi="Cambria Math"/>
              </w:rPr>
            </m:ctrlPr>
          </m:fPr>
          <m:num>
            <m:r>
              <m:rPr>
                <m:sty m:val="p"/>
              </m:rPr>
              <w:rPr>
                <w:rFonts w:ascii="Cambria Math" w:hAnsi="Cambria Math"/>
              </w:rPr>
              <m:t>336×</m:t>
            </m:r>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4</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4</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r>
          <m:rPr>
            <m:sty m:val="p"/>
          </m:rPr>
          <w:rPr>
            <w:rFonts w:ascii="Cambria Math" w:hAnsi="Cambria Math"/>
          </w:rPr>
          <m:t>×336×</m:t>
        </m:r>
        <m:d>
          <m:dPr>
            <m:ctrlPr>
              <w:rPr>
                <w:rFonts w:ascii="Cambria Math" w:hAnsi="Cambria Math"/>
              </w:rPr>
            </m:ctrlPr>
          </m:dPr>
          <m:e>
            <m:r>
              <m:rPr>
                <m:sty m:val="p"/>
              </m:rPr>
              <w:rPr>
                <w:rFonts w:ascii="Cambria Math" w:hAnsi="Cambria Math"/>
              </w:rPr>
              <m:t>336×</m:t>
            </m:r>
            <m:d>
              <m:dPr>
                <m:ctrlPr>
                  <w:rPr>
                    <w:rFonts w:ascii="Cambria Math" w:hAnsi="Cambria Math"/>
                  </w:rPr>
                </m:ctrlPr>
              </m:dPr>
              <m:e>
                <m:r>
                  <m:rPr>
                    <m:sty m:val="p"/>
                  </m:rPr>
                  <w:rPr>
                    <w:rFonts w:ascii="Cambria Math" w:hAnsi="Cambria Math"/>
                  </w:rPr>
                  <m:t>4/2−1</m:t>
                </m:r>
                <m:ctrlPr>
                  <w:rPr>
                    <w:rFonts w:ascii="Cambria Math" w:hAnsi="Cambria Math"/>
                  </w:rPr>
                </m:ctrlPr>
              </m:e>
            </m:d>
            <m:ctrlPr>
              <w:rPr>
                <w:rFonts w:ascii="Cambria Math" w:hAnsi="Cambria Math"/>
              </w:rPr>
            </m:ctrlPr>
          </m:e>
        </m:d>
        <m:r>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336×2</m:t>
                </m:r>
                <m:ctrlPr>
                  <w:rPr>
                    <w:rFonts w:ascii="Cambria Math" w:hAnsi="Cambria Math"/>
                  </w:rPr>
                </m:ctrlPr>
              </m:e>
              <m:sup>
                <m:r>
                  <m:rPr>
                    <m:sty m:val="p"/>
                  </m:rPr>
                  <w:rPr>
                    <w:rFonts w:ascii="Cambria Math" w:hAnsi="Cambria Math"/>
                  </w:rPr>
                  <m:t>6</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6</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r>
          <m:rPr>
            <m:sty m:val="p"/>
          </m:rPr>
          <w:rPr>
            <w:rFonts w:ascii="Cambria Math" w:hAnsi="Cambria Math"/>
          </w:rPr>
          <m:t>×336×</m:t>
        </m:r>
        <m:d>
          <m:dPr>
            <m:ctrlPr>
              <w:rPr>
                <w:rFonts w:ascii="Cambria Math" w:hAnsi="Cambria Math"/>
              </w:rPr>
            </m:ctrlPr>
          </m:dPr>
          <m:e>
            <m:r>
              <m:rPr>
                <m:sty m:val="p"/>
              </m:rPr>
              <w:rPr>
                <w:rFonts w:ascii="Cambria Math" w:hAnsi="Cambria Math"/>
              </w:rPr>
              <m:t>336×</m:t>
            </m:r>
            <m:d>
              <m:dPr>
                <m:ctrlPr>
                  <w:rPr>
                    <w:rFonts w:ascii="Cambria Math" w:hAnsi="Cambria Math"/>
                  </w:rPr>
                </m:ctrlPr>
              </m:dPr>
              <m:e>
                <m:r>
                  <m:rPr>
                    <m:sty m:val="p"/>
                  </m:rPr>
                  <w:rPr>
                    <w:rFonts w:ascii="Cambria Math" w:hAnsi="Cambria Math"/>
                  </w:rPr>
                  <m:t>6/2−1</m:t>
                </m:r>
                <m:ctrlPr>
                  <w:rPr>
                    <w:rFonts w:ascii="Cambria Math" w:hAnsi="Cambria Math"/>
                  </w:rPr>
                </m:ctrlPr>
              </m:e>
            </m:d>
            <m:ctrlPr>
              <w:rPr>
                <w:rFonts w:ascii="Cambria Math" w:hAnsi="Cambria Math"/>
              </w:rPr>
            </m:ctrlPr>
          </m:e>
        </m:d>
        <m:r>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336×2</m:t>
                </m:r>
                <m:ctrlPr>
                  <w:rPr>
                    <w:rFonts w:ascii="Cambria Math" w:hAnsi="Cambria Math"/>
                  </w:rPr>
                </m:ctrlPr>
              </m:e>
              <m:sup>
                <m:r>
                  <m:rPr>
                    <m:sty m:val="p"/>
                  </m:rPr>
                  <w:rPr>
                    <w:rFonts w:ascii="Cambria Math" w:hAnsi="Cambria Math"/>
                  </w:rPr>
                  <m:t>8</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8</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r>
          <m:rPr>
            <m:sty m:val="p"/>
          </m:rPr>
          <w:rPr>
            <w:rFonts w:ascii="Cambria Math" w:hAnsi="Cambria Math"/>
          </w:rPr>
          <m:t>×336×</m:t>
        </m:r>
        <m:d>
          <m:dPr>
            <m:ctrlPr>
              <w:rPr>
                <w:rFonts w:ascii="Cambria Math" w:hAnsi="Cambria Math"/>
              </w:rPr>
            </m:ctrlPr>
          </m:dPr>
          <m:e>
            <m:r>
              <m:rPr>
                <m:sty m:val="p"/>
              </m:rPr>
              <w:rPr>
                <w:rFonts w:ascii="Cambria Math" w:hAnsi="Cambria Math"/>
              </w:rPr>
              <m:t>336×</m:t>
            </m:r>
            <m:d>
              <m:dPr>
                <m:ctrlPr>
                  <w:rPr>
                    <w:rFonts w:ascii="Cambria Math" w:hAnsi="Cambria Math"/>
                  </w:rPr>
                </m:ctrlPr>
              </m:dPr>
              <m:e>
                <m:r>
                  <m:rPr>
                    <m:sty m:val="p"/>
                  </m:rPr>
                  <w:rPr>
                    <w:rFonts w:ascii="Cambria Math" w:hAnsi="Cambria Math"/>
                  </w:rPr>
                  <m:t>8/2−1</m:t>
                </m:r>
                <m:ctrlPr>
                  <w:rPr>
                    <w:rFonts w:ascii="Cambria Math" w:hAnsi="Cambria Math"/>
                  </w:rPr>
                </m:ctrlPr>
              </m:e>
            </m:d>
            <m:ctrlPr>
              <w:rPr>
                <w:rFonts w:ascii="Cambria Math" w:hAnsi="Cambria Math"/>
              </w:rPr>
            </m:ctrlPr>
          </m:e>
        </m:d>
        <m:r>
          <m:rPr/>
          <w:rPr>
            <w:rFonts w:ascii="Cambria Math" w:hAnsi="Cambria Math"/>
          </w:rPr>
          <m:t>=3,679,506,432</m:t>
        </m:r>
      </m:oMath>
      <w:r>
        <w:rPr>
          <w:rFonts w:hint="eastAsia" w:hAnsi="Cambria Math"/>
        </w:rPr>
        <w:t>.</w:t>
      </w:r>
    </w:p>
    <w:p>
      <w:pPr>
        <w:spacing w:before="120" w:after="120"/>
      </w:pPr>
      <w:r>
        <w:rPr>
          <w:rFonts w:hint="eastAsia"/>
        </w:rPr>
        <w:t>Thus, the total memory usage for shell mapping is more than 3.5 gigabits, which is too large for implementation.</w:t>
      </w:r>
    </w:p>
    <w:p>
      <w:pPr>
        <w:pStyle w:val="51"/>
        <w:spacing w:before="120" w:after="120"/>
        <w:jc w:val="both"/>
      </w:pPr>
      <w:bookmarkStart w:id="188" w:name="_Toc32567"/>
      <w:bookmarkStart w:id="189" w:name="_Toc206178991"/>
      <w:bookmarkStart w:id="190" w:name="_Toc32604"/>
      <w:bookmarkStart w:id="191" w:name="_Toc8501"/>
      <w:bookmarkStart w:id="192" w:name="_Toc19099"/>
      <w:bookmarkStart w:id="193" w:name="_Toc22408"/>
      <w:bookmarkStart w:id="194" w:name="_Toc7536"/>
      <w:bookmarkStart w:id="195" w:name="_Toc14203"/>
      <w:bookmarkStart w:id="196" w:name="_Toc28592"/>
      <w:bookmarkStart w:id="197" w:name="_Toc28287"/>
      <w:bookmarkStart w:id="198" w:name="_Toc27460"/>
      <w:bookmarkStart w:id="199" w:name="_Toc5989"/>
      <w:bookmarkStart w:id="200" w:name="_Hlk206180213"/>
      <w:r>
        <w:rPr>
          <w:lang w:val="en-US" w:eastAsia="zh-CN"/>
        </w:rPr>
        <w:t>PAS schemes with (A)ESS/shell mapping has an ultra-high memory requirement for encoding/decoding.</w:t>
      </w:r>
      <w:bookmarkEnd w:id="188"/>
      <w:bookmarkEnd w:id="189"/>
      <w:bookmarkEnd w:id="190"/>
      <w:bookmarkEnd w:id="191"/>
      <w:bookmarkEnd w:id="192"/>
      <w:bookmarkEnd w:id="193"/>
      <w:bookmarkEnd w:id="194"/>
      <w:bookmarkEnd w:id="195"/>
      <w:bookmarkEnd w:id="196"/>
      <w:bookmarkEnd w:id="197"/>
      <w:bookmarkEnd w:id="198"/>
      <w:bookmarkEnd w:id="199"/>
    </w:p>
    <w:bookmarkEnd w:id="200"/>
    <w:p>
      <w:pPr>
        <w:pStyle w:val="9"/>
        <w:spacing w:before="120"/>
      </w:pPr>
      <w:bookmarkStart w:id="201" w:name="_Toc5561"/>
      <w:bookmarkEnd w:id="201"/>
      <w:r>
        <w:rPr>
          <w:rFonts w:hint="eastAsia"/>
        </w:rPr>
        <w:t>B</w:t>
      </w:r>
      <w:r>
        <w:t>ased on analysis above, we think at least these technical issues should be addressed if we consider PAS for 6G modulation.</w:t>
      </w:r>
    </w:p>
    <w:p>
      <w:pPr>
        <w:pStyle w:val="54"/>
        <w:spacing w:before="120" w:after="120"/>
        <w:jc w:val="both"/>
        <w:rPr>
          <w:rFonts w:eastAsia="宋体"/>
          <w:lang w:val="en-US" w:eastAsia="zh-CN"/>
        </w:rPr>
      </w:pPr>
      <w:bookmarkStart w:id="202" w:name="_Toc206179009"/>
      <w:r>
        <w:rPr>
          <w:lang w:val="en-US" w:eastAsia="zh-CN"/>
        </w:rPr>
        <w:t>The following issues for PAS can be studied and evaluated:</w:t>
      </w:r>
      <w:bookmarkEnd w:id="202"/>
    </w:p>
    <w:p>
      <w:pPr>
        <w:pStyle w:val="54"/>
        <w:numPr>
          <w:ilvl w:val="1"/>
          <w:numId w:val="4"/>
        </w:numPr>
        <w:spacing w:before="120" w:after="120"/>
        <w:jc w:val="both"/>
        <w:rPr>
          <w:rFonts w:eastAsia="宋体"/>
          <w:lang w:val="en-US" w:eastAsia="zh-CN"/>
        </w:rPr>
      </w:pPr>
      <w:bookmarkStart w:id="203" w:name="_Toc206179010"/>
      <w:r>
        <w:rPr>
          <w:rFonts w:hint="eastAsia" w:eastAsia="宋体"/>
          <w:lang w:val="en-US" w:eastAsia="zh-CN"/>
        </w:rPr>
        <w:t>I</w:t>
      </w:r>
      <w:r>
        <w:rPr>
          <w:rFonts w:eastAsia="宋体"/>
          <w:lang w:val="en-US" w:eastAsia="zh-CN"/>
        </w:rPr>
        <w:t>mpact on coding chain</w:t>
      </w:r>
      <w:bookmarkEnd w:id="203"/>
    </w:p>
    <w:p>
      <w:pPr>
        <w:pStyle w:val="54"/>
        <w:numPr>
          <w:ilvl w:val="1"/>
          <w:numId w:val="4"/>
        </w:numPr>
        <w:spacing w:before="120" w:after="120"/>
        <w:jc w:val="both"/>
        <w:rPr>
          <w:rFonts w:eastAsia="宋体"/>
          <w:lang w:val="en-US" w:eastAsia="zh-CN"/>
        </w:rPr>
      </w:pPr>
      <w:bookmarkStart w:id="204" w:name="_Toc206179011"/>
      <w:r>
        <w:rPr>
          <w:rFonts w:eastAsia="宋体"/>
          <w:lang w:val="en-US" w:eastAsia="zh-CN"/>
        </w:rPr>
        <w:t>Serial process and storage caused by current DM algorithms</w:t>
      </w:r>
      <w:bookmarkEnd w:id="204"/>
    </w:p>
    <w:p>
      <w:pPr>
        <w:pStyle w:val="54"/>
        <w:numPr>
          <w:ilvl w:val="1"/>
          <w:numId w:val="4"/>
        </w:numPr>
        <w:spacing w:before="120" w:after="120"/>
        <w:jc w:val="both"/>
        <w:rPr>
          <w:rFonts w:eastAsia="宋体"/>
          <w:lang w:val="en-US" w:eastAsia="zh-CN"/>
        </w:rPr>
      </w:pPr>
      <w:r>
        <w:rPr>
          <w:rFonts w:hint="eastAsia" w:eastAsia="宋体"/>
          <w:lang w:val="en-US" w:eastAsia="zh-CN"/>
        </w:rPr>
        <w:t>P</w:t>
      </w:r>
      <w:r>
        <w:rPr>
          <w:rFonts w:eastAsia="宋体"/>
          <w:lang w:val="en-US" w:eastAsia="zh-CN"/>
        </w:rPr>
        <w:t>erformance</w:t>
      </w:r>
    </w:p>
    <w:p>
      <w:pPr>
        <w:pStyle w:val="2"/>
        <w:spacing w:before="120" w:after="120"/>
        <w:ind w:left="0"/>
      </w:pPr>
      <w:r>
        <w:rPr>
          <w:rFonts w:hint="eastAsia" w:eastAsia="宋体"/>
        </w:rPr>
        <w:t>Discussion on low PAPR modulation</w:t>
      </w:r>
      <w:r>
        <w:rPr>
          <w:rFonts w:eastAsia="宋体"/>
        </w:rPr>
        <w:t xml:space="preserve"> </w:t>
      </w:r>
    </w:p>
    <w:p>
      <w:pPr>
        <w:pStyle w:val="3"/>
        <w:spacing w:before="120" w:after="120"/>
        <w:ind w:left="991" w:right="210" w:hanging="991" w:hangingChars="354"/>
      </w:pPr>
      <w:bookmarkStart w:id="205" w:name="_Toc29089"/>
      <w:bookmarkEnd w:id="205"/>
      <w:bookmarkStart w:id="206" w:name="_Toc525"/>
      <w:bookmarkEnd w:id="206"/>
      <w:bookmarkStart w:id="207" w:name="_Toc82"/>
      <w:bookmarkEnd w:id="207"/>
      <w:bookmarkStart w:id="208" w:name="_Toc29400"/>
      <w:bookmarkEnd w:id="208"/>
      <w:r>
        <w:rPr>
          <w:rFonts w:hint="eastAsia" w:eastAsia="宋体"/>
        </w:rPr>
        <w:t>Motivation for low PAPR modulation</w:t>
      </w:r>
    </w:p>
    <w:p>
      <w:pPr>
        <w:spacing w:beforeLines="0" w:after="120" w:afterLines="0" w:line="240" w:lineRule="auto"/>
        <w:rPr>
          <w:szCs w:val="21"/>
        </w:rPr>
      </w:pPr>
      <w:r>
        <w:rPr>
          <w:rFonts w:hint="eastAsia"/>
          <w:szCs w:val="21"/>
        </w:rPr>
        <w:t>In OFDM</w:t>
      </w:r>
      <w:r>
        <w:rPr>
          <w:szCs w:val="21"/>
        </w:rPr>
        <w:t>-based</w:t>
      </w:r>
      <w:r>
        <w:rPr>
          <w:rFonts w:hint="eastAsia"/>
          <w:szCs w:val="21"/>
        </w:rPr>
        <w:t xml:space="preserve"> system, the Peak-to-Average Power Ratio (PAPR) is a critical parameter that affects the efficiency of the power amplifier (PA). A high PAPR </w:t>
      </w:r>
      <w:r>
        <w:rPr>
          <w:szCs w:val="21"/>
        </w:rPr>
        <w:t>pushes PA in</w:t>
      </w:r>
      <w:r>
        <w:rPr>
          <w:rFonts w:hint="eastAsia"/>
          <w:szCs w:val="21"/>
        </w:rPr>
        <w:t>t</w:t>
      </w:r>
      <w:r>
        <w:rPr>
          <w:szCs w:val="21"/>
        </w:rPr>
        <w:t xml:space="preserve">o the </w:t>
      </w:r>
      <w:r>
        <w:rPr>
          <w:rFonts w:hint="eastAsia"/>
          <w:szCs w:val="21"/>
        </w:rPr>
        <w:t xml:space="preserve">nonlinear distortion </w:t>
      </w:r>
      <w:r>
        <w:rPr>
          <w:szCs w:val="21"/>
        </w:rPr>
        <w:t>region unless significant output back-off is applied</w:t>
      </w:r>
      <w:r>
        <w:rPr>
          <w:rFonts w:hint="eastAsia"/>
          <w:szCs w:val="21"/>
        </w:rPr>
        <w:t xml:space="preserve">, </w:t>
      </w:r>
      <w:r>
        <w:rPr>
          <w:szCs w:val="21"/>
        </w:rPr>
        <w:t xml:space="preserve">which </w:t>
      </w:r>
      <w:r>
        <w:rPr>
          <w:rFonts w:hint="eastAsia"/>
          <w:szCs w:val="21"/>
        </w:rPr>
        <w:t>reduc</w:t>
      </w:r>
      <w:r>
        <w:rPr>
          <w:szCs w:val="21"/>
        </w:rPr>
        <w:t>es</w:t>
      </w:r>
      <w:r>
        <w:rPr>
          <w:rFonts w:hint="eastAsia"/>
          <w:szCs w:val="21"/>
        </w:rPr>
        <w:t xml:space="preserve"> </w:t>
      </w:r>
      <w:r>
        <w:rPr>
          <w:szCs w:val="21"/>
        </w:rPr>
        <w:t>PA</w:t>
      </w:r>
      <w:r>
        <w:rPr>
          <w:rFonts w:hint="eastAsia"/>
          <w:szCs w:val="21"/>
        </w:rPr>
        <w:t xml:space="preserve"> efficiency and increasing power consumption.</w:t>
      </w:r>
    </w:p>
    <w:p>
      <w:pPr>
        <w:spacing w:beforeLines="0" w:afterLines="0" w:line="240" w:lineRule="auto"/>
        <w:rPr>
          <w:szCs w:val="21"/>
        </w:rPr>
      </w:pPr>
      <w:r>
        <w:rPr>
          <w:szCs w:val="21"/>
        </w:rPr>
        <w:t xml:space="preserve">Although 5G introduced π/2-BPSK on the uplink to reduce PAPR </w:t>
      </w:r>
      <w:r>
        <w:rPr>
          <w:rFonts w:hint="eastAsia"/>
          <w:szCs w:val="21"/>
        </w:rPr>
        <w:t>to</w:t>
      </w:r>
      <w:r>
        <w:rPr>
          <w:szCs w:val="21"/>
        </w:rPr>
        <w:t xml:space="preserve"> mitigate this issue to some extent. 6GR still demands even lower PAPR due to the following reasons:</w:t>
      </w:r>
    </w:p>
    <w:p>
      <w:pPr>
        <w:numPr>
          <w:ilvl w:val="0"/>
          <w:numId w:val="11"/>
        </w:numPr>
        <w:spacing w:before="120" w:after="120"/>
        <w:rPr>
          <w:szCs w:val="21"/>
        </w:rPr>
      </w:pPr>
      <w:r>
        <w:rPr>
          <w:szCs w:val="21"/>
        </w:rPr>
        <w:t>According to the 6G SID, bands around 7 GHz are expected to deliver coverage comparable to today’s mid-band (~3.5 GHz). However, higher frequencies suffer greater path loss, so low-PAPR waveforms are needed to preserve PA efficiency and support ubiquitous connectivity.</w:t>
      </w:r>
    </w:p>
    <w:p>
      <w:pPr>
        <w:numPr>
          <w:ilvl w:val="0"/>
          <w:numId w:val="11"/>
        </w:numPr>
        <w:spacing w:before="120" w:after="120"/>
        <w:rPr>
          <w:szCs w:val="21"/>
        </w:rPr>
      </w:pPr>
      <w:r>
        <w:rPr>
          <w:szCs w:val="21"/>
        </w:rPr>
        <w:t>Energy efficiency is the design target in 6GR day1. Lower PAPR reduces PA nonlinear distortion, enabling the PA to operate efficiently closer to saturation, which is crucial for reducing UE power consumption and extending battery life.</w:t>
      </w:r>
    </w:p>
    <w:p>
      <w:pPr>
        <w:spacing w:beforeLines="0" w:after="120" w:afterLines="0" w:line="240" w:lineRule="auto"/>
        <w:rPr>
          <w:szCs w:val="21"/>
        </w:rPr>
      </w:pPr>
      <w:r>
        <w:rPr>
          <w:szCs w:val="21"/>
        </w:rPr>
        <w:t>Therefore, to meet 6G’s coverage and energy efficiency requirements, it remains necessary to further investigate new modulation schemes that reduce PAPR.</w:t>
      </w:r>
    </w:p>
    <w:p>
      <w:pPr>
        <w:spacing w:before="120" w:after="120"/>
        <w:rPr>
          <w:szCs w:val="21"/>
        </w:rPr>
      </w:pPr>
      <w:r>
        <w:rPr>
          <w:szCs w:val="21"/>
        </w:rPr>
        <w:t>Regarding the evaluation metrics, it is clear that BLER, PAPR or CM should be considered.</w:t>
      </w:r>
    </w:p>
    <w:p>
      <w:pPr>
        <w:pStyle w:val="54"/>
        <w:spacing w:before="120" w:after="120"/>
        <w:jc w:val="both"/>
        <w:rPr>
          <w:sz w:val="21"/>
          <w:szCs w:val="21"/>
        </w:rPr>
      </w:pPr>
      <w:bookmarkStart w:id="209" w:name="_Toc206179013"/>
      <w:r>
        <w:rPr>
          <w:sz w:val="21"/>
          <w:szCs w:val="21"/>
          <w:lang w:val="en-US" w:eastAsia="zh-CN"/>
        </w:rPr>
        <w:t xml:space="preserve">The performance of </w:t>
      </w:r>
      <w:r>
        <w:rPr>
          <w:rFonts w:hint="eastAsia"/>
          <w:sz w:val="21"/>
          <w:szCs w:val="21"/>
          <w:lang w:val="en-US" w:eastAsia="zh-CN"/>
        </w:rPr>
        <w:t>BLER</w:t>
      </w:r>
      <w:r>
        <w:rPr>
          <w:sz w:val="21"/>
          <w:szCs w:val="21"/>
          <w:lang w:val="en-US" w:eastAsia="zh-CN"/>
        </w:rPr>
        <w:t>, PAP</w:t>
      </w:r>
      <w:r>
        <w:rPr>
          <w:rFonts w:hint="eastAsia"/>
          <w:sz w:val="21"/>
          <w:szCs w:val="21"/>
          <w:lang w:val="en-US" w:eastAsia="zh-CN"/>
        </w:rPr>
        <w:t>R</w:t>
      </w:r>
      <w:r>
        <w:rPr>
          <w:sz w:val="21"/>
          <w:szCs w:val="21"/>
          <w:lang w:val="en-US" w:eastAsia="zh-CN"/>
        </w:rPr>
        <w:t xml:space="preserve">, CM should be </w:t>
      </w:r>
      <w:r>
        <w:rPr>
          <w:rFonts w:hint="eastAsia"/>
          <w:sz w:val="21"/>
          <w:szCs w:val="21"/>
          <w:lang w:val="en-US" w:eastAsia="zh-CN"/>
        </w:rPr>
        <w:t>considered</w:t>
      </w:r>
      <w:r>
        <w:rPr>
          <w:sz w:val="21"/>
          <w:szCs w:val="21"/>
          <w:lang w:val="en-US" w:eastAsia="zh-CN"/>
        </w:rPr>
        <w:t xml:space="preserve"> as the metrics for low PAPR modulation.</w:t>
      </w:r>
      <w:bookmarkEnd w:id="209"/>
    </w:p>
    <w:p>
      <w:pPr>
        <w:pStyle w:val="3"/>
        <w:spacing w:before="120" w:after="120"/>
        <w:ind w:left="991" w:right="210" w:hanging="991" w:hangingChars="354"/>
        <w:rPr>
          <w:rFonts w:eastAsia="宋体"/>
        </w:rPr>
      </w:pPr>
      <w:r>
        <w:rPr>
          <w:rFonts w:hint="eastAsia" w:eastAsia="宋体"/>
        </w:rPr>
        <w:t xml:space="preserve">Discussion on interpolation modulation </w:t>
      </w:r>
    </w:p>
    <w:p>
      <w:pPr>
        <w:pStyle w:val="4"/>
        <w:spacing w:after="120"/>
      </w:pPr>
      <w:r>
        <w:rPr>
          <w:rFonts w:hint="eastAsia"/>
        </w:rPr>
        <w:t>Modulation</w:t>
      </w:r>
    </w:p>
    <w:p>
      <w:pPr>
        <w:spacing w:beforeLines="0" w:after="120" w:afterLines="0" w:line="240" w:lineRule="auto"/>
        <w:rPr>
          <w:b/>
          <w:bCs/>
          <w:szCs w:val="21"/>
        </w:rPr>
      </w:pPr>
      <w:r>
        <w:rPr>
          <w:rFonts w:hint="eastAsia"/>
          <w:szCs w:val="21"/>
        </w:rPr>
        <w:t xml:space="preserve">An interpolation-based </w:t>
      </w:r>
      <w:r>
        <w:rPr>
          <w:szCs w:val="21"/>
        </w:rPr>
        <w:t>π</w:t>
      </w:r>
      <w:r>
        <w:rPr>
          <w:rFonts w:hint="eastAsia"/>
          <w:szCs w:val="21"/>
        </w:rPr>
        <w:t>/2-BPSK modulation scheme (I-</w:t>
      </w:r>
      <w:r>
        <w:rPr>
          <w:szCs w:val="21"/>
        </w:rPr>
        <w:t>π</w:t>
      </w:r>
      <w:r>
        <w:rPr>
          <w:rFonts w:hint="eastAsia"/>
          <w:szCs w:val="21"/>
        </w:rPr>
        <w:t xml:space="preserve">/2-BPSK) can be considered for DFT-s-OFDM </w:t>
      </w:r>
      <w:r>
        <w:rPr>
          <w:szCs w:val="21"/>
        </w:rPr>
        <w:t xml:space="preserve">waveform </w:t>
      </w:r>
      <w:r>
        <w:rPr>
          <w:rFonts w:hint="eastAsia"/>
          <w:szCs w:val="21"/>
        </w:rPr>
        <w:t xml:space="preserve">to further reduce the PAPR. Compared to conventional </w:t>
      </w:r>
      <w:r>
        <w:rPr>
          <w:szCs w:val="21"/>
        </w:rPr>
        <w:t>π</w:t>
      </w:r>
      <w:r>
        <w:rPr>
          <w:rFonts w:hint="eastAsia"/>
          <w:szCs w:val="21"/>
        </w:rPr>
        <w:t xml:space="preserve">/2-BPSK, this modulation approach reduces the phase transition between adjacent modulation symbols from </w:t>
      </w:r>
      <w:r>
        <w:rPr>
          <w:szCs w:val="21"/>
        </w:rPr>
        <w:t>π</w:t>
      </w:r>
      <w:r>
        <w:rPr>
          <w:rFonts w:hint="eastAsia"/>
          <w:szCs w:val="21"/>
        </w:rPr>
        <w:t xml:space="preserve">/2 to </w:t>
      </w:r>
      <w:r>
        <w:rPr>
          <w:szCs w:val="21"/>
        </w:rPr>
        <w:t>π</w:t>
      </w:r>
      <w:r>
        <w:rPr>
          <w:rFonts w:hint="eastAsia"/>
          <w:szCs w:val="21"/>
        </w:rPr>
        <w:t>/4, thereby achieving a lower PAPR for the uplink physical channels. The I-</w:t>
      </w:r>
      <w:r>
        <w:rPr>
          <w:szCs w:val="21"/>
        </w:rPr>
        <w:t>π</w:t>
      </w:r>
      <w:r>
        <w:rPr>
          <w:rFonts w:hint="eastAsia"/>
          <w:szCs w:val="21"/>
        </w:rPr>
        <w:t xml:space="preserve">/2-BPSK modulation process consists of three steps: </w:t>
      </w:r>
      <w:r>
        <w:rPr>
          <w:szCs w:val="21"/>
        </w:rPr>
        <w:t>π</w:t>
      </w:r>
      <w:r>
        <w:rPr>
          <w:rFonts w:hint="eastAsia"/>
          <w:szCs w:val="21"/>
        </w:rPr>
        <w:t xml:space="preserve">/2-BPSK modulation, interpolation and frequency-domain truncation, as illustrated in Figure </w:t>
      </w:r>
      <w:r>
        <w:rPr>
          <w:szCs w:val="21"/>
        </w:rPr>
        <w:t>6</w:t>
      </w:r>
      <w:r>
        <w:rPr>
          <w:rFonts w:hint="eastAsia"/>
          <w:szCs w:val="21"/>
        </w:rPr>
        <w:t>.</w:t>
      </w:r>
    </w:p>
    <w:p>
      <w:pPr>
        <w:spacing w:beforeLines="0" w:after="120" w:afterLines="0" w:line="240" w:lineRule="auto"/>
        <w:jc w:val="center"/>
        <w:rPr>
          <w:b/>
          <w:bCs/>
          <w:szCs w:val="21"/>
        </w:rPr>
      </w:pPr>
      <w:r>
        <w:rPr>
          <w:rFonts w:hint="eastAsia"/>
          <w:b/>
          <w:bCs/>
          <w:szCs w:val="21"/>
        </w:rPr>
        <w:object>
          <v:shape id="_x0000_i1025" o:spt="75" type="#_x0000_t75" style="height:38.15pt;width:351.45pt;" o:ole="t" filled="f" o:preferrelative="t" stroked="f" coordsize="21600,21600">
            <v:path/>
            <v:fill on="f" focussize="0,0"/>
            <v:stroke on="f" joinstyle="miter"/>
            <v:imagedata r:id="rId20" o:title=""/>
            <o:lock v:ext="edit" aspectratio="f"/>
            <w10:wrap type="none"/>
            <w10:anchorlock/>
          </v:shape>
          <o:OLEObject Type="Embed" ProgID="Visio.Drawing.11" ShapeID="_x0000_i1025" DrawAspect="Content" ObjectID="_1468075725" r:id="rId19">
            <o:LockedField>false</o:LockedField>
          </o:OLEObject>
        </w:object>
      </w:r>
    </w:p>
    <w:p>
      <w:pPr>
        <w:spacing w:beforeLines="0" w:after="120" w:afterLines="0" w:line="240" w:lineRule="auto"/>
        <w:jc w:val="center"/>
        <w:rPr>
          <w:szCs w:val="21"/>
        </w:rPr>
      </w:pPr>
      <w:r>
        <w:rPr>
          <w:rFonts w:hint="eastAsia"/>
          <w:szCs w:val="21"/>
        </w:rPr>
        <w:t xml:space="preserve">Figure </w:t>
      </w:r>
      <w:r>
        <w:rPr>
          <w:szCs w:val="21"/>
        </w:rPr>
        <w:t>6</w:t>
      </w:r>
      <w:r>
        <w:rPr>
          <w:rFonts w:hint="eastAsia"/>
          <w:szCs w:val="21"/>
        </w:rPr>
        <w:t xml:space="preserve"> I-</w:t>
      </w:r>
      <w:r>
        <w:rPr>
          <w:szCs w:val="21"/>
        </w:rPr>
        <w:t>π</w:t>
      </w:r>
      <w:r>
        <w:rPr>
          <w:rFonts w:hint="eastAsia"/>
          <w:szCs w:val="21"/>
        </w:rPr>
        <w:t>/2-BPSK modulation process</w:t>
      </w:r>
    </w:p>
    <w:p>
      <w:pPr>
        <w:spacing w:beforeLines="0" w:after="120" w:afterLines="0" w:line="240" w:lineRule="auto"/>
        <w:rPr>
          <w:b/>
          <w:bCs/>
          <w:szCs w:val="21"/>
        </w:rPr>
      </w:pPr>
      <w:r>
        <w:rPr>
          <w:b/>
          <w:bCs/>
          <w:szCs w:val="21"/>
        </w:rPr>
        <w:t>Step 0: π/2-BPSK Modulation</w:t>
      </w:r>
    </w:p>
    <w:p>
      <w:pPr>
        <w:spacing w:beforeLines="0" w:after="120" w:afterLines="0" w:line="240" w:lineRule="auto"/>
        <w:rPr>
          <w:szCs w:val="21"/>
        </w:rPr>
      </w:pPr>
      <w:r>
        <w:rPr>
          <w:szCs w:val="21"/>
        </w:rPr>
        <w:t xml:space="preserve">The encoded data </w:t>
      </w:r>
      <w:r>
        <w:rPr>
          <w:rFonts w:hint="eastAsia"/>
          <w:szCs w:val="21"/>
        </w:rPr>
        <w:t xml:space="preserve">bits are </w:t>
      </w:r>
      <w:r>
        <w:rPr>
          <w:szCs w:val="21"/>
        </w:rPr>
        <w:t>modulat</w:t>
      </w:r>
      <w:r>
        <w:rPr>
          <w:rFonts w:hint="eastAsia"/>
          <w:szCs w:val="21"/>
        </w:rPr>
        <w:t>ed</w:t>
      </w:r>
      <w:r>
        <w:rPr>
          <w:szCs w:val="21"/>
        </w:rPr>
        <w:t xml:space="preserve"> to generate π/2-BPSK </w:t>
      </w:r>
      <w:r>
        <w:rPr>
          <w:rFonts w:hint="eastAsia"/>
          <w:szCs w:val="21"/>
        </w:rPr>
        <w:t xml:space="preserve">modulation </w:t>
      </w:r>
      <w:r>
        <w:rPr>
          <w:szCs w:val="21"/>
        </w:rPr>
        <w:t>symbols.</w:t>
      </w:r>
    </w:p>
    <w:p>
      <w:pPr>
        <w:spacing w:beforeLines="0" w:after="120" w:afterLines="0" w:line="240" w:lineRule="auto"/>
        <w:rPr>
          <w:b/>
          <w:bCs/>
          <w:szCs w:val="21"/>
        </w:rPr>
      </w:pPr>
      <w:r>
        <w:rPr>
          <w:b/>
          <w:bCs/>
          <w:szCs w:val="21"/>
        </w:rPr>
        <w:t>Step 1: Interpolation</w:t>
      </w:r>
    </w:p>
    <w:p>
      <w:pPr>
        <w:spacing w:beforeLines="0" w:afterLines="0" w:line="240" w:lineRule="auto"/>
        <w:rPr>
          <w:szCs w:val="21"/>
        </w:rPr>
      </w:pPr>
      <w:r>
        <w:rPr>
          <w:rFonts w:hint="eastAsia"/>
          <w:szCs w:val="21"/>
        </w:rPr>
        <w:t xml:space="preserve">For the sequence of </w:t>
      </w:r>
      <w:r>
        <w:rPr>
          <w:szCs w:val="21"/>
        </w:rPr>
        <w:t xml:space="preserve">π/2-BPSK </w:t>
      </w:r>
      <w:r>
        <w:rPr>
          <w:rFonts w:hint="eastAsia"/>
          <w:szCs w:val="21"/>
        </w:rPr>
        <w:t xml:space="preserve">modulation </w:t>
      </w:r>
      <w:r>
        <w:rPr>
          <w:szCs w:val="21"/>
        </w:rPr>
        <w:t xml:space="preserve">symbols, a new modulation symbol </w:t>
      </w:r>
      <w:r>
        <w:rPr>
          <w:rFonts w:hint="eastAsia"/>
          <w:szCs w:val="21"/>
        </w:rPr>
        <w:t>is interpolated</w:t>
      </w:r>
      <w:r>
        <w:rPr>
          <w:szCs w:val="21"/>
        </w:rPr>
        <w:t xml:space="preserve"> between every pair of adjacent π/2-BPSK symbols. The </w:t>
      </w:r>
      <w:r>
        <w:rPr>
          <w:rFonts w:hint="eastAsia"/>
          <w:szCs w:val="21"/>
        </w:rPr>
        <w:t>interpolated</w:t>
      </w:r>
      <w:r>
        <w:rPr>
          <w:szCs w:val="21"/>
        </w:rPr>
        <w:t xml:space="preserve"> symbol is defined</w:t>
      </w:r>
      <w:r>
        <w:rPr>
          <w:rFonts w:hint="eastAsia"/>
          <w:szCs w:val="21"/>
        </w:rPr>
        <w:t xml:space="preserve"> </w:t>
      </w:r>
      <w:r>
        <w:rPr>
          <w:szCs w:val="21"/>
        </w:rPr>
        <w:t xml:space="preserve">as the sum of these two adjacent π/2-BPSK symbols divided by </w:t>
      </w:r>
      <m:oMath>
        <m:rad>
          <m:radPr>
            <m:degHide m:val="1"/>
            <m:ctrlPr>
              <w:rPr>
                <w:rFonts w:ascii="Cambria Math" w:hAnsi="Cambria Math"/>
                <w:i/>
                <w:szCs w:val="21"/>
              </w:rPr>
            </m:ctrlPr>
          </m:radPr>
          <m:deg>
            <m:ctrlPr>
              <w:rPr>
                <w:rFonts w:ascii="Cambria Math" w:hAnsi="Cambria Math"/>
                <w:i/>
                <w:szCs w:val="21"/>
              </w:rPr>
            </m:ctrlPr>
          </m:deg>
          <m:e>
            <m:r>
              <m:rPr/>
              <w:rPr>
                <w:rFonts w:ascii="Cambria Math" w:hAnsi="Cambria Math"/>
                <w:szCs w:val="21"/>
              </w:rPr>
              <m:t>2</m:t>
            </m:r>
            <m:ctrlPr>
              <w:rPr>
                <w:rFonts w:ascii="Cambria Math" w:hAnsi="Cambria Math"/>
                <w:i/>
                <w:szCs w:val="21"/>
              </w:rPr>
            </m:ctrlPr>
          </m:e>
        </m:rad>
      </m:oMath>
      <w:r>
        <w:rPr>
          <w:szCs w:val="21"/>
        </w:rPr>
        <w:t xml:space="preserve"> (for amplitude normalization)</w:t>
      </w:r>
      <w:r>
        <w:rPr>
          <w:rFonts w:hint="eastAsia"/>
          <w:szCs w:val="21"/>
        </w:rPr>
        <w:t xml:space="preserve">. </w:t>
      </w:r>
      <w:r>
        <w:rPr>
          <w:szCs w:val="21"/>
        </w:rPr>
        <w:t xml:space="preserve">Concretely, given a π/2‑BPSK sequence </w:t>
      </w:r>
      <w:r>
        <w:rPr>
          <w:b/>
          <w:bCs/>
          <w:i/>
          <w:iCs/>
          <w:szCs w:val="21"/>
        </w:rPr>
        <w:t>s</w:t>
      </w:r>
      <w:r>
        <w:rPr>
          <w:szCs w:val="21"/>
        </w:rPr>
        <w:t xml:space="preserve">[k], the generated I-π/2‑BPSK sequence is </w:t>
      </w:r>
      <w:r>
        <w:rPr>
          <w:b/>
          <w:bCs/>
          <w:i/>
          <w:iCs/>
          <w:szCs w:val="21"/>
        </w:rPr>
        <w:t>a</w:t>
      </w:r>
      <w:r>
        <w:rPr>
          <w:szCs w:val="21"/>
        </w:rPr>
        <w:t>[</w:t>
      </w:r>
      <w:r>
        <w:rPr>
          <w:rFonts w:hint="eastAsia"/>
          <w:i/>
          <w:iCs/>
          <w:szCs w:val="21"/>
        </w:rPr>
        <w:t>i</w:t>
      </w:r>
      <w:r>
        <w:rPr>
          <w:szCs w:val="21"/>
        </w:rPr>
        <w:t>]</w:t>
      </w:r>
      <w:r>
        <w:rPr>
          <w:rFonts w:hint="eastAsia"/>
          <w:szCs w:val="21"/>
        </w:rPr>
        <w:t xml:space="preserve"> can be expressed as</w:t>
      </w:r>
      <w:r>
        <w:rPr>
          <w:szCs w:val="21"/>
        </w:rPr>
        <w:t xml:space="preserve"> </w:t>
      </w:r>
    </w:p>
    <w:p>
      <w:pPr>
        <w:spacing w:beforeLines="0" w:afterLines="0" w:line="240" w:lineRule="auto"/>
        <w:jc w:val="right"/>
        <w:rPr>
          <w:szCs w:val="21"/>
        </w:rPr>
      </w:pPr>
      <w:r>
        <w:rPr>
          <w:position w:val="-10"/>
          <w:szCs w:val="21"/>
        </w:rPr>
        <w:object>
          <v:shape id="_x0000_i1026" o:spt="75" type="#_x0000_t75" style="height:17.45pt;width:58.1pt;" o:ole="t" filled="f" o:preferrelative="t" stroked="f" coordsize="21600,21600">
            <v:path/>
            <v:fill on="f" focussize="0,0"/>
            <v:stroke on="f" joinstyle="miter"/>
            <v:imagedata r:id="rId22" o:title=""/>
            <o:lock v:ext="edit" aspectratio="t"/>
            <w10:wrap type="none"/>
            <w10:anchorlock/>
          </v:shape>
          <o:OLEObject Type="Embed" ProgID="Equation.KSEE3" ShapeID="_x0000_i1026" DrawAspect="Content" ObjectID="_1468075726" r:id="rId21">
            <o:LockedField>false</o:LockedField>
          </o:OLEObject>
        </w:object>
      </w:r>
      <w:r>
        <w:rPr>
          <w:rFonts w:hint="eastAsia"/>
          <w:szCs w:val="21"/>
        </w:rPr>
        <w:t>,                                  (4-1)</w:t>
      </w:r>
    </w:p>
    <w:p>
      <w:pPr>
        <w:spacing w:beforeLines="0" w:after="120" w:afterLines="0" w:line="240" w:lineRule="auto"/>
        <w:jc w:val="right"/>
        <w:rPr>
          <w:szCs w:val="21"/>
        </w:rPr>
      </w:pPr>
      <w:r>
        <w:rPr>
          <w:rFonts w:hint="eastAsia"/>
          <w:position w:val="-10"/>
          <w:szCs w:val="21"/>
        </w:rPr>
        <w:object>
          <v:shape id="_x0000_i1027" o:spt="75" type="#_x0000_t75" style="height:19.25pt;width:144pt;" o:ole="t" filled="f" o:preferrelative="t" stroked="f" coordsize="21600,21600">
            <v:path/>
            <v:fill on="f" focussize="0,0"/>
            <v:stroke on="f" joinstyle="miter"/>
            <v:imagedata r:id="rId24" o:title=""/>
            <o:lock v:ext="edit" aspectratio="t"/>
            <w10:wrap type="none"/>
            <w10:anchorlock/>
          </v:shape>
          <o:OLEObject Type="Embed" ProgID="Equation.KSEE3" ShapeID="_x0000_i1027" DrawAspect="Content" ObjectID="_1468075727" r:id="rId23">
            <o:LockedField>false</o:LockedField>
          </o:OLEObject>
        </w:object>
      </w:r>
      <w:r>
        <w:rPr>
          <w:rFonts w:hint="eastAsia"/>
          <w:szCs w:val="21"/>
        </w:rPr>
        <w:t xml:space="preserve">, </w:t>
      </w:r>
      <w:r>
        <w:rPr>
          <w:rFonts w:hint="eastAsia"/>
          <w:position w:val="-6"/>
          <w:szCs w:val="21"/>
        </w:rPr>
        <w:object>
          <v:shape id="_x0000_i1028" o:spt="75" type="#_x0000_t75" style="height:13.9pt;width:64.15pt;" o:ole="t" filled="f" o:preferrelative="t" stroked="f" coordsize="21600,21600">
            <v:path/>
            <v:fill on="f" focussize="0,0"/>
            <v:stroke on="f" joinstyle="miter"/>
            <v:imagedata r:id="rId26" o:title=""/>
            <o:lock v:ext="edit" aspectratio="t"/>
            <w10:wrap type="none"/>
            <w10:anchorlock/>
          </v:shape>
          <o:OLEObject Type="Embed" ProgID="Equation.KSEE3" ShapeID="_x0000_i1028" DrawAspect="Content" ObjectID="_1468075728" r:id="rId25">
            <o:LockedField>false</o:LockedField>
          </o:OLEObject>
        </w:object>
      </w:r>
      <w:r>
        <w:rPr>
          <w:rFonts w:hint="eastAsia"/>
          <w:szCs w:val="21"/>
        </w:rPr>
        <w:t>,                (4-2)</w:t>
      </w:r>
    </w:p>
    <w:p>
      <w:pPr>
        <w:spacing w:beforeLines="0" w:after="120" w:afterLines="0" w:line="240" w:lineRule="auto"/>
        <w:ind w:left="630" w:leftChars="300"/>
        <w:jc w:val="right"/>
        <w:rPr>
          <w:szCs w:val="21"/>
        </w:rPr>
      </w:pPr>
      <w:r>
        <w:rPr>
          <w:position w:val="-10"/>
          <w:szCs w:val="21"/>
        </w:rPr>
        <w:object>
          <v:shape id="_x0000_i1029" o:spt="75" type="#_x0000_t75" style="height:19.25pt;width:159.35pt;" o:ole="t" filled="f" o:preferrelative="t" stroked="f" coordsize="21600,21600">
            <v:path/>
            <v:fill on="f" focussize="0,0"/>
            <v:stroke on="f" joinstyle="miter"/>
            <v:imagedata r:id="rId28" o:title=""/>
            <o:lock v:ext="edit" aspectratio="t"/>
            <w10:wrap type="none"/>
            <w10:anchorlock/>
          </v:shape>
          <o:OLEObject Type="Embed" ProgID="Equation.KSEE3" ShapeID="_x0000_i1029" DrawAspect="Content" ObjectID="_1468075729" r:id="rId27">
            <o:LockedField>false</o:LockedField>
          </o:OLEObject>
        </w:object>
      </w:r>
      <w:r>
        <w:rPr>
          <w:rFonts w:hint="eastAsia"/>
          <w:szCs w:val="21"/>
        </w:rPr>
        <w:t>,                      (4-3)</w:t>
      </w:r>
    </w:p>
    <w:p>
      <w:pPr>
        <w:spacing w:beforeLines="0" w:after="120" w:afterLines="0" w:line="240" w:lineRule="auto"/>
        <w:rPr>
          <w:szCs w:val="21"/>
        </w:rPr>
      </w:pPr>
      <w:r>
        <w:rPr>
          <w:szCs w:val="21"/>
        </w:rPr>
        <w:t xml:space="preserve">where </w:t>
      </w:r>
      <w:r>
        <w:rPr>
          <w:i/>
          <w:iCs/>
          <w:szCs w:val="21"/>
        </w:rPr>
        <w:t>k</w:t>
      </w:r>
      <w:r>
        <w:rPr>
          <w:szCs w:val="21"/>
        </w:rPr>
        <w:t xml:space="preserve"> = 0,..,</w:t>
      </w:r>
      <w:r>
        <w:rPr>
          <w:i/>
          <w:iCs/>
          <w:szCs w:val="21"/>
        </w:rPr>
        <w:t>N</w:t>
      </w:r>
      <w:r>
        <w:rPr>
          <w:szCs w:val="21"/>
        </w:rPr>
        <w:t>−1</w:t>
      </w:r>
      <w:r>
        <w:rPr>
          <w:rFonts w:hint="eastAsia"/>
          <w:szCs w:val="21"/>
        </w:rPr>
        <w:t xml:space="preserve">, </w:t>
      </w:r>
      <w:r>
        <w:rPr>
          <w:szCs w:val="21"/>
        </w:rPr>
        <w:t xml:space="preserve">and </w:t>
      </w:r>
      <w:r>
        <w:rPr>
          <w:rFonts w:hint="eastAsia"/>
          <w:i/>
          <w:iCs/>
          <w:szCs w:val="21"/>
        </w:rPr>
        <w:t>i</w:t>
      </w:r>
      <w:r>
        <w:rPr>
          <w:rFonts w:hint="eastAsia"/>
          <w:szCs w:val="21"/>
        </w:rPr>
        <w:t xml:space="preserve"> =0,...,2</w:t>
      </w:r>
      <w:r>
        <w:rPr>
          <w:rFonts w:hint="eastAsia"/>
          <w:i/>
          <w:iCs/>
          <w:szCs w:val="21"/>
        </w:rPr>
        <w:t>N</w:t>
      </w:r>
      <w:r>
        <w:rPr>
          <w:rFonts w:hint="eastAsia"/>
          <w:szCs w:val="21"/>
        </w:rPr>
        <w:t>-1.</w:t>
      </w:r>
    </w:p>
    <w:p>
      <w:pPr>
        <w:spacing w:beforeLines="0" w:after="120" w:afterLines="0" w:line="240" w:lineRule="auto"/>
        <w:rPr>
          <w:szCs w:val="21"/>
        </w:rPr>
      </w:pPr>
      <w:r>
        <w:rPr>
          <w:szCs w:val="21"/>
        </w:rPr>
        <w:t xml:space="preserve">Consequently, </w:t>
      </w:r>
      <w:r>
        <w:rPr>
          <w:rFonts w:hint="eastAsia"/>
          <w:szCs w:val="21"/>
        </w:rPr>
        <w:t>i</w:t>
      </w:r>
      <w:r>
        <w:rPr>
          <w:szCs w:val="21"/>
        </w:rPr>
        <w:t>n th</w:t>
      </w:r>
      <w:r>
        <w:rPr>
          <w:rFonts w:hint="eastAsia"/>
          <w:szCs w:val="21"/>
        </w:rPr>
        <w:t>e I-</w:t>
      </w:r>
      <w:r>
        <w:rPr>
          <w:szCs w:val="21"/>
        </w:rPr>
        <w:t xml:space="preserve">π/2-BPSK sequence, </w:t>
      </w:r>
      <w:r>
        <w:rPr>
          <w:rFonts w:hint="eastAsia"/>
          <w:szCs w:val="21"/>
        </w:rPr>
        <w:t xml:space="preserve">the </w:t>
      </w:r>
      <w:r>
        <w:rPr>
          <w:szCs w:val="21"/>
        </w:rPr>
        <w:t xml:space="preserve">symbols at even indices are the original π/2-BPSK symbols, while those at odd indices are the </w:t>
      </w:r>
      <w:r>
        <w:rPr>
          <w:rFonts w:hint="eastAsia"/>
          <w:szCs w:val="21"/>
        </w:rPr>
        <w:t>interpolated</w:t>
      </w:r>
      <w:r>
        <w:rPr>
          <w:szCs w:val="21"/>
        </w:rPr>
        <w:t xml:space="preserve"> symbols.</w:t>
      </w:r>
      <w:r>
        <w:rPr>
          <w:rFonts w:hint="eastAsia"/>
          <w:szCs w:val="21"/>
        </w:rPr>
        <w:t xml:space="preserve"> </w:t>
      </w:r>
      <w:r>
        <w:rPr>
          <w:szCs w:val="21"/>
        </w:rPr>
        <w:t xml:space="preserve">With the interpolation operation, the phase difference between adjacent </w:t>
      </w:r>
      <w:r>
        <w:rPr>
          <w:rFonts w:hint="eastAsia"/>
          <w:szCs w:val="21"/>
        </w:rPr>
        <w:t>I-</w:t>
      </w:r>
      <w:r>
        <w:rPr>
          <w:szCs w:val="21"/>
        </w:rPr>
        <w:t xml:space="preserve">π/2-BPSK symbols is π/4. Figure 7 illustrates the constellation points for </w:t>
      </w:r>
      <w:r>
        <w:rPr>
          <w:rFonts w:hint="eastAsia"/>
          <w:szCs w:val="21"/>
        </w:rPr>
        <w:t>I-</w:t>
      </w:r>
      <w:r>
        <w:rPr>
          <w:szCs w:val="21"/>
        </w:rPr>
        <w:t xml:space="preserve">π/2-BPSK modulation. In Fig. </w:t>
      </w:r>
      <w:r>
        <w:rPr>
          <w:rFonts w:hint="eastAsia"/>
          <w:szCs w:val="21"/>
        </w:rPr>
        <w:t>y</w:t>
      </w:r>
      <w:r>
        <w:rPr>
          <w:szCs w:val="21"/>
        </w:rPr>
        <w:t xml:space="preserve">, points </w:t>
      </w:r>
      <m:oMath>
        <m:sSub>
          <m:sSubPr>
            <m:ctrlPr>
              <w:rPr>
                <w:rFonts w:ascii="Cambria Math" w:hAnsi="Cambria Math"/>
                <w:i/>
                <w:szCs w:val="21"/>
              </w:rPr>
            </m:ctrlPr>
          </m:sSubPr>
          <m:e>
            <m:r>
              <m:rPr/>
              <w:rPr>
                <w:rFonts w:ascii="Cambria Math" w:hAnsi="Cambria Math"/>
                <w:szCs w:val="21"/>
              </w:rPr>
              <m:t>a</m:t>
            </m:r>
            <m:ctrlPr>
              <w:rPr>
                <w:rFonts w:ascii="Cambria Math" w:hAnsi="Cambria Math"/>
                <w:i/>
                <w:szCs w:val="21"/>
              </w:rPr>
            </m:ctrlPr>
          </m:e>
          <m:sub>
            <m:r>
              <m:rPr/>
              <w:rPr>
                <w:rFonts w:ascii="Cambria Math" w:hAnsi="Cambria Math"/>
                <w:szCs w:val="21"/>
              </w:rPr>
              <m:t>2k</m:t>
            </m:r>
            <m:ctrlPr>
              <w:rPr>
                <w:rFonts w:ascii="Cambria Math" w:hAnsi="Cambria Math"/>
                <w:i/>
                <w:szCs w:val="21"/>
              </w:rPr>
            </m:ctrlPr>
          </m:sub>
        </m:sSub>
      </m:oMath>
      <w:r>
        <w:rPr>
          <w:szCs w:val="21"/>
        </w:rPr>
        <w:t xml:space="preserve"> and </w:t>
      </w:r>
      <m:oMath>
        <m:sSub>
          <m:sSubPr>
            <m:ctrlPr>
              <w:rPr>
                <w:rFonts w:ascii="Cambria Math" w:hAnsi="Cambria Math"/>
                <w:i/>
                <w:szCs w:val="21"/>
              </w:rPr>
            </m:ctrlPr>
          </m:sSubPr>
          <m:e>
            <m:r>
              <m:rPr/>
              <w:rPr>
                <w:rFonts w:ascii="Cambria Math" w:hAnsi="Cambria Math"/>
                <w:szCs w:val="21"/>
              </w:rPr>
              <m:t>a</m:t>
            </m:r>
            <m:ctrlPr>
              <w:rPr>
                <w:rFonts w:ascii="Cambria Math" w:hAnsi="Cambria Math"/>
                <w:i/>
                <w:szCs w:val="21"/>
              </w:rPr>
            </m:ctrlPr>
          </m:e>
          <m:sub>
            <m:r>
              <m:rPr/>
              <w:rPr>
                <w:rFonts w:ascii="Cambria Math" w:hAnsi="Cambria Math"/>
                <w:szCs w:val="21"/>
              </w:rPr>
              <m:t>2k+2</m:t>
            </m:r>
            <m:ctrlPr>
              <w:rPr>
                <w:rFonts w:ascii="Cambria Math" w:hAnsi="Cambria Math"/>
                <w:i/>
                <w:szCs w:val="21"/>
              </w:rPr>
            </m:ctrlPr>
          </m:sub>
        </m:sSub>
      </m:oMath>
      <w:r>
        <w:rPr>
          <w:szCs w:val="21"/>
        </w:rPr>
        <w:t xml:space="preserve"> represent π/2 BPSK symbols at even indices, whereas </w:t>
      </w:r>
      <m:oMath>
        <m:sSub>
          <m:sSubPr>
            <m:ctrlPr>
              <w:rPr>
                <w:rFonts w:ascii="Cambria Math" w:hAnsi="Cambria Math"/>
                <w:i/>
                <w:szCs w:val="21"/>
              </w:rPr>
            </m:ctrlPr>
          </m:sSubPr>
          <m:e>
            <m:r>
              <m:rPr/>
              <w:rPr>
                <w:rFonts w:ascii="Cambria Math" w:hAnsi="Cambria Math"/>
                <w:szCs w:val="21"/>
              </w:rPr>
              <m:t>a</m:t>
            </m:r>
            <m:ctrlPr>
              <w:rPr>
                <w:rFonts w:ascii="Cambria Math" w:hAnsi="Cambria Math"/>
                <w:i/>
                <w:szCs w:val="21"/>
              </w:rPr>
            </m:ctrlPr>
          </m:e>
          <m:sub>
            <m:r>
              <m:rPr/>
              <w:rPr>
                <w:rFonts w:ascii="Cambria Math" w:hAnsi="Cambria Math"/>
                <w:szCs w:val="21"/>
              </w:rPr>
              <m:t>2k+1</m:t>
            </m:r>
            <m:ctrlPr>
              <w:rPr>
                <w:rFonts w:ascii="Cambria Math" w:hAnsi="Cambria Math"/>
                <w:i/>
                <w:szCs w:val="21"/>
              </w:rPr>
            </m:ctrlPr>
          </m:sub>
        </m:sSub>
      </m:oMath>
      <w:r>
        <w:rPr>
          <w:szCs w:val="21"/>
        </w:rPr>
        <w:t xml:space="preserve"> and </w:t>
      </w:r>
      <m:oMath>
        <m:sSub>
          <m:sSubPr>
            <m:ctrlPr>
              <w:rPr>
                <w:rFonts w:ascii="Cambria Math" w:hAnsi="Cambria Math"/>
                <w:i/>
                <w:szCs w:val="21"/>
              </w:rPr>
            </m:ctrlPr>
          </m:sSubPr>
          <m:e>
            <m:r>
              <m:rPr/>
              <w:rPr>
                <w:rFonts w:ascii="Cambria Math" w:hAnsi="Cambria Math"/>
                <w:szCs w:val="21"/>
              </w:rPr>
              <m:t>a</m:t>
            </m:r>
            <m:ctrlPr>
              <w:rPr>
                <w:rFonts w:ascii="Cambria Math" w:hAnsi="Cambria Math"/>
                <w:i/>
                <w:szCs w:val="21"/>
              </w:rPr>
            </m:ctrlPr>
          </m:e>
          <m:sub>
            <m:r>
              <m:rPr/>
              <w:rPr>
                <w:rFonts w:ascii="Cambria Math" w:hAnsi="Cambria Math"/>
                <w:szCs w:val="21"/>
              </w:rPr>
              <m:t>2k+3</m:t>
            </m:r>
            <m:ctrlPr>
              <w:rPr>
                <w:rFonts w:ascii="Cambria Math" w:hAnsi="Cambria Math"/>
                <w:i/>
                <w:szCs w:val="21"/>
              </w:rPr>
            </m:ctrlPr>
          </m:sub>
        </m:sSub>
      </m:oMath>
      <w:r>
        <w:rPr>
          <w:szCs w:val="21"/>
        </w:rPr>
        <w:t xml:space="preserve"> denote the </w:t>
      </w:r>
      <w:r>
        <w:rPr>
          <w:rFonts w:hint="eastAsia"/>
          <w:szCs w:val="21"/>
        </w:rPr>
        <w:t>interpolated</w:t>
      </w:r>
      <w:r>
        <w:rPr>
          <w:szCs w:val="21"/>
        </w:rPr>
        <w:t xml:space="preserve"> symbols at odd indices. </w:t>
      </w:r>
    </w:p>
    <w:p>
      <w:pPr>
        <w:spacing w:beforeLines="0" w:after="120" w:afterLines="0" w:line="240" w:lineRule="auto"/>
        <w:jc w:val="center"/>
        <w:rPr>
          <w:szCs w:val="21"/>
        </w:rPr>
      </w:pPr>
      <w:r>
        <w:rPr>
          <w:rFonts w:hint="eastAsia"/>
          <w:szCs w:val="21"/>
        </w:rPr>
        <w:object>
          <v:shape id="_x0000_i1030" o:spt="75" type="#_x0000_t75" style="height:117.25pt;width:415.25pt;" o:ole="t" filled="f" o:preferrelative="t" stroked="f" coordsize="21600,21600">
            <v:path/>
            <v:fill on="f" focussize="0,0"/>
            <v:stroke on="f" joinstyle="miter"/>
            <v:imagedata r:id="rId30" o:title=""/>
            <o:lock v:ext="edit" aspectratio="f"/>
            <w10:wrap type="none"/>
            <w10:anchorlock/>
          </v:shape>
          <o:OLEObject Type="Embed" ProgID="Visio.Drawing.11" ShapeID="_x0000_i1030" DrawAspect="Content" ObjectID="_1468075730" r:id="rId29">
            <o:LockedField>false</o:LockedField>
          </o:OLEObject>
        </w:object>
      </w:r>
    </w:p>
    <w:p>
      <w:pPr>
        <w:spacing w:beforeLines="0" w:after="120" w:afterLines="0" w:line="240" w:lineRule="auto"/>
        <w:jc w:val="center"/>
        <w:rPr>
          <w:szCs w:val="21"/>
        </w:rPr>
      </w:pPr>
      <w:r>
        <w:rPr>
          <w:szCs w:val="21"/>
        </w:rPr>
        <w:t>Figure 7</w:t>
      </w:r>
      <w:r>
        <w:rPr>
          <w:rFonts w:hint="eastAsia"/>
          <w:szCs w:val="21"/>
        </w:rPr>
        <w:t xml:space="preserve"> I-</w:t>
      </w:r>
      <w:r>
        <w:rPr>
          <w:szCs w:val="21"/>
        </w:rPr>
        <w:t>π</w:t>
      </w:r>
      <w:r>
        <w:rPr>
          <w:rFonts w:hint="eastAsia"/>
          <w:szCs w:val="21"/>
        </w:rPr>
        <w:t>/2-BPSK constellation</w:t>
      </w:r>
    </w:p>
    <w:p>
      <w:pPr>
        <w:spacing w:beforeLines="0" w:after="120" w:afterLines="0" w:line="240" w:lineRule="auto"/>
        <w:rPr>
          <w:szCs w:val="21"/>
        </w:rPr>
      </w:pPr>
    </w:p>
    <w:p>
      <w:pPr>
        <w:pStyle w:val="51"/>
        <w:spacing w:before="120" w:after="120"/>
        <w:rPr>
          <w:lang w:val="en-US" w:eastAsia="zh-CN"/>
        </w:rPr>
      </w:pPr>
      <w:bookmarkStart w:id="210" w:name="_Toc206178993"/>
      <w:r>
        <w:rPr>
          <w:rFonts w:hint="eastAsia"/>
          <w:lang w:val="en-US" w:eastAsia="zh-CN"/>
        </w:rPr>
        <w:t xml:space="preserve">Inserting the normalized sum of two adjacent </w:t>
      </w:r>
      <w:r>
        <w:rPr>
          <w:lang w:val="en-US" w:eastAsia="zh-CN"/>
        </w:rPr>
        <w:t>π</w:t>
      </w:r>
      <w:r>
        <w:rPr>
          <w:rFonts w:hint="eastAsia"/>
          <w:lang w:val="en-US" w:eastAsia="zh-CN"/>
        </w:rPr>
        <w:t xml:space="preserve">/2-BPSK symbols between them can reduce the phase difference between consecutive symbols from </w:t>
      </w:r>
      <w:r>
        <w:rPr>
          <w:lang w:val="en-US" w:eastAsia="zh-CN"/>
        </w:rPr>
        <w:t>π</w:t>
      </w:r>
      <w:r>
        <w:rPr>
          <w:rFonts w:hint="eastAsia"/>
          <w:lang w:val="en-US" w:eastAsia="zh-CN"/>
        </w:rPr>
        <w:t xml:space="preserve">/2 to </w:t>
      </w:r>
      <w:r>
        <w:rPr>
          <w:lang w:val="en-US" w:eastAsia="zh-CN"/>
        </w:rPr>
        <w:t>π</w:t>
      </w:r>
      <w:r>
        <w:rPr>
          <w:rFonts w:hint="eastAsia"/>
          <w:lang w:val="en-US" w:eastAsia="zh-CN"/>
        </w:rPr>
        <w:t>/4.</w:t>
      </w:r>
      <w:bookmarkEnd w:id="210"/>
    </w:p>
    <w:p>
      <w:pPr>
        <w:spacing w:beforeLines="0" w:after="120" w:afterLines="0" w:line="240" w:lineRule="auto"/>
        <w:rPr>
          <w:szCs w:val="21"/>
        </w:rPr>
      </w:pPr>
      <w:r>
        <w:rPr>
          <w:rFonts w:hint="eastAsia"/>
          <w:szCs w:val="21"/>
        </w:rPr>
        <w:t>Nex</w:t>
      </w:r>
      <w:r>
        <w:rPr>
          <w:szCs w:val="21"/>
        </w:rPr>
        <w:t xml:space="preserve">t, the time-domain </w:t>
      </w:r>
      <w:r>
        <w:rPr>
          <w:rFonts w:hint="eastAsia"/>
          <w:szCs w:val="21"/>
        </w:rPr>
        <w:t>I-</w:t>
      </w:r>
      <w:r>
        <w:rPr>
          <w:szCs w:val="21"/>
        </w:rPr>
        <w:t>π/2-BPSK sequence</w:t>
      </w:r>
      <w:r>
        <w:rPr>
          <w:rFonts w:hint="eastAsia"/>
          <w:szCs w:val="21"/>
        </w:rPr>
        <w:t xml:space="preserve"> is transformed </w:t>
      </w:r>
      <w:r>
        <w:rPr>
          <w:szCs w:val="21"/>
        </w:rPr>
        <w:t xml:space="preserve">into the frequency domain </w:t>
      </w:r>
      <w:r>
        <w:rPr>
          <w:rFonts w:hint="eastAsia"/>
          <w:szCs w:val="21"/>
        </w:rPr>
        <w:t xml:space="preserve">through a </w:t>
      </w:r>
      <w:r>
        <w:rPr>
          <w:szCs w:val="21"/>
        </w:rPr>
        <w:t xml:space="preserve">DFT </w:t>
      </w:r>
      <w:r>
        <w:rPr>
          <w:rFonts w:hint="eastAsia"/>
          <w:szCs w:val="21"/>
        </w:rPr>
        <w:t xml:space="preserve">operation </w:t>
      </w:r>
      <w:r>
        <w:rPr>
          <w:szCs w:val="21"/>
        </w:rPr>
        <w:t>(</w:t>
      </w:r>
      <w:r>
        <w:rPr>
          <w:rFonts w:hint="eastAsia"/>
          <w:szCs w:val="21"/>
        </w:rPr>
        <w:t xml:space="preserve">i.e., </w:t>
      </w:r>
      <w:r>
        <w:rPr>
          <w:szCs w:val="21"/>
        </w:rPr>
        <w:t>transform precoding).</w:t>
      </w:r>
    </w:p>
    <w:p>
      <w:pPr>
        <w:spacing w:beforeLines="0" w:after="120" w:afterLines="0" w:line="240" w:lineRule="auto"/>
        <w:rPr>
          <w:szCs w:val="21"/>
        </w:rPr>
      </w:pPr>
      <w:r>
        <w:rPr>
          <w:szCs w:val="21"/>
        </w:rPr>
        <w:t xml:space="preserve">The PSD of I-π/2-BPSK </w:t>
      </w:r>
      <w:r>
        <w:rPr>
          <w:rFonts w:hint="eastAsia"/>
          <w:szCs w:val="21"/>
        </w:rPr>
        <w:t xml:space="preserve">sequence </w:t>
      </w:r>
      <w:r>
        <w:rPr>
          <w:szCs w:val="21"/>
        </w:rPr>
        <w:t>has a different profile compared to that of π/2-BPSK.</w:t>
      </w:r>
      <w:r>
        <w:rPr>
          <w:rFonts w:hint="eastAsia"/>
          <w:szCs w:val="21"/>
        </w:rPr>
        <w:t xml:space="preserve"> As shown in </w:t>
      </w:r>
      <w:r>
        <w:rPr>
          <w:szCs w:val="21"/>
        </w:rPr>
        <w:t>Figures 8 and</w:t>
      </w:r>
      <w:r>
        <w:rPr>
          <w:rFonts w:hint="eastAsia"/>
          <w:szCs w:val="21"/>
        </w:rPr>
        <w:t xml:space="preserve"> </w:t>
      </w:r>
      <w:r>
        <w:rPr>
          <w:szCs w:val="21"/>
        </w:rPr>
        <w:t xml:space="preserve">9, the </w:t>
      </w:r>
      <w:r>
        <w:rPr>
          <w:rFonts w:hint="eastAsia"/>
          <w:szCs w:val="21"/>
        </w:rPr>
        <w:t xml:space="preserve">PSD of </w:t>
      </w:r>
      <w:r>
        <w:rPr>
          <w:szCs w:val="21"/>
        </w:rPr>
        <w:t>π/2 BPSK presents as an approximately flat with a power level of 1, whereas th</w:t>
      </w:r>
      <w:r>
        <w:rPr>
          <w:rFonts w:hint="eastAsia"/>
          <w:szCs w:val="21"/>
        </w:rPr>
        <w:t>at</w:t>
      </w:r>
      <w:r>
        <w:rPr>
          <w:szCs w:val="21"/>
        </w:rPr>
        <w:t xml:space="preserve"> of </w:t>
      </w:r>
      <w:r>
        <w:rPr>
          <w:rFonts w:hint="eastAsia"/>
          <w:szCs w:val="21"/>
        </w:rPr>
        <w:t>I-</w:t>
      </w:r>
      <w:r>
        <w:rPr>
          <w:szCs w:val="21"/>
        </w:rPr>
        <w:t xml:space="preserve">π/2-BPSK exhibits a low‑pass spectrum: power is concentrated at low frequencies and attenuated at high frequencies. </w:t>
      </w:r>
    </w:p>
    <w:p>
      <w:pPr>
        <w:spacing w:beforeLines="0" w:after="120" w:afterLines="0" w:line="240" w:lineRule="auto"/>
        <w:rPr>
          <w:szCs w:val="21"/>
        </w:rPr>
      </w:pPr>
      <w:r>
        <w:rPr>
          <w:szCs w:val="21"/>
        </w:rPr>
        <w:t xml:space="preserve">Under moderate-to-low SNR channel conditions, </w:t>
      </w:r>
      <w:r>
        <w:rPr>
          <w:rFonts w:hint="eastAsia"/>
          <w:szCs w:val="21"/>
        </w:rPr>
        <w:t>for I-</w:t>
      </w:r>
      <w:r>
        <w:rPr>
          <w:szCs w:val="21"/>
        </w:rPr>
        <w:t>π/2-BPSK</w:t>
      </w:r>
      <w:r>
        <w:rPr>
          <w:rFonts w:hint="eastAsia"/>
          <w:szCs w:val="21"/>
        </w:rPr>
        <w:t xml:space="preserve">, </w:t>
      </w:r>
      <w:r>
        <w:rPr>
          <w:szCs w:val="21"/>
        </w:rPr>
        <w:t xml:space="preserve">the SNR in the high-frequency region is very low, </w:t>
      </w:r>
      <w:r>
        <w:rPr>
          <w:rFonts w:hint="eastAsia"/>
          <w:szCs w:val="21"/>
        </w:rPr>
        <w:t xml:space="preserve">which causes that </w:t>
      </w:r>
      <w:r>
        <w:rPr>
          <w:szCs w:val="21"/>
        </w:rPr>
        <w:t xml:space="preserve">the received signal </w:t>
      </w:r>
      <w:r>
        <w:rPr>
          <w:rFonts w:hint="eastAsia"/>
          <w:szCs w:val="21"/>
        </w:rPr>
        <w:t xml:space="preserve">is </w:t>
      </w:r>
      <w:r>
        <w:rPr>
          <w:szCs w:val="21"/>
        </w:rPr>
        <w:t xml:space="preserve">predominantly noise; in contrast, the low-frequency region has a higher SNR, leading to more reliable received </w:t>
      </w:r>
      <w:r>
        <w:rPr>
          <w:rFonts w:hint="eastAsia"/>
          <w:szCs w:val="21"/>
        </w:rPr>
        <w:t>information</w:t>
      </w:r>
      <w:r>
        <w:rPr>
          <w:szCs w:val="21"/>
        </w:rPr>
        <w:t xml:space="preserve">. This </w:t>
      </w:r>
      <w:r>
        <w:rPr>
          <w:rFonts w:hint="eastAsia"/>
          <w:szCs w:val="21"/>
        </w:rPr>
        <w:t xml:space="preserve">PSD </w:t>
      </w:r>
      <w:r>
        <w:rPr>
          <w:szCs w:val="21"/>
        </w:rPr>
        <w:t xml:space="preserve">distribution facilitates subsequent frequency-domain truncation operations on </w:t>
      </w:r>
      <w:r>
        <w:rPr>
          <w:rFonts w:hint="eastAsia"/>
          <w:szCs w:val="21"/>
        </w:rPr>
        <w:t>I-</w:t>
      </w:r>
      <w:r>
        <w:rPr>
          <w:szCs w:val="21"/>
        </w:rPr>
        <w:t xml:space="preserve">π/2-BPSK modulation, </w:t>
      </w:r>
      <w:r>
        <w:rPr>
          <w:rFonts w:hint="eastAsia"/>
          <w:szCs w:val="21"/>
        </w:rPr>
        <w:t>reserving</w:t>
      </w:r>
      <w:r>
        <w:rPr>
          <w:szCs w:val="21"/>
        </w:rPr>
        <w:t xml:space="preserve"> the low-frequency components and discarding the high-frequency ones to ensure good demodulation performance.</w:t>
      </w:r>
    </w:p>
    <w:p>
      <w:pPr>
        <w:spacing w:beforeLines="0" w:after="120" w:afterLines="0" w:line="240" w:lineRule="auto"/>
        <w:jc w:val="center"/>
        <w:rPr>
          <w:szCs w:val="21"/>
        </w:rPr>
      </w:pPr>
      <w:r>
        <w:rPr>
          <w:rFonts w:hint="eastAsia"/>
          <w:szCs w:val="21"/>
        </w:rPr>
        <w:drawing>
          <wp:inline distT="0" distB="0" distL="114300" distR="114300">
            <wp:extent cx="3324225" cy="2494915"/>
            <wp:effectExtent l="0" t="0" r="9525" b="635"/>
            <wp:docPr id="10" name="图片 10" descr="PSD_0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PSD_0808"/>
                    <pic:cNvPicPr>
                      <a:picLocks noChangeAspect="1"/>
                    </pic:cNvPicPr>
                  </pic:nvPicPr>
                  <pic:blipFill>
                    <a:blip r:embed="rId31"/>
                    <a:stretch>
                      <a:fillRect/>
                    </a:stretch>
                  </pic:blipFill>
                  <pic:spPr>
                    <a:xfrm>
                      <a:off x="0" y="0"/>
                      <a:ext cx="3324225" cy="2494915"/>
                    </a:xfrm>
                    <a:prstGeom prst="rect">
                      <a:avLst/>
                    </a:prstGeom>
                  </pic:spPr>
                </pic:pic>
              </a:graphicData>
            </a:graphic>
          </wp:inline>
        </w:drawing>
      </w:r>
    </w:p>
    <w:p>
      <w:pPr>
        <w:spacing w:beforeLines="0" w:after="120" w:afterLines="0" w:line="240" w:lineRule="auto"/>
        <w:jc w:val="center"/>
        <w:rPr>
          <w:szCs w:val="21"/>
        </w:rPr>
      </w:pPr>
      <w:r>
        <w:rPr>
          <w:szCs w:val="21"/>
        </w:rPr>
        <w:t>Figure</w:t>
      </w:r>
      <w:r>
        <w:rPr>
          <w:rFonts w:hint="eastAsia"/>
          <w:szCs w:val="21"/>
        </w:rPr>
        <w:t xml:space="preserve"> </w:t>
      </w:r>
      <w:r>
        <w:rPr>
          <w:szCs w:val="21"/>
        </w:rPr>
        <w:t>8</w:t>
      </w:r>
      <w:r>
        <w:rPr>
          <w:rFonts w:hint="eastAsia"/>
          <w:szCs w:val="21"/>
        </w:rPr>
        <w:t xml:space="preserve"> PSD for </w:t>
      </w:r>
      <w:r>
        <w:rPr>
          <w:szCs w:val="21"/>
        </w:rPr>
        <w:t>π/2-BPSK</w:t>
      </w:r>
    </w:p>
    <w:p>
      <w:pPr>
        <w:spacing w:beforeLines="0" w:after="120" w:afterLines="0" w:line="240" w:lineRule="auto"/>
        <w:jc w:val="center"/>
        <w:rPr>
          <w:szCs w:val="21"/>
        </w:rPr>
      </w:pPr>
      <w:r>
        <w:rPr>
          <w:szCs w:val="21"/>
        </w:rPr>
        <w:drawing>
          <wp:inline distT="0" distB="0" distL="0" distR="0">
            <wp:extent cx="3351530" cy="2518410"/>
            <wp:effectExtent l="0" t="0" r="0" b="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noChangeArrowheads="1"/>
                    </pic:cNvPicPr>
                  </pic:nvPicPr>
                  <pic:blipFill>
                    <a:blip r:embed="rId32"/>
                    <a:srcRect/>
                    <a:stretch>
                      <a:fillRect/>
                    </a:stretch>
                  </pic:blipFill>
                  <pic:spPr>
                    <a:xfrm>
                      <a:off x="0" y="0"/>
                      <a:ext cx="3351530" cy="2518410"/>
                    </a:xfrm>
                    <a:prstGeom prst="rect">
                      <a:avLst/>
                    </a:prstGeom>
                    <a:noFill/>
                    <a:ln w="9525" cmpd="sng">
                      <a:noFill/>
                      <a:miter lim="800000"/>
                      <a:headEnd/>
                      <a:tailEnd/>
                    </a:ln>
                  </pic:spPr>
                </pic:pic>
              </a:graphicData>
            </a:graphic>
          </wp:inline>
        </w:drawing>
      </w:r>
    </w:p>
    <w:p>
      <w:pPr>
        <w:spacing w:beforeLines="0" w:after="120" w:afterLines="0" w:line="240" w:lineRule="auto"/>
        <w:jc w:val="center"/>
        <w:rPr>
          <w:szCs w:val="21"/>
        </w:rPr>
      </w:pPr>
      <w:r>
        <w:rPr>
          <w:szCs w:val="21"/>
        </w:rPr>
        <w:t>Figure</w:t>
      </w:r>
      <w:r>
        <w:rPr>
          <w:rFonts w:hint="eastAsia"/>
          <w:szCs w:val="21"/>
        </w:rPr>
        <w:t xml:space="preserve"> </w:t>
      </w:r>
      <w:r>
        <w:rPr>
          <w:szCs w:val="21"/>
        </w:rPr>
        <w:t>9</w:t>
      </w:r>
      <w:r>
        <w:rPr>
          <w:rFonts w:hint="eastAsia"/>
          <w:szCs w:val="21"/>
        </w:rPr>
        <w:t xml:space="preserve"> PSD for </w:t>
      </w:r>
      <w:r>
        <w:rPr>
          <w:szCs w:val="21"/>
        </w:rPr>
        <w:t>I-π/2-BPSK</w:t>
      </w:r>
      <w:r>
        <w:rPr>
          <w:rFonts w:hint="eastAsia"/>
          <w:szCs w:val="21"/>
        </w:rPr>
        <w:t xml:space="preserve"> before </w:t>
      </w:r>
      <w:r>
        <w:rPr>
          <w:szCs w:val="21"/>
        </w:rPr>
        <w:t>frequency-domain truncation</w:t>
      </w:r>
    </w:p>
    <w:p>
      <w:pPr>
        <w:pStyle w:val="51"/>
        <w:spacing w:before="120" w:after="120"/>
        <w:jc w:val="both"/>
        <w:rPr>
          <w:lang w:val="en-US" w:eastAsia="zh-CN"/>
        </w:rPr>
      </w:pPr>
      <w:bookmarkStart w:id="211" w:name="_Toc206178994"/>
      <w:r>
        <w:rPr>
          <w:rFonts w:hint="eastAsia"/>
          <w:lang w:val="en-US" w:eastAsia="zh-CN"/>
        </w:rPr>
        <w:t>Due to the low-pass PSD, I-</w:t>
      </w:r>
      <w:r>
        <w:rPr>
          <w:lang w:val="en-US" w:eastAsia="zh-CN"/>
        </w:rPr>
        <w:t>π</w:t>
      </w:r>
      <w:r>
        <w:rPr>
          <w:rFonts w:hint="eastAsia"/>
          <w:lang w:val="en-US" w:eastAsia="zh-CN"/>
        </w:rPr>
        <w:t>/2-BPSK is appropriate for frequency-domain truncation prior to transmission.</w:t>
      </w:r>
      <w:bookmarkEnd w:id="211"/>
    </w:p>
    <w:p>
      <w:pPr>
        <w:spacing w:beforeLines="0" w:after="120" w:afterLines="0" w:line="240" w:lineRule="auto"/>
        <w:rPr>
          <w:szCs w:val="21"/>
        </w:rPr>
      </w:pPr>
      <w:r>
        <w:rPr>
          <w:b/>
          <w:bCs/>
          <w:szCs w:val="21"/>
        </w:rPr>
        <w:t xml:space="preserve">Step 2: Frequency </w:t>
      </w:r>
      <w:r>
        <w:rPr>
          <w:rFonts w:hint="eastAsia"/>
          <w:b/>
          <w:bCs/>
          <w:szCs w:val="21"/>
        </w:rPr>
        <w:t>d</w:t>
      </w:r>
      <w:r>
        <w:rPr>
          <w:b/>
          <w:bCs/>
          <w:szCs w:val="21"/>
        </w:rPr>
        <w:t xml:space="preserve">omain </w:t>
      </w:r>
      <w:r>
        <w:rPr>
          <w:rFonts w:hint="eastAsia"/>
          <w:b/>
          <w:bCs/>
          <w:szCs w:val="21"/>
        </w:rPr>
        <w:t>t</w:t>
      </w:r>
      <w:r>
        <w:rPr>
          <w:b/>
          <w:bCs/>
          <w:szCs w:val="21"/>
        </w:rPr>
        <w:t>runcation</w:t>
      </w:r>
    </w:p>
    <w:p>
      <w:pPr>
        <w:spacing w:beforeLines="0" w:after="120" w:afterLines="0" w:line="240" w:lineRule="auto"/>
        <w:rPr>
          <w:szCs w:val="21"/>
        </w:rPr>
      </w:pPr>
      <w:r>
        <w:rPr>
          <w:szCs w:val="21"/>
        </w:rPr>
        <w:t xml:space="preserve">As observed in Step 2, the interpolation process in </w:t>
      </w:r>
      <w:r>
        <w:rPr>
          <w:rFonts w:hint="eastAsia"/>
          <w:szCs w:val="21"/>
        </w:rPr>
        <w:t>I-</w:t>
      </w:r>
      <w:r>
        <w:rPr>
          <w:szCs w:val="21"/>
        </w:rPr>
        <w:t>π/2-BPSK modulation effectively doubles the π/2-BPSK</w:t>
      </w:r>
      <w:r>
        <w:rPr>
          <w:rFonts w:hint="eastAsia"/>
          <w:szCs w:val="21"/>
        </w:rPr>
        <w:t xml:space="preserve"> </w:t>
      </w:r>
      <w:r>
        <w:rPr>
          <w:szCs w:val="21"/>
        </w:rPr>
        <w:t xml:space="preserve">sequence, resulting in a </w:t>
      </w:r>
      <w:r>
        <w:rPr>
          <w:rFonts w:hint="eastAsia"/>
          <w:szCs w:val="21"/>
        </w:rPr>
        <w:t xml:space="preserve">bandwidth </w:t>
      </w:r>
      <w:r>
        <w:rPr>
          <w:szCs w:val="21"/>
        </w:rPr>
        <w:t>that is twice that of π/2-BPSK</w:t>
      </w:r>
      <w:r>
        <w:rPr>
          <w:rFonts w:hint="eastAsia" w:ascii="Helvetica" w:hAnsi="Helvetica" w:cs="Helvetica"/>
          <w:color w:val="2C2C36"/>
          <w:spacing w:val="1"/>
          <w:szCs w:val="21"/>
          <w:shd w:val="clear" w:color="auto" w:fill="FFFFFF"/>
        </w:rPr>
        <w:t xml:space="preserve"> </w:t>
      </w:r>
      <w:r>
        <w:rPr>
          <w:szCs w:val="21"/>
        </w:rPr>
        <w:t>(</w:t>
      </w:r>
      <w:r>
        <w:rPr>
          <w:rFonts w:hint="eastAsia"/>
          <w:szCs w:val="21"/>
        </w:rPr>
        <w:t xml:space="preserve">i.e., </w:t>
      </w:r>
      <w:r>
        <w:rPr>
          <w:szCs w:val="21"/>
        </w:rPr>
        <w:t xml:space="preserve">2×BW). To maintain </w:t>
      </w:r>
      <w:r>
        <w:rPr>
          <w:rFonts w:hint="eastAsia"/>
          <w:szCs w:val="21"/>
        </w:rPr>
        <w:t xml:space="preserve">spectrum </w:t>
      </w:r>
      <w:r>
        <w:rPr>
          <w:szCs w:val="21"/>
        </w:rPr>
        <w:t>efficiency, frequency</w:t>
      </w:r>
      <w:r>
        <w:rPr>
          <w:rFonts w:hint="eastAsia"/>
          <w:szCs w:val="21"/>
        </w:rPr>
        <w:t xml:space="preserve"> </w:t>
      </w:r>
      <w:r>
        <w:rPr>
          <w:szCs w:val="21"/>
        </w:rPr>
        <w:t xml:space="preserve">domain truncation </w:t>
      </w:r>
      <w:r>
        <w:rPr>
          <w:rFonts w:hint="eastAsia"/>
          <w:szCs w:val="21"/>
        </w:rPr>
        <w:t xml:space="preserve">with </w:t>
      </w:r>
      <w:r>
        <w:rPr>
          <w:szCs w:val="21"/>
        </w:rPr>
        <w:t>truncation factor</w:t>
      </w:r>
      <w:r>
        <w:rPr>
          <w:rFonts w:hint="eastAsia"/>
          <w:szCs w:val="21"/>
        </w:rPr>
        <w:t xml:space="preserve"> F </w:t>
      </w:r>
      <w:r>
        <w:rPr>
          <w:szCs w:val="21"/>
        </w:rPr>
        <w:t xml:space="preserve">is applied to the </w:t>
      </w:r>
      <w:r>
        <w:rPr>
          <w:rFonts w:hint="eastAsia"/>
          <w:szCs w:val="21"/>
        </w:rPr>
        <w:t>I-</w:t>
      </w:r>
      <w:r>
        <w:rPr>
          <w:szCs w:val="21"/>
        </w:rPr>
        <w:t>π/2-BPSK</w:t>
      </w:r>
      <w:r>
        <w:rPr>
          <w:rFonts w:hint="eastAsia"/>
          <w:szCs w:val="21"/>
        </w:rPr>
        <w:t xml:space="preserve"> data</w:t>
      </w:r>
      <w:r>
        <w:rPr>
          <w:szCs w:val="21"/>
        </w:rPr>
        <w:t>. Specifically, only a fraction F of the frequency-domain</w:t>
      </w:r>
      <w:r>
        <w:rPr>
          <w:rFonts w:hint="eastAsia"/>
          <w:szCs w:val="21"/>
        </w:rPr>
        <w:t xml:space="preserve"> </w:t>
      </w:r>
      <w:r>
        <w:rPr>
          <w:szCs w:val="21"/>
        </w:rPr>
        <w:t xml:space="preserve">components </w:t>
      </w:r>
      <w:r>
        <w:rPr>
          <w:rFonts w:hint="eastAsia"/>
          <w:szCs w:val="21"/>
        </w:rPr>
        <w:t>a</w:t>
      </w:r>
      <w:r>
        <w:rPr>
          <w:szCs w:val="21"/>
        </w:rPr>
        <w:t xml:space="preserve">re </w:t>
      </w:r>
      <w:r>
        <w:rPr>
          <w:rFonts w:hint="eastAsia"/>
          <w:szCs w:val="21"/>
        </w:rPr>
        <w:t>reserved</w:t>
      </w:r>
      <w:r>
        <w:rPr>
          <w:szCs w:val="21"/>
        </w:rPr>
        <w:t>, resulting in an occupied bandwidth of 2×BW×</w:t>
      </w:r>
      <w:r>
        <w:rPr>
          <w:rFonts w:hint="eastAsia"/>
          <w:szCs w:val="21"/>
        </w:rPr>
        <w:t>F</w:t>
      </w:r>
      <w:r>
        <w:rPr>
          <w:szCs w:val="21"/>
        </w:rPr>
        <w:t>.</w:t>
      </w:r>
    </w:p>
    <w:p>
      <w:pPr>
        <w:spacing w:beforeLines="0" w:after="120" w:afterLines="0" w:line="240" w:lineRule="auto"/>
        <w:rPr>
          <w:szCs w:val="21"/>
        </w:rPr>
      </w:pPr>
      <w:r>
        <w:rPr>
          <w:szCs w:val="21"/>
        </w:rPr>
        <w:t xml:space="preserve">One feasible choice is </w:t>
      </w:r>
      <w:r>
        <w:rPr>
          <w:rFonts w:hint="eastAsia"/>
          <w:szCs w:val="21"/>
        </w:rPr>
        <w:t>F</w:t>
      </w:r>
      <w:r>
        <w:rPr>
          <w:szCs w:val="21"/>
        </w:rPr>
        <w:t xml:space="preserve"> = 1/2, keeping only the lower-frequency half of the </w:t>
      </w:r>
      <w:r>
        <w:rPr>
          <w:rFonts w:hint="eastAsia"/>
          <w:szCs w:val="21"/>
        </w:rPr>
        <w:t>I-</w:t>
      </w:r>
      <w:r>
        <w:rPr>
          <w:szCs w:val="21"/>
        </w:rPr>
        <w:t xml:space="preserve">π/2-BPSK spectrum and discard the higher-frequency components. This truncation ensures the occupied bandwidth of </w:t>
      </w:r>
      <w:r>
        <w:rPr>
          <w:rFonts w:hint="eastAsia"/>
          <w:szCs w:val="21"/>
        </w:rPr>
        <w:t>I-</w:t>
      </w:r>
      <w:r>
        <w:rPr>
          <w:szCs w:val="21"/>
        </w:rPr>
        <w:t>π/2-BPSK is the same as</w:t>
      </w:r>
      <w:r>
        <w:rPr>
          <w:rFonts w:hint="eastAsia"/>
          <w:szCs w:val="21"/>
        </w:rPr>
        <w:t xml:space="preserve"> </w:t>
      </w:r>
      <w:r>
        <w:rPr>
          <w:szCs w:val="21"/>
        </w:rPr>
        <w:t xml:space="preserve">π/2-BPSK modulation. Based on the PSD analysis in Step 2, </w:t>
      </w:r>
      <w:r>
        <w:rPr>
          <w:rFonts w:hint="eastAsia"/>
          <w:szCs w:val="21"/>
        </w:rPr>
        <w:t xml:space="preserve">the </w:t>
      </w:r>
      <w:r>
        <w:rPr>
          <w:szCs w:val="21"/>
        </w:rPr>
        <w:t xml:space="preserve">energy </w:t>
      </w:r>
      <w:r>
        <w:rPr>
          <w:rFonts w:hint="eastAsia"/>
          <w:szCs w:val="21"/>
        </w:rPr>
        <w:t>of I-</w:t>
      </w:r>
      <w:r>
        <w:rPr>
          <w:szCs w:val="21"/>
        </w:rPr>
        <w:t>π/2-BPSK</w:t>
      </w:r>
      <w:r>
        <w:rPr>
          <w:rFonts w:hint="eastAsia"/>
          <w:szCs w:val="21"/>
        </w:rPr>
        <w:t xml:space="preserve"> </w:t>
      </w:r>
      <w:r>
        <w:rPr>
          <w:szCs w:val="21"/>
        </w:rPr>
        <w:t>is concentrated in the low-frequency region, the truncation preserves most of the useful signal energy and information, restores the occupied bandwidth to BW (matching π/2</w:t>
      </w:r>
      <w:r>
        <w:rPr>
          <w:szCs w:val="21"/>
        </w:rPr>
        <w:noBreakHyphen/>
      </w:r>
      <w:r>
        <w:rPr>
          <w:szCs w:val="21"/>
        </w:rPr>
        <w:t xml:space="preserve">BPSK), and maintains good demodulation performance. </w:t>
      </w:r>
    </w:p>
    <w:p>
      <w:pPr>
        <w:spacing w:beforeLines="0" w:after="120" w:afterLines="0" w:line="240" w:lineRule="auto"/>
        <w:jc w:val="center"/>
        <w:rPr>
          <w:szCs w:val="21"/>
        </w:rPr>
      </w:pPr>
      <w:r>
        <w:rPr>
          <w:szCs w:val="21"/>
        </w:rPr>
        <w:object>
          <v:shape id="_x0000_i1031" o:spt="75" type="#_x0000_t75" style="height:260.2pt;width:291.9pt;" o:ole="t" filled="f" o:preferrelative="t" stroked="f" coordsize="21600,21600">
            <v:path/>
            <v:fill on="f" focussize="0,0"/>
            <v:stroke on="f" joinstyle="miter"/>
            <v:imagedata r:id="rId34" o:title=""/>
            <o:lock v:ext="edit" aspectratio="f"/>
            <w10:wrap type="none"/>
            <w10:anchorlock/>
          </v:shape>
          <o:OLEObject Type="Embed" ProgID="Visio.Drawing.11" ShapeID="_x0000_i1031" DrawAspect="Content" ObjectID="_1468075731" r:id="rId33">
            <o:LockedField>false</o:LockedField>
          </o:OLEObject>
        </w:object>
      </w:r>
    </w:p>
    <w:p>
      <w:pPr>
        <w:spacing w:beforeLines="0" w:after="120" w:afterLines="0" w:line="240" w:lineRule="auto"/>
        <w:jc w:val="center"/>
        <w:rPr>
          <w:szCs w:val="21"/>
        </w:rPr>
      </w:pPr>
      <w:r>
        <w:rPr>
          <w:rFonts w:hint="eastAsia"/>
          <w:szCs w:val="21"/>
        </w:rPr>
        <w:t>Figure 1</w:t>
      </w:r>
      <w:r>
        <w:rPr>
          <w:szCs w:val="21"/>
        </w:rPr>
        <w:t>0</w:t>
      </w:r>
      <w:r>
        <w:rPr>
          <w:rFonts w:hint="eastAsia"/>
          <w:szCs w:val="21"/>
        </w:rPr>
        <w:t xml:space="preserve"> F</w:t>
      </w:r>
      <w:r>
        <w:rPr>
          <w:szCs w:val="21"/>
        </w:rPr>
        <w:t>requency-domain truncation</w:t>
      </w:r>
      <w:r>
        <w:rPr>
          <w:rFonts w:hint="eastAsia"/>
          <w:szCs w:val="21"/>
        </w:rPr>
        <w:t xml:space="preserve"> for </w:t>
      </w:r>
      <w:r>
        <w:rPr>
          <w:szCs w:val="21"/>
        </w:rPr>
        <w:t>I-π/2-BPSK</w:t>
      </w:r>
    </w:p>
    <w:p>
      <w:pPr>
        <w:spacing w:beforeLines="0" w:after="120" w:afterLines="0" w:line="240" w:lineRule="auto"/>
        <w:rPr>
          <w:szCs w:val="21"/>
        </w:rPr>
      </w:pPr>
      <w:r>
        <w:rPr>
          <w:szCs w:val="21"/>
        </w:rPr>
        <w:t>Moreover, other</w:t>
      </w:r>
      <w:r>
        <w:rPr>
          <w:rFonts w:hint="eastAsia"/>
          <w:szCs w:val="21"/>
        </w:rPr>
        <w:t xml:space="preserve"> </w:t>
      </w:r>
      <w:r>
        <w:rPr>
          <w:szCs w:val="21"/>
        </w:rPr>
        <w:t xml:space="preserve">truncation </w:t>
      </w:r>
      <w:r>
        <w:rPr>
          <w:rFonts w:hint="eastAsia"/>
          <w:szCs w:val="21"/>
        </w:rPr>
        <w:t xml:space="preserve">factor </w:t>
      </w:r>
      <w:r>
        <w:rPr>
          <w:szCs w:val="21"/>
        </w:rPr>
        <w:t xml:space="preserve">smaller than 1/2 (e.g., </w:t>
      </w:r>
      <w:r>
        <w:rPr>
          <w:rFonts w:hint="eastAsia"/>
          <w:szCs w:val="21"/>
        </w:rPr>
        <w:t>F</w:t>
      </w:r>
      <w:r>
        <w:rPr>
          <w:szCs w:val="21"/>
        </w:rPr>
        <w:t xml:space="preserve"> = </w:t>
      </w:r>
      <w:r>
        <w:rPr>
          <w:rFonts w:hint="eastAsia"/>
          <w:szCs w:val="21"/>
        </w:rPr>
        <w:t>3</w:t>
      </w:r>
      <w:r>
        <w:rPr>
          <w:szCs w:val="21"/>
        </w:rPr>
        <w:t xml:space="preserve">/8) can also be considered. These </w:t>
      </w:r>
      <w:r>
        <w:rPr>
          <w:rFonts w:hint="eastAsia"/>
          <w:szCs w:val="21"/>
        </w:rPr>
        <w:t xml:space="preserve">values </w:t>
      </w:r>
      <w:r>
        <w:rPr>
          <w:szCs w:val="21"/>
        </w:rPr>
        <w:t>would further reduce the transmission bandwidth</w:t>
      </w:r>
      <w:r>
        <w:rPr>
          <w:rFonts w:hint="eastAsia"/>
          <w:szCs w:val="21"/>
        </w:rPr>
        <w:t xml:space="preserve">, thereby </w:t>
      </w:r>
      <w:r>
        <w:rPr>
          <w:szCs w:val="21"/>
        </w:rPr>
        <w:t>improv</w:t>
      </w:r>
      <w:r>
        <w:rPr>
          <w:rFonts w:hint="eastAsia"/>
          <w:szCs w:val="21"/>
        </w:rPr>
        <w:t>ing</w:t>
      </w:r>
      <w:r>
        <w:rPr>
          <w:szCs w:val="21"/>
        </w:rPr>
        <w:t xml:space="preserve"> spectral efficiency</w:t>
      </w:r>
      <w:r>
        <w:rPr>
          <w:rFonts w:hint="eastAsia"/>
          <w:szCs w:val="21"/>
        </w:rPr>
        <w:t xml:space="preserve"> </w:t>
      </w:r>
      <w:r>
        <w:rPr>
          <w:szCs w:val="21"/>
        </w:rPr>
        <w:t xml:space="preserve">while </w:t>
      </w:r>
      <w:r>
        <w:rPr>
          <w:rFonts w:hint="eastAsia"/>
          <w:szCs w:val="21"/>
        </w:rPr>
        <w:t xml:space="preserve">still </w:t>
      </w:r>
      <w:r>
        <w:rPr>
          <w:szCs w:val="21"/>
        </w:rPr>
        <w:t>preserving good demodulation performance.</w:t>
      </w:r>
    </w:p>
    <w:p>
      <w:pPr>
        <w:pStyle w:val="51"/>
        <w:spacing w:before="120" w:after="120"/>
        <w:jc w:val="both"/>
        <w:rPr>
          <w:lang w:val="en-US" w:eastAsia="zh-CN"/>
        </w:rPr>
      </w:pPr>
      <w:bookmarkStart w:id="212" w:name="_Toc206178995"/>
      <w:r>
        <w:rPr>
          <w:rFonts w:hint="eastAsia"/>
          <w:lang w:val="en-US" w:eastAsia="zh-CN"/>
        </w:rPr>
        <w:t>For I-</w:t>
      </w:r>
      <w:r>
        <w:rPr>
          <w:lang w:val="en-US" w:eastAsia="zh-CN"/>
        </w:rPr>
        <w:t>π</w:t>
      </w:r>
      <w:r>
        <w:rPr>
          <w:rFonts w:hint="eastAsia"/>
          <w:lang w:val="en-US" w:eastAsia="zh-CN"/>
        </w:rPr>
        <w:t xml:space="preserve">/2-BPSK, choosing a frequency-domain truncation factor F no larger than 1/2 can maintain or improve spectral efficiency relative to </w:t>
      </w:r>
      <w:r>
        <w:rPr>
          <w:lang w:val="en-US" w:eastAsia="zh-CN"/>
        </w:rPr>
        <w:t>π</w:t>
      </w:r>
      <w:r>
        <w:rPr>
          <w:rFonts w:hint="eastAsia"/>
          <w:lang w:val="en-US" w:eastAsia="zh-CN"/>
        </w:rPr>
        <w:t>/2-BPSK, while preserving good demodulation performance.</w:t>
      </w:r>
      <w:bookmarkEnd w:id="212"/>
    </w:p>
    <w:p>
      <w:pPr>
        <w:spacing w:beforeLines="0" w:after="120" w:afterLines="0" w:line="240" w:lineRule="auto"/>
        <w:rPr>
          <w:szCs w:val="21"/>
        </w:rPr>
      </w:pPr>
      <w:r>
        <w:rPr>
          <w:szCs w:val="21"/>
        </w:rPr>
        <w:t xml:space="preserve">Additionally, transparent </w:t>
      </w:r>
      <w:r>
        <w:rPr>
          <w:rFonts w:hint="eastAsia"/>
          <w:szCs w:val="21"/>
        </w:rPr>
        <w:t>f</w:t>
      </w:r>
      <w:r>
        <w:rPr>
          <w:szCs w:val="21"/>
        </w:rPr>
        <w:t xml:space="preserve">requency </w:t>
      </w:r>
      <w:r>
        <w:rPr>
          <w:rFonts w:hint="eastAsia"/>
          <w:szCs w:val="21"/>
        </w:rPr>
        <w:t>d</w:t>
      </w:r>
      <w:r>
        <w:rPr>
          <w:szCs w:val="21"/>
        </w:rPr>
        <w:t xml:space="preserve">omain </w:t>
      </w:r>
      <w:r>
        <w:rPr>
          <w:rFonts w:hint="eastAsia"/>
          <w:szCs w:val="21"/>
        </w:rPr>
        <w:t>s</w:t>
      </w:r>
      <w:r>
        <w:rPr>
          <w:szCs w:val="21"/>
        </w:rPr>
        <w:t xml:space="preserve">pectral </w:t>
      </w:r>
      <w:r>
        <w:rPr>
          <w:rFonts w:hint="eastAsia"/>
          <w:szCs w:val="21"/>
        </w:rPr>
        <w:t>s</w:t>
      </w:r>
      <w:r>
        <w:rPr>
          <w:szCs w:val="21"/>
        </w:rPr>
        <w:t xml:space="preserve">haping (FDSS) </w:t>
      </w:r>
      <w:r>
        <w:rPr>
          <w:rFonts w:hint="eastAsia"/>
          <w:szCs w:val="21"/>
        </w:rPr>
        <w:t xml:space="preserve">can be applied </w:t>
      </w:r>
      <w:r>
        <w:rPr>
          <w:szCs w:val="21"/>
        </w:rPr>
        <w:t xml:space="preserve">to </w:t>
      </w:r>
      <w:r>
        <w:rPr>
          <w:rFonts w:hint="eastAsia"/>
          <w:szCs w:val="21"/>
        </w:rPr>
        <w:t>I-</w:t>
      </w:r>
      <w:r>
        <w:rPr>
          <w:szCs w:val="21"/>
        </w:rPr>
        <w:t>π/2-BPSK modulation</w:t>
      </w:r>
      <w:r>
        <w:rPr>
          <w:rFonts w:hint="eastAsia"/>
          <w:szCs w:val="21"/>
        </w:rPr>
        <w:t xml:space="preserve"> </w:t>
      </w:r>
      <w:r>
        <w:rPr>
          <w:szCs w:val="21"/>
        </w:rPr>
        <w:t>after frequency-domain truncation</w:t>
      </w:r>
      <w:r>
        <w:rPr>
          <w:rFonts w:hint="eastAsia"/>
          <w:szCs w:val="21"/>
        </w:rPr>
        <w:t xml:space="preserve">, </w:t>
      </w:r>
      <w:r>
        <w:rPr>
          <w:szCs w:val="21"/>
        </w:rPr>
        <w:t xml:space="preserve">further </w:t>
      </w:r>
      <w:r>
        <w:rPr>
          <w:rFonts w:hint="eastAsia"/>
          <w:szCs w:val="21"/>
        </w:rPr>
        <w:t xml:space="preserve">reducing </w:t>
      </w:r>
      <w:r>
        <w:rPr>
          <w:szCs w:val="21"/>
        </w:rPr>
        <w:t>the PAPR</w:t>
      </w:r>
      <w:r>
        <w:rPr>
          <w:rFonts w:hint="eastAsia"/>
          <w:szCs w:val="21"/>
        </w:rPr>
        <w:t xml:space="preserve"> </w:t>
      </w:r>
      <w:r>
        <w:rPr>
          <w:szCs w:val="21"/>
        </w:rPr>
        <w:t>without causing significant performance degradation.</w:t>
      </w:r>
    </w:p>
    <w:p>
      <w:pPr>
        <w:pStyle w:val="54"/>
        <w:spacing w:before="120" w:after="120"/>
        <w:jc w:val="both"/>
        <w:rPr>
          <w:lang w:val="en-US" w:eastAsia="zh-CN"/>
        </w:rPr>
      </w:pPr>
      <w:bookmarkStart w:id="213" w:name="_Toc206179014"/>
      <w:r>
        <w:rPr>
          <w:lang w:val="en-US" w:eastAsia="zh-CN"/>
        </w:rPr>
        <w:t xml:space="preserve">I-π/2-BPSK modulation scheme should be considered to further reduce the PAPR for </w:t>
      </w:r>
      <w:r>
        <w:rPr>
          <w:rFonts w:hint="eastAsia"/>
          <w:lang w:val="en-US" w:eastAsia="zh-CN"/>
        </w:rPr>
        <w:t>DFT-s-OFDM</w:t>
      </w:r>
      <w:r>
        <w:rPr>
          <w:lang w:val="en-US" w:eastAsia="zh-CN"/>
        </w:rPr>
        <w:t xml:space="preserve"> for 6GR.</w:t>
      </w:r>
      <w:bookmarkEnd w:id="213"/>
    </w:p>
    <w:p>
      <w:pPr>
        <w:pStyle w:val="4"/>
        <w:spacing w:beforeLines="0" w:after="120" w:afterLines="0" w:line="240" w:lineRule="auto"/>
      </w:pPr>
      <w:r>
        <w:rPr>
          <w:rFonts w:hint="eastAsia"/>
        </w:rPr>
        <w:t>Demodulation</w:t>
      </w:r>
    </w:p>
    <w:p>
      <w:pPr>
        <w:spacing w:beforeLines="0" w:after="120" w:afterLines="0" w:line="240" w:lineRule="auto"/>
        <w:rPr>
          <w:szCs w:val="21"/>
        </w:rPr>
      </w:pPr>
      <w:r>
        <w:rPr>
          <w:rFonts w:hint="eastAsia"/>
          <w:szCs w:val="21"/>
        </w:rPr>
        <w:t>The I-</w:t>
      </w:r>
      <w:r>
        <w:rPr>
          <w:szCs w:val="21"/>
        </w:rPr>
        <w:t>π</w:t>
      </w:r>
      <w:r>
        <w:rPr>
          <w:rFonts w:hint="eastAsia"/>
          <w:szCs w:val="21"/>
        </w:rPr>
        <w:t xml:space="preserve">/2-BPSK demodulation process consists of three steps: frequency-domain zero padding, maximum ratio combining and </w:t>
      </w:r>
      <w:r>
        <w:rPr>
          <w:szCs w:val="21"/>
        </w:rPr>
        <w:t xml:space="preserve">π/2-BPSK </w:t>
      </w:r>
      <w:r>
        <w:rPr>
          <w:rFonts w:hint="eastAsia"/>
          <w:szCs w:val="21"/>
        </w:rPr>
        <w:t>de</w:t>
      </w:r>
      <w:r>
        <w:rPr>
          <w:szCs w:val="21"/>
        </w:rPr>
        <w:t>modulation</w:t>
      </w:r>
      <w:r>
        <w:rPr>
          <w:rFonts w:hint="eastAsia"/>
          <w:szCs w:val="21"/>
        </w:rPr>
        <w:t>, as illustrated in Figure 1</w:t>
      </w:r>
      <w:r>
        <w:rPr>
          <w:szCs w:val="21"/>
        </w:rPr>
        <w:t>1.</w:t>
      </w:r>
    </w:p>
    <w:p>
      <w:pPr>
        <w:spacing w:beforeLines="0" w:after="120" w:afterLines="0" w:line="240" w:lineRule="auto"/>
        <w:jc w:val="center"/>
        <w:rPr>
          <w:szCs w:val="21"/>
        </w:rPr>
      </w:pPr>
      <w:r>
        <w:rPr>
          <w:rFonts w:hint="eastAsia"/>
          <w:szCs w:val="21"/>
        </w:rPr>
        <w:object>
          <v:shape id="_x0000_i1032" o:spt="75" type="#_x0000_t75" style="height:38.15pt;width:352.5pt;" o:ole="t" filled="f" o:preferrelative="t" stroked="f" coordsize="21600,21600">
            <v:path/>
            <v:fill on="f" focussize="0,0"/>
            <v:stroke on="f" joinstyle="miter"/>
            <v:imagedata r:id="rId36" o:title=""/>
            <o:lock v:ext="edit" aspectratio="f"/>
            <w10:wrap type="none"/>
            <w10:anchorlock/>
          </v:shape>
          <o:OLEObject Type="Embed" ProgID="Visio.Drawing.11" ShapeID="_x0000_i1032" DrawAspect="Content" ObjectID="_1468075732" r:id="rId35">
            <o:LockedField>false</o:LockedField>
          </o:OLEObject>
        </w:object>
      </w:r>
    </w:p>
    <w:p>
      <w:pPr>
        <w:spacing w:beforeLines="0" w:after="120" w:afterLines="0" w:line="240" w:lineRule="auto"/>
        <w:jc w:val="center"/>
        <w:rPr>
          <w:szCs w:val="21"/>
        </w:rPr>
      </w:pPr>
      <w:r>
        <w:rPr>
          <w:rFonts w:hint="eastAsia"/>
          <w:szCs w:val="21"/>
        </w:rPr>
        <w:t>Figure 1</w:t>
      </w:r>
      <w:r>
        <w:rPr>
          <w:szCs w:val="21"/>
        </w:rPr>
        <w:t>1</w:t>
      </w:r>
      <w:r>
        <w:rPr>
          <w:rFonts w:hint="eastAsia"/>
          <w:szCs w:val="21"/>
        </w:rPr>
        <w:t xml:space="preserve"> I-</w:t>
      </w:r>
      <w:r>
        <w:rPr>
          <w:szCs w:val="21"/>
        </w:rPr>
        <w:t>π</w:t>
      </w:r>
      <w:r>
        <w:rPr>
          <w:rFonts w:hint="eastAsia"/>
          <w:szCs w:val="21"/>
        </w:rPr>
        <w:t>/2-BPSK modulation process</w:t>
      </w:r>
    </w:p>
    <w:p>
      <w:pPr>
        <w:spacing w:beforeLines="0" w:after="120" w:afterLines="0" w:line="240" w:lineRule="auto"/>
        <w:rPr>
          <w:szCs w:val="21"/>
        </w:rPr>
      </w:pPr>
      <w:r>
        <w:rPr>
          <w:b/>
          <w:bCs/>
          <w:szCs w:val="21"/>
        </w:rPr>
        <w:t>Step 0</w:t>
      </w:r>
      <w:r>
        <w:rPr>
          <w:szCs w:val="21"/>
        </w:rPr>
        <w:t>: Frequency-</w:t>
      </w:r>
      <w:r>
        <w:rPr>
          <w:rFonts w:hint="eastAsia"/>
          <w:szCs w:val="21"/>
        </w:rPr>
        <w:t>d</w:t>
      </w:r>
      <w:r>
        <w:rPr>
          <w:szCs w:val="21"/>
        </w:rPr>
        <w:t xml:space="preserve">omain </w:t>
      </w:r>
      <w:r>
        <w:rPr>
          <w:rFonts w:hint="eastAsia"/>
          <w:szCs w:val="21"/>
        </w:rPr>
        <w:t>z</w:t>
      </w:r>
      <w:r>
        <w:rPr>
          <w:szCs w:val="21"/>
        </w:rPr>
        <w:t xml:space="preserve">ero </w:t>
      </w:r>
      <w:r>
        <w:rPr>
          <w:rFonts w:hint="eastAsia"/>
          <w:szCs w:val="21"/>
        </w:rPr>
        <w:t>p</w:t>
      </w:r>
      <w:r>
        <w:rPr>
          <w:szCs w:val="21"/>
        </w:rPr>
        <w:t>adding</w:t>
      </w:r>
    </w:p>
    <w:p>
      <w:pPr>
        <w:numPr>
          <w:ilvl w:val="0"/>
          <w:numId w:val="12"/>
        </w:numPr>
        <w:spacing w:beforeLines="0" w:after="120" w:afterLines="0" w:line="240" w:lineRule="auto"/>
        <w:rPr>
          <w:b/>
          <w:szCs w:val="21"/>
        </w:rPr>
      </w:pPr>
      <w:r>
        <w:rPr>
          <w:szCs w:val="21"/>
        </w:rPr>
        <w:t>After channel estimation and equalization (e.g., LMMSE) on the received truncated spectrum, reconstruct the original I</w:t>
      </w:r>
      <w:r>
        <w:rPr>
          <w:szCs w:val="21"/>
        </w:rPr>
        <w:noBreakHyphen/>
      </w:r>
      <w:r>
        <w:rPr>
          <w:szCs w:val="21"/>
        </w:rPr>
        <w:t>π/2</w:t>
      </w:r>
      <w:r>
        <w:rPr>
          <w:szCs w:val="21"/>
        </w:rPr>
        <w:noBreakHyphen/>
      </w:r>
      <w:r>
        <w:rPr>
          <w:szCs w:val="21"/>
        </w:rPr>
        <w:t>BPSK spectrum by filling the pruned high</w:t>
      </w:r>
      <w:r>
        <w:rPr>
          <w:szCs w:val="21"/>
        </w:rPr>
        <w:noBreakHyphen/>
      </w:r>
      <w:r>
        <w:rPr>
          <w:szCs w:val="21"/>
        </w:rPr>
        <w:t>frequency components with zeros.</w:t>
      </w:r>
    </w:p>
    <w:p>
      <w:pPr>
        <w:numPr>
          <w:ilvl w:val="0"/>
          <w:numId w:val="12"/>
        </w:numPr>
        <w:spacing w:beforeLines="0" w:after="120" w:afterLines="0" w:line="240" w:lineRule="auto"/>
        <w:rPr>
          <w:szCs w:val="21"/>
        </w:rPr>
      </w:pPr>
      <w:r>
        <w:rPr>
          <w:szCs w:val="21"/>
        </w:rPr>
        <w:t>Apply an IDFT (IFFT) to the zero‑padded spectrum to obtain the time‑domain I‑π/2‑BPSK sequence.</w:t>
      </w:r>
    </w:p>
    <w:p>
      <w:pPr>
        <w:spacing w:beforeLines="0" w:after="120" w:afterLines="0" w:line="240" w:lineRule="auto"/>
        <w:rPr>
          <w:szCs w:val="21"/>
        </w:rPr>
      </w:pPr>
      <w:r>
        <w:rPr>
          <w:b/>
          <w:bCs/>
          <w:szCs w:val="21"/>
        </w:rPr>
        <w:t>Step 1</w:t>
      </w:r>
      <w:r>
        <w:rPr>
          <w:szCs w:val="21"/>
        </w:rPr>
        <w:t xml:space="preserve">: Maximum Ratio Combining </w:t>
      </w:r>
    </w:p>
    <w:p>
      <w:pPr>
        <w:numPr>
          <w:ilvl w:val="0"/>
          <w:numId w:val="12"/>
        </w:numPr>
        <w:spacing w:beforeLines="0" w:after="120" w:afterLines="0" w:line="240" w:lineRule="auto"/>
        <w:rPr>
          <w:szCs w:val="21"/>
        </w:rPr>
      </w:pPr>
      <w:r>
        <w:rPr>
          <w:szCs w:val="21"/>
        </w:rPr>
        <w:t>All time-domain samples are first rotated by π/4 to align the π/2-BPSK symbols at even indices with the real or imaginary axis, so that their ideal values become either {1, −1} on the real axis or {i, −i} on the imaginary axis.</w:t>
      </w:r>
    </w:p>
    <w:p>
      <w:pPr>
        <w:numPr>
          <w:ilvl w:val="0"/>
          <w:numId w:val="12"/>
        </w:numPr>
        <w:spacing w:beforeLines="0" w:after="120" w:afterLines="0" w:line="240" w:lineRule="auto"/>
        <w:rPr>
          <w:szCs w:val="21"/>
        </w:rPr>
      </w:pPr>
      <w:r>
        <w:rPr>
          <w:szCs w:val="21"/>
        </w:rPr>
        <w:t>For a π/2-BPSK symbol</w:t>
      </w:r>
      <w:r>
        <w:rPr>
          <w:rFonts w:hint="eastAsia"/>
          <w:szCs w:val="21"/>
        </w:rPr>
        <w:t xml:space="preserve"> </w:t>
      </w:r>
      <w:r>
        <w:rPr>
          <w:szCs w:val="21"/>
        </w:rPr>
        <w:t xml:space="preserve">at an even index whose ideal value lies in {1, −1}, </w:t>
      </w:r>
      <w:r>
        <w:rPr>
          <w:rFonts w:hint="eastAsia"/>
          <w:szCs w:val="21"/>
        </w:rPr>
        <w:t>MRC</w:t>
      </w:r>
      <w:r>
        <w:rPr>
          <w:szCs w:val="21"/>
        </w:rPr>
        <w:t xml:space="preserve"> is performed using:</w:t>
      </w:r>
    </w:p>
    <w:p>
      <w:pPr>
        <w:numPr>
          <w:ilvl w:val="1"/>
          <w:numId w:val="13"/>
        </w:numPr>
        <w:snapToGrid w:val="0"/>
        <w:spacing w:beforeLines="0" w:after="120" w:afterLines="0" w:line="240" w:lineRule="auto"/>
        <w:rPr>
          <w:rFonts w:hAnsi="Cambria Math"/>
          <w:szCs w:val="21"/>
        </w:rPr>
      </w:pPr>
      <w:r>
        <w:rPr>
          <w:rFonts w:hint="eastAsia"/>
          <w:szCs w:val="21"/>
        </w:rPr>
        <w:t xml:space="preserve">Component 1: </w:t>
      </w:r>
      <w:r>
        <w:rPr>
          <w:szCs w:val="21"/>
        </w:rPr>
        <w:t>the symbol</w:t>
      </w:r>
      <w:r>
        <w:rPr>
          <w:rFonts w:hint="eastAsia"/>
          <w:szCs w:val="21"/>
        </w:rPr>
        <w:t xml:space="preserve"> </w:t>
      </w:r>
      <w:r>
        <w:rPr>
          <w:szCs w:val="21"/>
        </w:rPr>
        <w:t>itself,</w:t>
      </w:r>
      <w:r>
        <w:rPr>
          <w:rFonts w:hint="eastAsia"/>
          <w:szCs w:val="21"/>
        </w:rPr>
        <w:t xml:space="preserve"> </w:t>
      </w:r>
      <m:oMath>
        <m:sSub>
          <m:sSubPr>
            <m:ctrlPr>
              <w:rPr>
                <w:rFonts w:ascii="Cambria Math" w:hAnsi="Cambria Math"/>
                <w:szCs w:val="21"/>
              </w:rPr>
            </m:ctrlPr>
          </m:sSubPr>
          <m:e>
            <m:r>
              <m:rPr>
                <m:sty m:val="p"/>
              </m:rPr>
              <w:rPr>
                <w:rFonts w:ascii="Cambria Math" w:hAnsi="Cambria Math"/>
                <w:szCs w:val="21"/>
              </w:rPr>
              <m:t>a</m:t>
            </m:r>
            <m:ctrlPr>
              <w:rPr>
                <w:rFonts w:ascii="Cambria Math" w:hAnsi="Cambria Math"/>
                <w:szCs w:val="21"/>
              </w:rPr>
            </m:ctrlPr>
          </m:e>
          <m:sub>
            <m:r>
              <m:rPr>
                <m:sty m:val="p"/>
              </m:rPr>
              <w:rPr>
                <w:rFonts w:ascii="Cambria Math" w:hAnsi="Cambria Math"/>
                <w:szCs w:val="21"/>
              </w:rPr>
              <m:t>2n</m:t>
            </m:r>
            <m:ctrlPr>
              <w:rPr>
                <w:rFonts w:ascii="Cambria Math" w:hAnsi="Cambria Math"/>
                <w:szCs w:val="21"/>
              </w:rPr>
            </m:ctrlPr>
          </m:sub>
        </m:sSub>
      </m:oMath>
    </w:p>
    <w:p>
      <w:pPr>
        <w:numPr>
          <w:ilvl w:val="1"/>
          <w:numId w:val="13"/>
        </w:numPr>
        <w:snapToGrid w:val="0"/>
        <w:spacing w:beforeLines="0" w:after="120" w:afterLines="0" w:line="240" w:lineRule="auto"/>
        <w:rPr>
          <w:szCs w:val="21"/>
        </w:rPr>
      </w:pPr>
      <w:r>
        <w:rPr>
          <w:rFonts w:hint="eastAsia"/>
          <w:szCs w:val="21"/>
        </w:rPr>
        <w:t xml:space="preserve">Component 2: </w:t>
      </w:r>
      <w:r>
        <w:rPr>
          <w:szCs w:val="21"/>
        </w:rPr>
        <w:t xml:space="preserve">the real part of the preceding interpolated symbol, </w:t>
      </w:r>
      <w:r>
        <w:rPr>
          <w:rFonts w:hint="eastAsia"/>
          <w:szCs w:val="21"/>
        </w:rPr>
        <w:t>real{</w:t>
      </w:r>
      <m:oMath>
        <m:sSub>
          <m:sSubPr>
            <m:ctrlPr>
              <w:rPr>
                <w:rFonts w:ascii="Cambria Math" w:hAnsi="Cambria Math"/>
                <w:szCs w:val="21"/>
              </w:rPr>
            </m:ctrlPr>
          </m:sSubPr>
          <m:e>
            <m:r>
              <m:rPr>
                <m:sty m:val="p"/>
              </m:rPr>
              <w:rPr>
                <w:rFonts w:ascii="Cambria Math" w:hAnsi="Cambria Math"/>
                <w:szCs w:val="21"/>
              </w:rPr>
              <m:t>a</m:t>
            </m:r>
            <m:ctrlPr>
              <w:rPr>
                <w:rFonts w:ascii="Cambria Math" w:hAnsi="Cambria Math"/>
                <w:szCs w:val="21"/>
              </w:rPr>
            </m:ctrlPr>
          </m:e>
          <m:sub>
            <m:r>
              <m:rPr>
                <m:sty m:val="p"/>
              </m:rPr>
              <w:rPr>
                <w:rFonts w:ascii="Cambria Math" w:hAnsi="Cambria Math"/>
                <w:szCs w:val="21"/>
              </w:rPr>
              <m:t>2n−1</m:t>
            </m:r>
            <m:ctrlPr>
              <w:rPr>
                <w:rFonts w:ascii="Cambria Math" w:hAnsi="Cambria Math"/>
                <w:szCs w:val="21"/>
              </w:rPr>
            </m:ctrlPr>
          </m:sub>
        </m:sSub>
      </m:oMath>
      <w:r>
        <w:rPr>
          <w:rFonts w:hint="eastAsia"/>
          <w:szCs w:val="21"/>
        </w:rPr>
        <w:t>}</w:t>
      </w:r>
    </w:p>
    <w:p>
      <w:pPr>
        <w:numPr>
          <w:ilvl w:val="1"/>
          <w:numId w:val="13"/>
        </w:numPr>
        <w:snapToGrid w:val="0"/>
        <w:spacing w:beforeLines="0" w:after="120" w:afterLines="0" w:line="240" w:lineRule="auto"/>
        <w:rPr>
          <w:szCs w:val="21"/>
        </w:rPr>
      </w:pPr>
      <w:r>
        <w:rPr>
          <w:rFonts w:hint="eastAsia"/>
          <w:szCs w:val="21"/>
        </w:rPr>
        <w:t xml:space="preserve">Component 3: </w:t>
      </w:r>
      <w:r>
        <w:rPr>
          <w:szCs w:val="21"/>
        </w:rPr>
        <w:t>the real part of the succeeding interpolated symbol</w:t>
      </w:r>
      <w:r>
        <w:rPr>
          <w:rFonts w:hint="eastAsia"/>
          <w:szCs w:val="21"/>
        </w:rPr>
        <w:t>, real{</w:t>
      </w:r>
      <m:oMath>
        <m:sSub>
          <m:sSubPr>
            <m:ctrlPr>
              <w:rPr>
                <w:rFonts w:ascii="Cambria Math" w:hAnsi="Cambria Math"/>
                <w:szCs w:val="21"/>
              </w:rPr>
            </m:ctrlPr>
          </m:sSubPr>
          <m:e>
            <m:r>
              <m:rPr>
                <m:sty m:val="p"/>
              </m:rPr>
              <w:rPr>
                <w:rFonts w:ascii="Cambria Math" w:hAnsi="Cambria Math"/>
                <w:szCs w:val="21"/>
              </w:rPr>
              <m:t>a</m:t>
            </m:r>
            <m:ctrlPr>
              <w:rPr>
                <w:rFonts w:ascii="Cambria Math" w:hAnsi="Cambria Math"/>
                <w:szCs w:val="21"/>
              </w:rPr>
            </m:ctrlPr>
          </m:e>
          <m:sub>
            <m:r>
              <m:rPr>
                <m:sty m:val="p"/>
              </m:rPr>
              <w:rPr>
                <w:rFonts w:ascii="Cambria Math" w:hAnsi="Cambria Math"/>
                <w:szCs w:val="21"/>
              </w:rPr>
              <m:t>2n+1</m:t>
            </m:r>
            <m:ctrlPr>
              <w:rPr>
                <w:rFonts w:ascii="Cambria Math" w:hAnsi="Cambria Math"/>
                <w:szCs w:val="21"/>
              </w:rPr>
            </m:ctrlPr>
          </m:sub>
        </m:sSub>
      </m:oMath>
      <w:r>
        <w:rPr>
          <w:rFonts w:hint="eastAsia"/>
          <w:szCs w:val="21"/>
        </w:rPr>
        <w:t xml:space="preserve">} </w:t>
      </w:r>
    </w:p>
    <w:p>
      <w:pPr>
        <w:numPr>
          <w:ilvl w:val="0"/>
          <w:numId w:val="12"/>
        </w:numPr>
        <w:spacing w:beforeLines="0" w:after="120" w:afterLines="0" w:line="240" w:lineRule="auto"/>
        <w:rPr>
          <w:szCs w:val="21"/>
        </w:rPr>
      </w:pPr>
      <w:r>
        <w:rPr>
          <w:szCs w:val="21"/>
        </w:rPr>
        <w:t>For a π/2-BPSK symbol</w:t>
      </w:r>
      <w:r>
        <w:rPr>
          <w:rFonts w:hint="eastAsia"/>
          <w:szCs w:val="21"/>
        </w:rPr>
        <w:t xml:space="preserve"> </w:t>
      </w:r>
      <w:r>
        <w:rPr>
          <w:szCs w:val="21"/>
        </w:rPr>
        <w:t>at an even index with ideal values in {i, −i}, MRC is applied using:</w:t>
      </w:r>
    </w:p>
    <w:p>
      <w:pPr>
        <w:numPr>
          <w:ilvl w:val="1"/>
          <w:numId w:val="14"/>
        </w:numPr>
        <w:snapToGrid w:val="0"/>
        <w:spacing w:beforeLines="0" w:after="120" w:afterLines="0" w:line="240" w:lineRule="auto"/>
        <w:rPr>
          <w:szCs w:val="21"/>
        </w:rPr>
      </w:pPr>
      <w:r>
        <w:rPr>
          <w:rFonts w:hint="eastAsia"/>
          <w:szCs w:val="21"/>
        </w:rPr>
        <w:t xml:space="preserve">Component 1: </w:t>
      </w:r>
      <w:r>
        <w:rPr>
          <w:szCs w:val="21"/>
        </w:rPr>
        <w:t xml:space="preserve">the </w:t>
      </w:r>
      <w:r>
        <w:rPr>
          <w:rFonts w:hint="eastAsia"/>
          <w:szCs w:val="21"/>
        </w:rPr>
        <w:t xml:space="preserve">data </w:t>
      </w:r>
      <w:r>
        <w:rPr>
          <w:szCs w:val="21"/>
        </w:rPr>
        <w:t>itself,</w:t>
      </w:r>
      <w:r>
        <w:rPr>
          <w:rFonts w:hint="eastAsia"/>
          <w:szCs w:val="21"/>
        </w:rPr>
        <w:t xml:space="preserve"> </w:t>
      </w:r>
      <m:oMath>
        <m:sSub>
          <m:sSubPr>
            <m:ctrlPr>
              <w:rPr>
                <w:rFonts w:ascii="Cambria Math" w:hAnsi="Cambria Math"/>
                <w:szCs w:val="21"/>
              </w:rPr>
            </m:ctrlPr>
          </m:sSubPr>
          <m:e>
            <m:r>
              <m:rPr>
                <m:sty m:val="p"/>
              </m:rPr>
              <w:rPr>
                <w:rFonts w:ascii="Cambria Math" w:hAnsi="Cambria Math"/>
                <w:szCs w:val="21"/>
              </w:rPr>
              <m:t>a</m:t>
            </m:r>
            <m:ctrlPr>
              <w:rPr>
                <w:rFonts w:ascii="Cambria Math" w:hAnsi="Cambria Math"/>
                <w:szCs w:val="21"/>
              </w:rPr>
            </m:ctrlPr>
          </m:e>
          <m:sub>
            <m:r>
              <m:rPr>
                <m:sty m:val="p"/>
              </m:rPr>
              <w:rPr>
                <w:rFonts w:ascii="Cambria Math" w:hAnsi="Cambria Math"/>
                <w:szCs w:val="21"/>
              </w:rPr>
              <m:t>2m</m:t>
            </m:r>
            <m:ctrlPr>
              <w:rPr>
                <w:rFonts w:ascii="Cambria Math" w:hAnsi="Cambria Math"/>
                <w:szCs w:val="21"/>
              </w:rPr>
            </m:ctrlPr>
          </m:sub>
        </m:sSub>
      </m:oMath>
    </w:p>
    <w:p>
      <w:pPr>
        <w:numPr>
          <w:ilvl w:val="1"/>
          <w:numId w:val="14"/>
        </w:numPr>
        <w:snapToGrid w:val="0"/>
        <w:spacing w:beforeLines="0" w:after="120" w:afterLines="0" w:line="240" w:lineRule="auto"/>
        <w:rPr>
          <w:szCs w:val="21"/>
        </w:rPr>
      </w:pPr>
      <w:r>
        <w:rPr>
          <w:rFonts w:hint="eastAsia"/>
          <w:szCs w:val="21"/>
        </w:rPr>
        <w:t xml:space="preserve">Component 2: </w:t>
      </w:r>
      <w:r>
        <w:rPr>
          <w:szCs w:val="21"/>
        </w:rPr>
        <w:t xml:space="preserve">the imaginary part of the preceding interpolated symbol, </w:t>
      </w:r>
      <w:r>
        <w:rPr>
          <w:rFonts w:hint="eastAsia"/>
          <w:szCs w:val="21"/>
        </w:rPr>
        <w:t>imag{</w:t>
      </w:r>
      <m:oMath>
        <m:sSub>
          <m:sSubPr>
            <m:ctrlPr>
              <w:rPr>
                <w:rFonts w:ascii="Cambria Math" w:hAnsi="Cambria Math"/>
                <w:szCs w:val="21"/>
              </w:rPr>
            </m:ctrlPr>
          </m:sSubPr>
          <m:e>
            <m:r>
              <m:rPr>
                <m:sty m:val="p"/>
              </m:rPr>
              <w:rPr>
                <w:rFonts w:ascii="Cambria Math" w:hAnsi="Cambria Math"/>
                <w:szCs w:val="21"/>
              </w:rPr>
              <m:t>a</m:t>
            </m:r>
            <m:ctrlPr>
              <w:rPr>
                <w:rFonts w:ascii="Cambria Math" w:hAnsi="Cambria Math"/>
                <w:szCs w:val="21"/>
              </w:rPr>
            </m:ctrlPr>
          </m:e>
          <m:sub>
            <m:r>
              <m:rPr>
                <m:sty m:val="p"/>
              </m:rPr>
              <w:rPr>
                <w:rFonts w:ascii="Cambria Math" w:hAnsi="Cambria Math"/>
                <w:szCs w:val="21"/>
              </w:rPr>
              <m:t>2m−1</m:t>
            </m:r>
            <m:ctrlPr>
              <w:rPr>
                <w:rFonts w:ascii="Cambria Math" w:hAnsi="Cambria Math"/>
                <w:szCs w:val="21"/>
              </w:rPr>
            </m:ctrlPr>
          </m:sub>
        </m:sSub>
      </m:oMath>
      <w:r>
        <w:rPr>
          <w:rFonts w:hint="eastAsia"/>
          <w:szCs w:val="21"/>
        </w:rPr>
        <w:t>}</w:t>
      </w:r>
    </w:p>
    <w:p>
      <w:pPr>
        <w:numPr>
          <w:ilvl w:val="1"/>
          <w:numId w:val="14"/>
        </w:numPr>
        <w:snapToGrid w:val="0"/>
        <w:spacing w:beforeLines="0" w:after="120" w:afterLines="0" w:line="240" w:lineRule="auto"/>
        <w:rPr>
          <w:szCs w:val="21"/>
        </w:rPr>
      </w:pPr>
      <w:r>
        <w:rPr>
          <w:rFonts w:hint="eastAsia"/>
          <w:szCs w:val="21"/>
        </w:rPr>
        <w:t xml:space="preserve">Component 3: </w:t>
      </w:r>
      <w:r>
        <w:rPr>
          <w:szCs w:val="21"/>
        </w:rPr>
        <w:t>the imaginary part of the succeeding interpolated symbol</w:t>
      </w:r>
      <w:r>
        <w:rPr>
          <w:rFonts w:hint="eastAsia"/>
          <w:szCs w:val="21"/>
        </w:rPr>
        <w:t>, imag{</w:t>
      </w:r>
      <m:oMath>
        <m:sSub>
          <m:sSubPr>
            <m:ctrlPr>
              <w:rPr>
                <w:rFonts w:ascii="Cambria Math" w:hAnsi="Cambria Math"/>
                <w:szCs w:val="21"/>
              </w:rPr>
            </m:ctrlPr>
          </m:sSubPr>
          <m:e>
            <m:r>
              <m:rPr>
                <m:sty m:val="p"/>
              </m:rPr>
              <w:rPr>
                <w:rFonts w:ascii="Cambria Math" w:hAnsi="Cambria Math"/>
                <w:szCs w:val="21"/>
              </w:rPr>
              <m:t>a</m:t>
            </m:r>
            <m:ctrlPr>
              <w:rPr>
                <w:rFonts w:ascii="Cambria Math" w:hAnsi="Cambria Math"/>
                <w:szCs w:val="21"/>
              </w:rPr>
            </m:ctrlPr>
          </m:e>
          <m:sub>
            <m:r>
              <m:rPr>
                <m:sty m:val="p"/>
              </m:rPr>
              <w:rPr>
                <w:rFonts w:ascii="Cambria Math" w:hAnsi="Cambria Math"/>
                <w:szCs w:val="21"/>
              </w:rPr>
              <m:t>2m+1</m:t>
            </m:r>
            <m:ctrlPr>
              <w:rPr>
                <w:rFonts w:ascii="Cambria Math" w:hAnsi="Cambria Math"/>
                <w:szCs w:val="21"/>
              </w:rPr>
            </m:ctrlPr>
          </m:sub>
        </m:sSub>
      </m:oMath>
      <w:r>
        <w:rPr>
          <w:rFonts w:hint="eastAsia"/>
          <w:szCs w:val="21"/>
        </w:rPr>
        <w:t xml:space="preserve">} </w:t>
      </w:r>
    </w:p>
    <w:p>
      <w:pPr>
        <w:numPr>
          <w:ilvl w:val="0"/>
          <w:numId w:val="12"/>
        </w:numPr>
        <w:spacing w:beforeLines="0" w:after="120" w:afterLines="0" w:line="240" w:lineRule="auto"/>
        <w:rPr>
          <w:szCs w:val="21"/>
        </w:rPr>
      </w:pPr>
      <w:r>
        <w:rPr>
          <w:szCs w:val="21"/>
        </w:rPr>
        <w:t xml:space="preserve">After MRC is applied to all even-indexed π/2-BPSK symbol, the </w:t>
      </w:r>
      <w:r>
        <w:rPr>
          <w:rFonts w:hint="eastAsia"/>
          <w:szCs w:val="21"/>
        </w:rPr>
        <w:t xml:space="preserve">MRC data </w:t>
      </w:r>
      <w:r>
        <w:rPr>
          <w:szCs w:val="21"/>
        </w:rPr>
        <w:t>are rotated back by −π/4 to restore phase</w:t>
      </w:r>
      <w:r>
        <w:rPr>
          <w:rFonts w:hint="eastAsia"/>
          <w:szCs w:val="21"/>
        </w:rPr>
        <w:t xml:space="preserve">, and obtain BPSK </w:t>
      </w:r>
      <w:r>
        <w:rPr>
          <w:szCs w:val="21"/>
        </w:rPr>
        <w:t>symbol.</w:t>
      </w:r>
    </w:p>
    <w:p>
      <w:pPr>
        <w:spacing w:beforeLines="0" w:after="120" w:afterLines="0" w:line="240" w:lineRule="auto"/>
        <w:rPr>
          <w:szCs w:val="21"/>
        </w:rPr>
      </w:pPr>
      <w:r>
        <w:rPr>
          <w:b/>
          <w:bCs/>
          <w:szCs w:val="21"/>
        </w:rPr>
        <w:t>Step 2</w:t>
      </w:r>
      <w:r>
        <w:rPr>
          <w:szCs w:val="21"/>
        </w:rPr>
        <w:t>: BPSK Demodulation</w:t>
      </w:r>
    </w:p>
    <w:p>
      <w:pPr>
        <w:numPr>
          <w:ilvl w:val="0"/>
          <w:numId w:val="12"/>
        </w:numPr>
        <w:spacing w:beforeLines="0" w:after="120" w:afterLines="0" w:line="240" w:lineRule="auto"/>
        <w:rPr>
          <w:szCs w:val="21"/>
        </w:rPr>
      </w:pPr>
      <w:r>
        <w:rPr>
          <w:szCs w:val="21"/>
        </w:rPr>
        <w:t xml:space="preserve">Demodulate the </w:t>
      </w:r>
      <w:r>
        <w:rPr>
          <w:rFonts w:hint="eastAsia"/>
          <w:szCs w:val="21"/>
        </w:rPr>
        <w:t xml:space="preserve">BPSK </w:t>
      </w:r>
      <w:r>
        <w:rPr>
          <w:szCs w:val="21"/>
        </w:rPr>
        <w:t>symbol</w:t>
      </w:r>
      <w:r>
        <w:rPr>
          <w:rFonts w:hint="eastAsia"/>
          <w:szCs w:val="21"/>
        </w:rPr>
        <w:t xml:space="preserve"> </w:t>
      </w:r>
      <w:r>
        <w:rPr>
          <w:szCs w:val="21"/>
        </w:rPr>
        <w:t>to produce soft decisions, and pass them to subsequent channel decoder.</w:t>
      </w:r>
    </w:p>
    <w:p>
      <w:pPr>
        <w:pStyle w:val="3"/>
        <w:spacing w:before="120" w:after="120"/>
        <w:ind w:left="991" w:right="210" w:hanging="991" w:hangingChars="354"/>
      </w:pPr>
      <w:r>
        <w:rPr>
          <w:rFonts w:hint="eastAsia" w:eastAsia="宋体"/>
        </w:rPr>
        <w:t>Simulation results for interpolation modulation</w:t>
      </w:r>
    </w:p>
    <w:p>
      <w:pPr>
        <w:spacing w:beforeLines="0" w:after="120" w:afterLines="0" w:line="240" w:lineRule="auto"/>
        <w:rPr>
          <w:szCs w:val="21"/>
        </w:rPr>
      </w:pPr>
      <w:r>
        <w:rPr>
          <w:szCs w:val="21"/>
        </w:rPr>
        <w:t>W</w:t>
      </w:r>
      <w:r>
        <w:rPr>
          <w:rFonts w:hint="eastAsia"/>
          <w:szCs w:val="21"/>
        </w:rPr>
        <w:t>e provide the following performance evaluation for I-</w:t>
      </w:r>
      <w:r>
        <w:rPr>
          <w:szCs w:val="21"/>
        </w:rPr>
        <w:t>π</w:t>
      </w:r>
      <w:r>
        <w:rPr>
          <w:rFonts w:hint="eastAsia"/>
          <w:szCs w:val="21"/>
        </w:rPr>
        <w:t>/2-BPSK modulation. The simulation assumptions are detailed in Appendix Table A-3.</w:t>
      </w:r>
    </w:p>
    <w:p>
      <w:pPr>
        <w:pStyle w:val="4"/>
        <w:spacing w:before="0" w:beforeLines="0" w:after="120" w:afterLines="0" w:line="240" w:lineRule="auto"/>
      </w:pPr>
      <w:r>
        <w:rPr>
          <w:rFonts w:hint="eastAsia"/>
        </w:rPr>
        <w:t>PAPR and CM</w:t>
      </w:r>
    </w:p>
    <w:p>
      <w:pPr>
        <w:spacing w:beforeLines="0" w:after="0" w:afterLines="0" w:line="240" w:lineRule="auto"/>
        <w:rPr>
          <w:szCs w:val="21"/>
        </w:rPr>
      </w:pPr>
      <w:r>
        <w:rPr>
          <w:rFonts w:hint="eastAsia"/>
          <w:szCs w:val="21"/>
        </w:rPr>
        <w:t>Figure 1</w:t>
      </w:r>
      <w:r>
        <w:rPr>
          <w:szCs w:val="21"/>
        </w:rPr>
        <w:t>2</w:t>
      </w:r>
      <w:r>
        <w:rPr>
          <w:rFonts w:hint="eastAsia"/>
          <w:szCs w:val="21"/>
        </w:rPr>
        <w:t xml:space="preserve"> and 1</w:t>
      </w:r>
      <w:r>
        <w:rPr>
          <w:szCs w:val="21"/>
        </w:rPr>
        <w:t>3</w:t>
      </w:r>
      <w:r>
        <w:rPr>
          <w:rFonts w:hint="eastAsia"/>
          <w:szCs w:val="21"/>
        </w:rPr>
        <w:t xml:space="preserve"> respectively show the CCDF of PAPR and CM for different modulation schemes.</w:t>
      </w:r>
    </w:p>
    <w:p>
      <w:pPr>
        <w:spacing w:beforeLines="0" w:after="120" w:afterLines="0" w:line="240" w:lineRule="auto"/>
        <w:jc w:val="center"/>
        <w:rPr>
          <w:szCs w:val="21"/>
        </w:rPr>
      </w:pPr>
      <w:r>
        <w:rPr>
          <w:szCs w:val="21"/>
        </w:rPr>
        <w:drawing>
          <wp:inline distT="0" distB="0" distL="114300" distR="114300">
            <wp:extent cx="3597910" cy="2699385"/>
            <wp:effectExtent l="0" t="0" r="2540" b="5715"/>
            <wp:docPr id="11" name="图片 11" descr="PAPR_0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PAPR_0808"/>
                    <pic:cNvPicPr>
                      <a:picLocks noChangeAspect="1"/>
                    </pic:cNvPicPr>
                  </pic:nvPicPr>
                  <pic:blipFill>
                    <a:blip r:embed="rId37"/>
                    <a:stretch>
                      <a:fillRect/>
                    </a:stretch>
                  </pic:blipFill>
                  <pic:spPr>
                    <a:xfrm>
                      <a:off x="0" y="0"/>
                      <a:ext cx="3598384" cy="2700000"/>
                    </a:xfrm>
                    <a:prstGeom prst="rect">
                      <a:avLst/>
                    </a:prstGeom>
                  </pic:spPr>
                </pic:pic>
              </a:graphicData>
            </a:graphic>
          </wp:inline>
        </w:drawing>
      </w:r>
    </w:p>
    <w:p>
      <w:pPr>
        <w:spacing w:beforeLines="0" w:after="120" w:afterLines="0" w:line="240" w:lineRule="auto"/>
        <w:jc w:val="center"/>
        <w:rPr>
          <w:szCs w:val="21"/>
        </w:rPr>
      </w:pPr>
      <w:r>
        <w:rPr>
          <w:rFonts w:hint="eastAsia"/>
          <w:szCs w:val="21"/>
        </w:rPr>
        <w:t>Figure 1</w:t>
      </w:r>
      <w:r>
        <w:rPr>
          <w:szCs w:val="21"/>
        </w:rPr>
        <w:t>2</w:t>
      </w:r>
      <w:r>
        <w:rPr>
          <w:rFonts w:hint="eastAsia"/>
          <w:szCs w:val="21"/>
        </w:rPr>
        <w:t xml:space="preserve"> PAPR for modulation schemes</w:t>
      </w:r>
    </w:p>
    <w:p>
      <w:pPr>
        <w:spacing w:beforeLines="0" w:after="120" w:afterLines="0" w:line="240" w:lineRule="auto"/>
        <w:jc w:val="center"/>
        <w:rPr>
          <w:szCs w:val="21"/>
        </w:rPr>
      </w:pPr>
      <w:r>
        <w:rPr>
          <w:szCs w:val="21"/>
        </w:rPr>
        <w:drawing>
          <wp:inline distT="0" distB="0" distL="114300" distR="114300">
            <wp:extent cx="3597275" cy="2699385"/>
            <wp:effectExtent l="0" t="0" r="3175" b="5715"/>
            <wp:docPr id="12" name="图片 12" descr="CM_0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M_0808"/>
                    <pic:cNvPicPr>
                      <a:picLocks noChangeAspect="1"/>
                    </pic:cNvPicPr>
                  </pic:nvPicPr>
                  <pic:blipFill>
                    <a:blip r:embed="rId38"/>
                    <a:stretch>
                      <a:fillRect/>
                    </a:stretch>
                  </pic:blipFill>
                  <pic:spPr>
                    <a:xfrm>
                      <a:off x="0" y="0"/>
                      <a:ext cx="3597698" cy="2700000"/>
                    </a:xfrm>
                    <a:prstGeom prst="rect">
                      <a:avLst/>
                    </a:prstGeom>
                  </pic:spPr>
                </pic:pic>
              </a:graphicData>
            </a:graphic>
          </wp:inline>
        </w:drawing>
      </w:r>
    </w:p>
    <w:p>
      <w:pPr>
        <w:spacing w:beforeLines="0" w:after="120" w:afterLines="0" w:line="240" w:lineRule="auto"/>
        <w:jc w:val="center"/>
        <w:rPr>
          <w:szCs w:val="21"/>
        </w:rPr>
      </w:pPr>
      <w:r>
        <w:rPr>
          <w:rFonts w:hint="eastAsia"/>
          <w:szCs w:val="21"/>
        </w:rPr>
        <w:t>Figure 1</w:t>
      </w:r>
      <w:r>
        <w:rPr>
          <w:szCs w:val="21"/>
        </w:rPr>
        <w:t>3</w:t>
      </w:r>
      <w:r>
        <w:rPr>
          <w:rFonts w:hint="eastAsia"/>
          <w:szCs w:val="21"/>
        </w:rPr>
        <w:t xml:space="preserve"> CM for modulation schemes</w:t>
      </w:r>
    </w:p>
    <w:p>
      <w:pPr>
        <w:spacing w:beforeLines="0" w:after="120" w:afterLines="0" w:line="240" w:lineRule="auto"/>
        <w:rPr>
          <w:szCs w:val="21"/>
        </w:rPr>
      </w:pPr>
      <w:r>
        <w:rPr>
          <w:rFonts w:hint="eastAsia"/>
          <w:szCs w:val="21"/>
        </w:rPr>
        <w:t>From Figure 1</w:t>
      </w:r>
      <w:r>
        <w:rPr>
          <w:szCs w:val="21"/>
        </w:rPr>
        <w:t>2</w:t>
      </w:r>
      <w:r>
        <w:rPr>
          <w:rFonts w:hint="eastAsia"/>
          <w:szCs w:val="21"/>
        </w:rPr>
        <w:t xml:space="preserve"> and 1</w:t>
      </w:r>
      <w:r>
        <w:rPr>
          <w:szCs w:val="21"/>
        </w:rPr>
        <w:t>3</w:t>
      </w:r>
      <w:r>
        <w:rPr>
          <w:rFonts w:hint="eastAsia"/>
          <w:szCs w:val="21"/>
        </w:rPr>
        <w:t>, it can be observed that:</w:t>
      </w:r>
    </w:p>
    <w:p>
      <w:pPr>
        <w:pStyle w:val="51"/>
        <w:spacing w:before="120" w:after="120"/>
        <w:jc w:val="both"/>
        <w:rPr>
          <w:lang w:val="en-US" w:eastAsia="zh-CN"/>
        </w:rPr>
      </w:pPr>
      <w:bookmarkStart w:id="214" w:name="_Toc206178996"/>
      <w:r>
        <w:rPr>
          <w:rFonts w:hint="eastAsia"/>
          <w:lang w:val="en-US" w:eastAsia="zh-CN"/>
        </w:rPr>
        <w:t>Without FDSS, I-</w:t>
      </w:r>
      <w:r>
        <w:rPr>
          <w:lang w:val="en-US" w:eastAsia="zh-CN"/>
        </w:rPr>
        <w:t>π</w:t>
      </w:r>
      <w:r>
        <w:rPr>
          <w:rFonts w:hint="eastAsia"/>
          <w:lang w:val="en-US" w:eastAsia="zh-CN"/>
        </w:rPr>
        <w:t xml:space="preserve">/2-BPSK provides approximately 1.4 dB lower PAPR than </w:t>
      </w:r>
      <w:r>
        <w:rPr>
          <w:lang w:val="en-US" w:eastAsia="zh-CN"/>
        </w:rPr>
        <w:t>π</w:t>
      </w:r>
      <w:r>
        <w:rPr>
          <w:rFonts w:hint="eastAsia"/>
          <w:lang w:val="en-US" w:eastAsia="zh-CN"/>
        </w:rPr>
        <w:t>/2-BPSK at CCDF 1% and 1.8 dB lower at CCDF 0.1%.</w:t>
      </w:r>
      <w:bookmarkEnd w:id="214"/>
    </w:p>
    <w:p>
      <w:pPr>
        <w:pStyle w:val="51"/>
        <w:spacing w:before="120" w:after="120"/>
        <w:jc w:val="both"/>
        <w:rPr>
          <w:lang w:val="en-US" w:eastAsia="zh-CN"/>
        </w:rPr>
      </w:pPr>
      <w:bookmarkStart w:id="215" w:name="_Toc206178997"/>
      <w:r>
        <w:rPr>
          <w:rFonts w:hint="eastAsia"/>
          <w:lang w:val="en-US" w:eastAsia="zh-CN"/>
        </w:rPr>
        <w:t>With FDSS, I-</w:t>
      </w:r>
      <w:r>
        <w:rPr>
          <w:lang w:val="en-US" w:eastAsia="zh-CN"/>
        </w:rPr>
        <w:t>π</w:t>
      </w:r>
      <w:r>
        <w:rPr>
          <w:rFonts w:hint="eastAsia"/>
          <w:lang w:val="en-US" w:eastAsia="zh-CN"/>
        </w:rPr>
        <w:t xml:space="preserve">/2-BPSK provides approximately 0.9 dB lower PAPR than </w:t>
      </w:r>
      <w:r>
        <w:rPr>
          <w:lang w:val="en-US" w:eastAsia="zh-CN"/>
        </w:rPr>
        <w:t>π</w:t>
      </w:r>
      <w:r>
        <w:rPr>
          <w:rFonts w:hint="eastAsia"/>
          <w:lang w:val="en-US" w:eastAsia="zh-CN"/>
        </w:rPr>
        <w:t>/2-BPSK at CCDF 1% and 1.1 dB lower at CCDF 0.1%.</w:t>
      </w:r>
      <w:bookmarkEnd w:id="215"/>
    </w:p>
    <w:p>
      <w:pPr>
        <w:pStyle w:val="4"/>
        <w:spacing w:after="120"/>
      </w:pPr>
      <w:r>
        <w:rPr>
          <w:rFonts w:hint="eastAsia"/>
        </w:rPr>
        <w:t>BLER</w:t>
      </w:r>
    </w:p>
    <w:p>
      <w:pPr>
        <w:spacing w:beforeLines="0" w:after="120" w:afterLines="0" w:line="240" w:lineRule="auto"/>
        <w:rPr>
          <w:szCs w:val="21"/>
        </w:rPr>
      </w:pPr>
      <w:r>
        <w:rPr>
          <w:rFonts w:hint="eastAsia"/>
          <w:szCs w:val="21"/>
        </w:rPr>
        <w:t>Figure 1</w:t>
      </w:r>
      <w:r>
        <w:rPr>
          <w:szCs w:val="21"/>
        </w:rPr>
        <w:t>4</w:t>
      </w:r>
      <w:r>
        <w:rPr>
          <w:rFonts w:hint="eastAsia"/>
          <w:szCs w:val="21"/>
        </w:rPr>
        <w:t xml:space="preserve"> and 1</w:t>
      </w:r>
      <w:r>
        <w:rPr>
          <w:szCs w:val="21"/>
        </w:rPr>
        <w:t>5</w:t>
      </w:r>
      <w:r>
        <w:rPr>
          <w:rFonts w:hint="eastAsia"/>
          <w:szCs w:val="21"/>
        </w:rPr>
        <w:t xml:space="preserve"> show the BLER performance for low PAPR modulation schemes in different cases.</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70"/>
        <w:gridCol w:w="47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0" w:type="dxa"/>
          </w:tcPr>
          <w:p>
            <w:pPr>
              <w:spacing w:beforeLines="0" w:after="120" w:afterLines="0" w:line="240" w:lineRule="auto"/>
              <w:rPr>
                <w:szCs w:val="21"/>
              </w:rPr>
            </w:pPr>
            <w:r>
              <w:rPr>
                <w:szCs w:val="21"/>
              </w:rPr>
              <w:drawing>
                <wp:inline distT="0" distB="0" distL="114300" distR="114300">
                  <wp:extent cx="2877185" cy="2159635"/>
                  <wp:effectExtent l="0" t="0" r="18415" b="12065"/>
                  <wp:docPr id="13" name="图片 13" descr="TDLA10_2PRB_SE1934_FD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TDLA10_2PRB_SE1934_FDSS"/>
                          <pic:cNvPicPr>
                            <a:picLocks noChangeAspect="1"/>
                          </pic:cNvPicPr>
                        </pic:nvPicPr>
                        <pic:blipFill>
                          <a:blip r:embed="rId39"/>
                          <a:stretch>
                            <a:fillRect/>
                          </a:stretch>
                        </pic:blipFill>
                        <pic:spPr>
                          <a:xfrm>
                            <a:off x="0" y="0"/>
                            <a:ext cx="2877819" cy="2160000"/>
                          </a:xfrm>
                          <a:prstGeom prst="rect">
                            <a:avLst/>
                          </a:prstGeom>
                        </pic:spPr>
                      </pic:pic>
                    </a:graphicData>
                  </a:graphic>
                </wp:inline>
              </w:drawing>
            </w:r>
          </w:p>
        </w:tc>
        <w:tc>
          <w:tcPr>
            <w:tcW w:w="4771" w:type="dxa"/>
          </w:tcPr>
          <w:p>
            <w:pPr>
              <w:spacing w:beforeLines="0" w:after="120" w:afterLines="0" w:line="240" w:lineRule="auto"/>
              <w:rPr>
                <w:szCs w:val="21"/>
              </w:rPr>
            </w:pPr>
            <w:r>
              <w:rPr>
                <w:szCs w:val="21"/>
              </w:rPr>
              <w:drawing>
                <wp:inline distT="0" distB="0" distL="114300" distR="114300">
                  <wp:extent cx="2877185" cy="2159635"/>
                  <wp:effectExtent l="0" t="0" r="18415" b="12065"/>
                  <wp:docPr id="21" name="图片 21" descr="TDLC300_2PRB_SE1934_FD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TDLC300_2PRB_SE1934_FDSS"/>
                          <pic:cNvPicPr>
                            <a:picLocks noChangeAspect="1"/>
                          </pic:cNvPicPr>
                        </pic:nvPicPr>
                        <pic:blipFill>
                          <a:blip r:embed="rId40"/>
                          <a:stretch>
                            <a:fillRect/>
                          </a:stretch>
                        </pic:blipFill>
                        <pic:spPr>
                          <a:xfrm>
                            <a:off x="0" y="0"/>
                            <a:ext cx="2877443" cy="21600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0" w:type="dxa"/>
          </w:tcPr>
          <w:p>
            <w:pPr>
              <w:spacing w:beforeLines="0" w:after="120" w:afterLines="0" w:line="240" w:lineRule="auto"/>
              <w:jc w:val="center"/>
              <w:rPr>
                <w:szCs w:val="21"/>
              </w:rPr>
            </w:pPr>
            <w:r>
              <w:rPr>
                <w:rFonts w:hint="eastAsia"/>
                <w:szCs w:val="21"/>
              </w:rPr>
              <w:t>(a)</w:t>
            </w:r>
          </w:p>
        </w:tc>
        <w:tc>
          <w:tcPr>
            <w:tcW w:w="4771" w:type="dxa"/>
          </w:tcPr>
          <w:p>
            <w:pPr>
              <w:spacing w:beforeLines="0" w:after="120" w:afterLines="0" w:line="240" w:lineRule="auto"/>
              <w:jc w:val="center"/>
              <w:rPr>
                <w:szCs w:val="21"/>
              </w:rPr>
            </w:pPr>
            <w:r>
              <w:rPr>
                <w:rFonts w:hint="eastAsia"/>
                <w:szCs w:val="21"/>
              </w:rPr>
              <w:t>(b)</w:t>
            </w:r>
          </w:p>
        </w:tc>
      </w:tr>
    </w:tbl>
    <w:p>
      <w:pPr>
        <w:spacing w:beforeLines="0" w:after="120" w:afterLines="0" w:line="240" w:lineRule="auto"/>
        <w:jc w:val="center"/>
        <w:rPr>
          <w:szCs w:val="21"/>
        </w:rPr>
      </w:pPr>
      <w:r>
        <w:rPr>
          <w:rFonts w:hint="eastAsia"/>
          <w:szCs w:val="21"/>
        </w:rPr>
        <w:t>Figure 1</w:t>
      </w:r>
      <w:r>
        <w:rPr>
          <w:szCs w:val="21"/>
        </w:rPr>
        <w:t>4</w:t>
      </w:r>
      <w:r>
        <w:rPr>
          <w:rFonts w:hint="eastAsia"/>
          <w:szCs w:val="21"/>
        </w:rPr>
        <w:t xml:space="preserve"> BLER performance for different modulation schemes with 2 PRBs</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70"/>
        <w:gridCol w:w="47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0" w:type="dxa"/>
          </w:tcPr>
          <w:p>
            <w:pPr>
              <w:spacing w:beforeLines="0" w:after="120" w:afterLines="0" w:line="240" w:lineRule="auto"/>
              <w:jc w:val="center"/>
              <w:rPr>
                <w:szCs w:val="21"/>
              </w:rPr>
            </w:pPr>
            <w:r>
              <w:rPr>
                <w:szCs w:val="21"/>
              </w:rPr>
              <w:drawing>
                <wp:inline distT="0" distB="0" distL="114300" distR="114300">
                  <wp:extent cx="2877820" cy="2159635"/>
                  <wp:effectExtent l="0" t="0" r="2540" b="4445"/>
                  <wp:docPr id="2" name="图片 2" descr="TDLA10_30PRB_SE2344_FD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TDLA10_30PRB_SE2344_FDSS"/>
                          <pic:cNvPicPr>
                            <a:picLocks noChangeAspect="1"/>
                          </pic:cNvPicPr>
                        </pic:nvPicPr>
                        <pic:blipFill>
                          <a:blip r:embed="rId41"/>
                          <a:stretch>
                            <a:fillRect/>
                          </a:stretch>
                        </pic:blipFill>
                        <pic:spPr>
                          <a:xfrm>
                            <a:off x="0" y="0"/>
                            <a:ext cx="2877834" cy="2160000"/>
                          </a:xfrm>
                          <a:prstGeom prst="rect">
                            <a:avLst/>
                          </a:prstGeom>
                        </pic:spPr>
                      </pic:pic>
                    </a:graphicData>
                  </a:graphic>
                </wp:inline>
              </w:drawing>
            </w:r>
          </w:p>
        </w:tc>
        <w:tc>
          <w:tcPr>
            <w:tcW w:w="4771" w:type="dxa"/>
          </w:tcPr>
          <w:p>
            <w:pPr>
              <w:spacing w:beforeLines="0" w:after="120" w:afterLines="0" w:line="240" w:lineRule="auto"/>
              <w:jc w:val="center"/>
              <w:rPr>
                <w:szCs w:val="21"/>
              </w:rPr>
            </w:pPr>
            <w:r>
              <w:rPr>
                <w:szCs w:val="21"/>
              </w:rPr>
              <w:drawing>
                <wp:inline distT="0" distB="0" distL="114300" distR="114300">
                  <wp:extent cx="2877820" cy="2159635"/>
                  <wp:effectExtent l="0" t="0" r="2540" b="4445"/>
                  <wp:docPr id="3" name="图片 3" descr="TDLA10_30PRB_SE3066_FD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TDLA10_30PRB_SE3066_FDSS"/>
                          <pic:cNvPicPr>
                            <a:picLocks noChangeAspect="1"/>
                          </pic:cNvPicPr>
                        </pic:nvPicPr>
                        <pic:blipFill>
                          <a:blip r:embed="rId42"/>
                          <a:stretch>
                            <a:fillRect/>
                          </a:stretch>
                        </pic:blipFill>
                        <pic:spPr>
                          <a:xfrm>
                            <a:off x="0" y="0"/>
                            <a:ext cx="2877848" cy="21600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0" w:type="dxa"/>
          </w:tcPr>
          <w:p>
            <w:pPr>
              <w:spacing w:beforeLines="0" w:after="120" w:afterLines="0" w:line="240" w:lineRule="auto"/>
              <w:jc w:val="center"/>
              <w:rPr>
                <w:szCs w:val="21"/>
              </w:rPr>
            </w:pPr>
            <w:r>
              <w:rPr>
                <w:rFonts w:hint="eastAsia"/>
                <w:szCs w:val="21"/>
              </w:rPr>
              <w:t>(a)</w:t>
            </w:r>
          </w:p>
        </w:tc>
        <w:tc>
          <w:tcPr>
            <w:tcW w:w="4771" w:type="dxa"/>
          </w:tcPr>
          <w:p>
            <w:pPr>
              <w:spacing w:beforeLines="0" w:after="120" w:afterLines="0" w:line="240" w:lineRule="auto"/>
              <w:jc w:val="center"/>
              <w:rPr>
                <w:szCs w:val="21"/>
              </w:rPr>
            </w:pPr>
            <w:r>
              <w:rPr>
                <w:rFonts w:hint="eastAsia"/>
                <w:szCs w:val="21"/>
              </w:rPr>
              <w:t>(b)</w:t>
            </w:r>
          </w:p>
        </w:tc>
      </w:tr>
    </w:tbl>
    <w:p>
      <w:pPr>
        <w:spacing w:beforeLines="0" w:after="120" w:afterLines="0" w:line="240" w:lineRule="auto"/>
        <w:jc w:val="center"/>
        <w:rPr>
          <w:szCs w:val="21"/>
        </w:rPr>
      </w:pPr>
      <w:r>
        <w:rPr>
          <w:rFonts w:hint="eastAsia"/>
          <w:szCs w:val="21"/>
        </w:rPr>
        <w:t>Figure 1</w:t>
      </w:r>
      <w:r>
        <w:rPr>
          <w:szCs w:val="21"/>
        </w:rPr>
        <w:t>5</w:t>
      </w:r>
      <w:r>
        <w:rPr>
          <w:rFonts w:hint="eastAsia"/>
          <w:szCs w:val="21"/>
        </w:rPr>
        <w:t xml:space="preserve"> BLER performance for different modulation schemes with 30 PRBs</w:t>
      </w:r>
    </w:p>
    <w:p>
      <w:pPr>
        <w:spacing w:beforeLines="0" w:after="120" w:afterLines="0" w:line="240" w:lineRule="auto"/>
        <w:rPr>
          <w:szCs w:val="21"/>
        </w:rPr>
      </w:pPr>
      <w:r>
        <w:rPr>
          <w:rFonts w:hint="eastAsia"/>
          <w:szCs w:val="21"/>
        </w:rPr>
        <w:t>From Figure 1</w:t>
      </w:r>
      <w:r>
        <w:rPr>
          <w:szCs w:val="21"/>
        </w:rPr>
        <w:t>4</w:t>
      </w:r>
      <w:r>
        <w:rPr>
          <w:rFonts w:hint="eastAsia"/>
          <w:szCs w:val="21"/>
        </w:rPr>
        <w:t xml:space="preserve"> and 1</w:t>
      </w:r>
      <w:r>
        <w:rPr>
          <w:szCs w:val="21"/>
        </w:rPr>
        <w:t>5</w:t>
      </w:r>
      <w:r>
        <w:rPr>
          <w:rFonts w:hint="eastAsia"/>
          <w:szCs w:val="21"/>
        </w:rPr>
        <w:t>, it can be observed that:</w:t>
      </w:r>
    </w:p>
    <w:p>
      <w:pPr>
        <w:pStyle w:val="51"/>
        <w:spacing w:before="120" w:after="120"/>
        <w:jc w:val="both"/>
        <w:rPr>
          <w:lang w:val="en-US" w:eastAsia="zh-CN"/>
        </w:rPr>
      </w:pPr>
      <w:bookmarkStart w:id="216" w:name="_Toc206178998"/>
      <w:r>
        <w:rPr>
          <w:rFonts w:hint="eastAsia"/>
          <w:lang w:val="en-US" w:eastAsia="zh-CN"/>
        </w:rPr>
        <w:t>In the simulated cases, I-</w:t>
      </w:r>
      <w:r>
        <w:rPr>
          <w:lang w:val="en-US" w:eastAsia="zh-CN"/>
        </w:rPr>
        <w:t>π</w:t>
      </w:r>
      <w:r>
        <w:rPr>
          <w:rFonts w:hint="eastAsia"/>
          <w:lang w:val="en-US" w:eastAsia="zh-CN"/>
        </w:rPr>
        <w:t>/2-BPSK achieves the same BLER performance as π/2-BPSK.</w:t>
      </w:r>
      <w:bookmarkEnd w:id="216"/>
    </w:p>
    <w:p>
      <w:pPr>
        <w:pStyle w:val="51"/>
        <w:spacing w:before="120" w:after="120"/>
        <w:jc w:val="both"/>
        <w:rPr>
          <w:lang w:val="en-US" w:eastAsia="zh-CN"/>
        </w:rPr>
      </w:pPr>
      <w:bookmarkStart w:id="217" w:name="_Toc206178999"/>
      <w:r>
        <w:rPr>
          <w:rFonts w:hint="eastAsia"/>
          <w:lang w:val="en-US" w:eastAsia="zh-CN"/>
        </w:rPr>
        <w:t xml:space="preserve">When FDSS is applied, the performance of </w:t>
      </w:r>
      <w:r>
        <w:rPr>
          <w:lang w:val="en-US" w:eastAsia="zh-CN"/>
        </w:rPr>
        <w:t>π</w:t>
      </w:r>
      <w:r>
        <w:rPr>
          <w:rFonts w:hint="eastAsia"/>
          <w:lang w:val="en-US" w:eastAsia="zh-CN"/>
        </w:rPr>
        <w:t>/2-BPSK degrades, whereas I-</w:t>
      </w:r>
      <w:r>
        <w:rPr>
          <w:lang w:val="en-US" w:eastAsia="zh-CN"/>
        </w:rPr>
        <w:t>π</w:t>
      </w:r>
      <w:r>
        <w:rPr>
          <w:rFonts w:hint="eastAsia"/>
          <w:lang w:val="en-US" w:eastAsia="zh-CN"/>
        </w:rPr>
        <w:t>/2-BPSK shows no performance loss.</w:t>
      </w:r>
      <w:bookmarkEnd w:id="217"/>
    </w:p>
    <w:p>
      <w:pPr>
        <w:pStyle w:val="51"/>
        <w:spacing w:before="120" w:after="120"/>
        <w:jc w:val="both"/>
        <w:rPr>
          <w:lang w:val="en-US" w:eastAsia="zh-CN"/>
        </w:rPr>
      </w:pPr>
      <w:bookmarkStart w:id="218" w:name="_Toc206179000"/>
      <w:r>
        <w:rPr>
          <w:rFonts w:hint="eastAsia"/>
          <w:lang w:val="en-US" w:eastAsia="zh-CN"/>
        </w:rPr>
        <w:t xml:space="preserve">In the simulated cases, </w:t>
      </w:r>
      <w:r>
        <w:rPr>
          <w:lang w:val="en-US" w:eastAsia="zh-CN"/>
        </w:rPr>
        <w:t>π</w:t>
      </w:r>
      <w:r>
        <w:rPr>
          <w:rFonts w:hint="eastAsia"/>
          <w:lang w:val="en-US" w:eastAsia="zh-CN"/>
        </w:rPr>
        <w:t>/2-BPSK with FDSS shows the worst BLER performance.</w:t>
      </w:r>
      <w:bookmarkEnd w:id="218"/>
    </w:p>
    <w:p>
      <w:pPr>
        <w:pStyle w:val="2"/>
        <w:spacing w:before="120" w:after="120"/>
        <w:ind w:left="0"/>
        <w:rPr>
          <w:rFonts w:eastAsia="宋体"/>
        </w:rPr>
      </w:pPr>
      <w:r>
        <w:rPr>
          <w:rFonts w:eastAsia="宋体"/>
        </w:rPr>
        <w:t>Conclusion</w:t>
      </w:r>
    </w:p>
    <w:p>
      <w:pPr>
        <w:spacing w:before="120" w:after="120"/>
      </w:pPr>
      <w:r>
        <w:rPr>
          <w:rFonts w:hint="eastAsia"/>
        </w:rPr>
        <w:t>In this contribution, we have the following observations/proposals:</w:t>
      </w:r>
    </w:p>
    <w:p>
      <w:pPr>
        <w:pStyle w:val="13"/>
        <w:tabs>
          <w:tab w:val="right" w:leader="dot" w:pos="9325"/>
          <w:tab w:val="clear" w:pos="0"/>
          <w:tab w:val="clear" w:pos="9660"/>
        </w:tabs>
        <w:spacing w:before="120" w:after="120"/>
        <w:rPr>
          <w:i w:val="0"/>
          <w:sz w:val="21"/>
          <w:szCs w:val="21"/>
          <w:u w:val="single"/>
        </w:rPr>
      </w:pPr>
      <w:r>
        <w:rPr>
          <w:rFonts w:hint="eastAsia"/>
          <w:i w:val="0"/>
          <w:sz w:val="21"/>
          <w:szCs w:val="21"/>
          <w:u w:val="single"/>
        </w:rPr>
        <w:t>Q</w:t>
      </w:r>
      <w:r>
        <w:rPr>
          <w:i w:val="0"/>
          <w:sz w:val="21"/>
          <w:szCs w:val="21"/>
          <w:u w:val="single"/>
        </w:rPr>
        <w:t>AM constellation for 6GR</w:t>
      </w:r>
    </w:p>
    <w:p>
      <w:pPr>
        <w:pStyle w:val="54"/>
        <w:numPr>
          <w:ilvl w:val="0"/>
          <w:numId w:val="0"/>
        </w:numPr>
        <w:spacing w:before="120" w:after="120"/>
        <w:jc w:val="both"/>
        <w:rPr>
          <w:lang w:val="en-US" w:eastAsia="zh-CN"/>
        </w:rPr>
      </w:pPr>
      <w:r>
        <w:rPr>
          <w:lang w:val="en-US" w:eastAsia="zh-CN"/>
        </w:rPr>
        <w:t>Proposal 1: QAM constellation can be considered as the starting point for 6GR.</w:t>
      </w:r>
    </w:p>
    <w:p>
      <w:pPr>
        <w:pStyle w:val="54"/>
        <w:numPr>
          <w:ilvl w:val="0"/>
          <w:numId w:val="0"/>
        </w:numPr>
        <w:spacing w:before="120" w:after="120"/>
        <w:jc w:val="both"/>
        <w:rPr>
          <w:rFonts w:eastAsia="宋体"/>
        </w:rPr>
      </w:pPr>
      <w:r>
        <w:rPr>
          <w:lang w:val="en-US" w:eastAsia="zh-CN"/>
        </w:rPr>
        <w:t xml:space="preserve">Proposal 2: Do not support </w:t>
      </w:r>
      <w:r>
        <w:t xml:space="preserve">2048QAM </w:t>
      </w:r>
      <w:r>
        <w:rPr>
          <w:lang w:eastAsia="zh-CN"/>
        </w:rPr>
        <w:t>or</w:t>
      </w:r>
      <w:r>
        <w:t xml:space="preserve"> 4096QAM</w:t>
      </w:r>
      <w:r>
        <w:rPr>
          <w:lang w:val="en-US" w:eastAsia="zh-CN"/>
        </w:rPr>
        <w:t xml:space="preserve"> in 6G Day 1.</w:t>
      </w:r>
    </w:p>
    <w:p>
      <w:pPr>
        <w:pStyle w:val="54"/>
        <w:numPr>
          <w:ilvl w:val="0"/>
          <w:numId w:val="0"/>
        </w:numPr>
        <w:spacing w:before="120" w:after="120"/>
        <w:jc w:val="both"/>
        <w:rPr>
          <w:i w:val="0"/>
          <w:lang w:eastAsia="zh-CN"/>
        </w:rPr>
      </w:pPr>
    </w:p>
    <w:p>
      <w:pPr>
        <w:pStyle w:val="13"/>
        <w:tabs>
          <w:tab w:val="right" w:leader="dot" w:pos="9325"/>
          <w:tab w:val="clear" w:pos="0"/>
          <w:tab w:val="clear" w:pos="9660"/>
        </w:tabs>
        <w:spacing w:before="120" w:after="120"/>
        <w:rPr>
          <w:i w:val="0"/>
          <w:sz w:val="21"/>
          <w:szCs w:val="21"/>
          <w:u w:val="single"/>
        </w:rPr>
      </w:pPr>
      <w:r>
        <w:rPr>
          <w:i w:val="0"/>
          <w:sz w:val="21"/>
          <w:szCs w:val="21"/>
          <w:u w:val="single"/>
        </w:rPr>
        <w:t>Shaping modulation for 6GR</w:t>
      </w:r>
    </w:p>
    <w:p>
      <w:pPr>
        <w:spacing w:before="120" w:after="120"/>
        <w:rPr>
          <w:i/>
        </w:rPr>
      </w:pPr>
      <w:r>
        <w:rPr>
          <w:rFonts w:hint="eastAsia"/>
          <w:i/>
        </w:rPr>
        <w:t>M</w:t>
      </w:r>
      <w:r>
        <w:rPr>
          <w:i/>
        </w:rPr>
        <w:t>otivation &amp; Metric</w:t>
      </w:r>
    </w:p>
    <w:p>
      <w:pPr>
        <w:pStyle w:val="51"/>
        <w:numPr>
          <w:ilvl w:val="0"/>
          <w:numId w:val="0"/>
        </w:numPr>
        <w:spacing w:before="120" w:after="120"/>
        <w:jc w:val="both"/>
      </w:pPr>
      <w:r>
        <w:rPr>
          <w:lang w:val="en-US" w:eastAsia="zh-CN"/>
        </w:rPr>
        <w:t xml:space="preserve">Observation 1: </w:t>
      </w:r>
      <w:r>
        <w:rPr>
          <w:rFonts w:hint="eastAsia"/>
          <w:lang w:val="en-US" w:eastAsia="zh-CN"/>
        </w:rPr>
        <w:t>Shaping modulation is capable of achieving Shannon capacity.</w:t>
      </w:r>
    </w:p>
    <w:p>
      <w:pPr>
        <w:pStyle w:val="54"/>
        <w:numPr>
          <w:ilvl w:val="0"/>
          <w:numId w:val="0"/>
        </w:numPr>
        <w:spacing w:before="120" w:after="120"/>
        <w:rPr>
          <w:rFonts w:eastAsia="宋体"/>
          <w:lang w:val="en-US" w:eastAsia="zh-CN"/>
        </w:rPr>
      </w:pPr>
      <w:r>
        <w:rPr>
          <w:lang w:val="en-US" w:eastAsia="zh-CN"/>
        </w:rPr>
        <w:t>Proposal 3: The following metrics should be evaluated for shaping modulation</w:t>
      </w:r>
      <w:r>
        <w:rPr>
          <w:rFonts w:hint="eastAsia"/>
          <w:lang w:val="en-US" w:eastAsia="zh-CN"/>
        </w:rPr>
        <w:t>.</w:t>
      </w:r>
    </w:p>
    <w:p>
      <w:pPr>
        <w:pStyle w:val="54"/>
        <w:numPr>
          <w:ilvl w:val="1"/>
          <w:numId w:val="4"/>
        </w:numPr>
        <w:spacing w:before="120" w:after="120"/>
        <w:rPr>
          <w:rFonts w:eastAsia="宋体"/>
          <w:lang w:val="en-US" w:eastAsia="zh-CN"/>
        </w:rPr>
      </w:pPr>
      <w:r>
        <w:rPr>
          <w:rFonts w:hint="eastAsia"/>
          <w:sz w:val="21"/>
          <w:szCs w:val="21"/>
        </w:rPr>
        <w:t>BLER performance</w:t>
      </w:r>
      <w:r>
        <w:rPr>
          <w:sz w:val="21"/>
          <w:szCs w:val="21"/>
        </w:rPr>
        <w:t xml:space="preserve"> for both initial transmission and re-transmission with varied TBS and spectrum efficiency</w:t>
      </w:r>
    </w:p>
    <w:p>
      <w:pPr>
        <w:pStyle w:val="54"/>
        <w:numPr>
          <w:ilvl w:val="1"/>
          <w:numId w:val="4"/>
        </w:numPr>
        <w:spacing w:before="120" w:after="120"/>
        <w:rPr>
          <w:rFonts w:eastAsia="宋体"/>
          <w:lang w:val="en-US" w:eastAsia="zh-CN"/>
        </w:rPr>
      </w:pPr>
      <w:r>
        <w:rPr>
          <w:szCs w:val="21"/>
        </w:rPr>
        <w:t>Throughput</w:t>
      </w:r>
    </w:p>
    <w:p>
      <w:pPr>
        <w:pStyle w:val="54"/>
        <w:numPr>
          <w:ilvl w:val="1"/>
          <w:numId w:val="4"/>
        </w:numPr>
        <w:spacing w:before="120" w:after="120"/>
        <w:rPr>
          <w:rFonts w:eastAsia="宋体"/>
          <w:lang w:val="en-US" w:eastAsia="zh-CN"/>
        </w:rPr>
      </w:pPr>
      <w:r>
        <w:rPr>
          <w:rFonts w:hint="eastAsia"/>
          <w:szCs w:val="21"/>
        </w:rPr>
        <w:t>EVM</w:t>
      </w:r>
    </w:p>
    <w:p>
      <w:pPr>
        <w:pStyle w:val="54"/>
        <w:numPr>
          <w:ilvl w:val="1"/>
          <w:numId w:val="4"/>
        </w:numPr>
        <w:spacing w:before="120" w:after="120"/>
        <w:rPr>
          <w:rFonts w:eastAsia="宋体"/>
          <w:lang w:val="en-US" w:eastAsia="zh-CN"/>
        </w:rPr>
      </w:pPr>
      <w:r>
        <w:rPr>
          <w:rFonts w:hint="eastAsia"/>
          <w:szCs w:val="21"/>
        </w:rPr>
        <w:t>Complexity</w:t>
      </w:r>
    </w:p>
    <w:p>
      <w:pPr>
        <w:spacing w:before="120" w:after="120"/>
        <w:rPr>
          <w:lang w:val="en-GB"/>
        </w:rPr>
      </w:pPr>
    </w:p>
    <w:p>
      <w:pPr>
        <w:spacing w:before="120" w:after="120"/>
        <w:rPr>
          <w:i/>
        </w:rPr>
      </w:pPr>
      <w:r>
        <w:rPr>
          <w:i/>
        </w:rPr>
        <w:t>Geometric shaping modulation</w:t>
      </w:r>
    </w:p>
    <w:p>
      <w:pPr>
        <w:pStyle w:val="51"/>
        <w:numPr>
          <w:ilvl w:val="0"/>
          <w:numId w:val="0"/>
        </w:numPr>
        <w:spacing w:before="120" w:after="120"/>
        <w:jc w:val="both"/>
      </w:pPr>
      <w:r>
        <w:rPr>
          <w:lang w:val="en-US" w:eastAsia="zh-CN"/>
        </w:rPr>
        <w:t xml:space="preserve">Observation 2: </w:t>
      </w:r>
      <w:r>
        <w:rPr>
          <w:rFonts w:hint="eastAsia"/>
          <w:lang w:val="en-US" w:eastAsia="zh-CN"/>
        </w:rPr>
        <w:t xml:space="preserve">NUC </w:t>
      </w:r>
      <w:r>
        <w:t>modulation</w:t>
      </w:r>
      <w:r>
        <w:rPr>
          <w:rFonts w:hint="eastAsia"/>
          <w:lang w:val="en-US" w:eastAsia="zh-CN"/>
        </w:rPr>
        <w:t xml:space="preserve"> is a mature technique and has been widely used in broadcast standards.</w:t>
      </w:r>
    </w:p>
    <w:p>
      <w:pPr>
        <w:pStyle w:val="51"/>
        <w:numPr>
          <w:ilvl w:val="0"/>
          <w:numId w:val="0"/>
        </w:numPr>
        <w:spacing w:before="120" w:after="120"/>
        <w:jc w:val="both"/>
        <w:rPr>
          <w:lang w:val="en-US" w:eastAsia="zh-CN"/>
        </w:rPr>
      </w:pPr>
      <w:r>
        <w:t xml:space="preserve">Observation 3: </w:t>
      </w:r>
      <w:r>
        <w:rPr>
          <w:rFonts w:hint="eastAsia"/>
        </w:rPr>
        <w:t>Introducing NUC</w:t>
      </w:r>
      <w:r>
        <w:rPr>
          <w:rFonts w:hint="eastAsia"/>
          <w:lang w:val="en-US" w:eastAsia="zh-CN"/>
        </w:rPr>
        <w:t xml:space="preserve"> for 6GR</w:t>
      </w:r>
      <w:r>
        <w:rPr>
          <w:rFonts w:hint="eastAsia"/>
        </w:rPr>
        <w:t xml:space="preserve"> does not affect the LDPC coding chain in 5G</w:t>
      </w:r>
      <w:r>
        <w:rPr>
          <w:rFonts w:hint="eastAsia"/>
          <w:lang w:val="en-US" w:eastAsia="zh-CN"/>
        </w:rPr>
        <w:t>. Th</w:t>
      </w:r>
      <w:r>
        <w:rPr>
          <w:rFonts w:hint="eastAsia"/>
        </w:rPr>
        <w:t>e LDPC coding chain in 5G</w:t>
      </w:r>
      <w:r>
        <w:rPr>
          <w:rFonts w:hint="eastAsia"/>
          <w:lang w:val="en-US" w:eastAsia="zh-CN"/>
        </w:rPr>
        <w:t xml:space="preserve"> can be reused in 6GR.</w:t>
      </w:r>
    </w:p>
    <w:p>
      <w:pPr>
        <w:pStyle w:val="51"/>
        <w:numPr>
          <w:ilvl w:val="0"/>
          <w:numId w:val="0"/>
        </w:numPr>
        <w:spacing w:before="120" w:after="120"/>
      </w:pPr>
      <w:r>
        <w:t>Observation 4: NUC modulation/demodulation is a full parallel process and it is easier to achieve ultra-high throughput for 6GR.</w:t>
      </w:r>
    </w:p>
    <w:p>
      <w:pPr>
        <w:pStyle w:val="51"/>
        <w:numPr>
          <w:ilvl w:val="0"/>
          <w:numId w:val="0"/>
        </w:numPr>
        <w:spacing w:before="120" w:after="120"/>
        <w:jc w:val="both"/>
        <w:rPr>
          <w:lang w:val="en-US" w:eastAsia="zh-CN"/>
        </w:rPr>
      </w:pPr>
      <w:r>
        <w:t xml:space="preserve">Observation 5: </w:t>
      </w:r>
      <w:r>
        <w:rPr>
          <w:rFonts w:hint="eastAsia"/>
        </w:rPr>
        <w:t xml:space="preserve">NUC </w:t>
      </w:r>
      <w:r>
        <w:rPr>
          <w:rFonts w:hint="eastAsia"/>
          <w:lang w:val="en-US" w:eastAsia="zh-CN"/>
        </w:rPr>
        <w:t>can have shaping gain from 0.15 dB to 0.75 dB</w:t>
      </w:r>
      <w:r>
        <w:rPr>
          <w:lang w:val="en-US" w:eastAsia="zh-CN"/>
        </w:rPr>
        <w:t>, where</w:t>
      </w:r>
      <w:r>
        <w:rPr>
          <w:rFonts w:hint="eastAsia"/>
          <w:lang w:val="en-US" w:eastAsia="zh-CN"/>
        </w:rPr>
        <w:t xml:space="preserve"> shaping gain of </w:t>
      </w:r>
      <w:r>
        <w:rPr>
          <w:rFonts w:hint="eastAsia"/>
        </w:rPr>
        <w:t xml:space="preserve">NUC </w:t>
      </w:r>
      <w:r>
        <w:rPr>
          <w:rFonts w:hint="eastAsia"/>
          <w:lang w:val="en-US" w:eastAsia="zh-CN"/>
        </w:rPr>
        <w:t>increases</w:t>
      </w:r>
      <w:r>
        <w:rPr>
          <w:lang w:val="en-US" w:eastAsia="zh-CN"/>
        </w:rPr>
        <w:t xml:space="preserve"> as </w:t>
      </w:r>
      <w:r>
        <w:rPr>
          <w:rFonts w:hint="eastAsia"/>
          <w:lang w:val="en-US" w:eastAsia="zh-CN"/>
        </w:rPr>
        <w:t>the</w:t>
      </w:r>
      <w:r>
        <w:rPr>
          <w:lang w:val="en-US" w:eastAsia="zh-CN"/>
        </w:rPr>
        <w:t xml:space="preserve"> </w:t>
      </w:r>
      <w:r>
        <w:rPr>
          <w:rFonts w:hint="eastAsia"/>
          <w:lang w:val="en-US" w:eastAsia="zh-CN"/>
        </w:rPr>
        <w:t>modulation order</w:t>
      </w:r>
      <w:r>
        <w:rPr>
          <w:lang w:val="en-US" w:eastAsia="zh-CN"/>
        </w:rPr>
        <w:t xml:space="preserve"> inc</w:t>
      </w:r>
      <w:r>
        <w:rPr>
          <w:rFonts w:hint="eastAsia"/>
          <w:lang w:val="en-US" w:eastAsia="zh-CN"/>
        </w:rPr>
        <w:t>r</w:t>
      </w:r>
      <w:r>
        <w:rPr>
          <w:lang w:val="en-US" w:eastAsia="zh-CN"/>
        </w:rPr>
        <w:t>eases</w:t>
      </w:r>
      <w:r>
        <w:rPr>
          <w:rFonts w:hint="eastAsia"/>
        </w:rPr>
        <w:t>.</w:t>
      </w:r>
    </w:p>
    <w:p>
      <w:pPr>
        <w:pStyle w:val="54"/>
        <w:numPr>
          <w:ilvl w:val="0"/>
          <w:numId w:val="0"/>
        </w:numPr>
        <w:spacing w:before="120" w:after="120"/>
        <w:jc w:val="both"/>
        <w:rPr>
          <w:rFonts w:eastAsia="宋体"/>
          <w:lang w:val="en-US" w:eastAsia="zh-CN"/>
        </w:rPr>
      </w:pPr>
      <w:r>
        <w:rPr>
          <w:lang w:val="en-US" w:eastAsia="zh-CN"/>
        </w:rPr>
        <w:t>Proposal 4: NUC modulation for 6GR can be studied and considered.</w:t>
      </w:r>
    </w:p>
    <w:p>
      <w:pPr>
        <w:pStyle w:val="51"/>
        <w:numPr>
          <w:ilvl w:val="0"/>
          <w:numId w:val="0"/>
        </w:numPr>
        <w:spacing w:before="120" w:after="120"/>
        <w:jc w:val="both"/>
      </w:pPr>
    </w:p>
    <w:p>
      <w:pPr>
        <w:spacing w:before="120" w:after="120"/>
        <w:rPr>
          <w:i/>
        </w:rPr>
      </w:pPr>
      <w:r>
        <w:rPr>
          <w:rFonts w:hint="eastAsia"/>
          <w:i/>
        </w:rPr>
        <w:t>P</w:t>
      </w:r>
      <w:r>
        <w:rPr>
          <w:i/>
        </w:rPr>
        <w:t>robabilistic shaping modulation</w:t>
      </w:r>
    </w:p>
    <w:p>
      <w:pPr>
        <w:pStyle w:val="51"/>
        <w:numPr>
          <w:ilvl w:val="0"/>
          <w:numId w:val="0"/>
        </w:numPr>
        <w:spacing w:before="120" w:after="120"/>
        <w:jc w:val="both"/>
      </w:pPr>
      <w:r>
        <w:rPr>
          <w:lang w:val="en-US" w:eastAsia="zh-CN"/>
        </w:rPr>
        <w:t>Observation 6: PAS modulation has impacts on coding chain in terms of:</w:t>
      </w:r>
    </w:p>
    <w:p>
      <w:pPr>
        <w:pStyle w:val="51"/>
        <w:numPr>
          <w:ilvl w:val="0"/>
          <w:numId w:val="9"/>
        </w:numPr>
        <w:spacing w:before="120" w:after="120"/>
        <w:jc w:val="both"/>
      </w:pPr>
      <w:r>
        <w:rPr>
          <w:lang w:val="en-US" w:eastAsia="zh-CN"/>
        </w:rPr>
        <w:t xml:space="preserve">Additional procedures before or after channel coding </w:t>
      </w:r>
    </w:p>
    <w:p>
      <w:pPr>
        <w:pStyle w:val="51"/>
        <w:numPr>
          <w:ilvl w:val="0"/>
          <w:numId w:val="9"/>
        </w:numPr>
        <w:spacing w:before="120" w:after="120"/>
        <w:jc w:val="both"/>
      </w:pPr>
      <w:r>
        <w:rPr>
          <w:lang w:val="en-US" w:eastAsia="zh-CN"/>
        </w:rPr>
        <w:t>Bit interleaving</w:t>
      </w:r>
    </w:p>
    <w:p>
      <w:pPr>
        <w:pStyle w:val="51"/>
        <w:numPr>
          <w:ilvl w:val="0"/>
          <w:numId w:val="0"/>
        </w:numPr>
        <w:spacing w:before="120" w:after="120"/>
        <w:jc w:val="both"/>
      </w:pPr>
      <w:r>
        <w:rPr>
          <w:lang w:val="en-US" w:eastAsia="zh-CN"/>
        </w:rPr>
        <w:t>Observation 7: The following</w:t>
      </w:r>
      <w:r>
        <w:rPr>
          <w:rFonts w:hint="eastAsia"/>
          <w:lang w:val="en-US" w:eastAsia="zh-CN"/>
        </w:rPr>
        <w:t xml:space="preserve"> </w:t>
      </w:r>
      <w:r>
        <w:rPr>
          <w:lang w:val="en-US" w:eastAsia="zh-CN"/>
        </w:rPr>
        <w:t>two aspects needed to consider for CCDM algorithm in terms of:</w:t>
      </w:r>
    </w:p>
    <w:p>
      <w:pPr>
        <w:pStyle w:val="51"/>
        <w:numPr>
          <w:ilvl w:val="0"/>
          <w:numId w:val="9"/>
        </w:numPr>
        <w:spacing w:before="120" w:after="120"/>
        <w:jc w:val="both"/>
      </w:pPr>
      <w:r>
        <w:rPr>
          <w:lang w:val="en-US" w:eastAsia="zh-CN"/>
        </w:rPr>
        <w:t>Serial process for encoding and decoding</w:t>
      </w:r>
    </w:p>
    <w:p>
      <w:pPr>
        <w:pStyle w:val="51"/>
        <w:numPr>
          <w:ilvl w:val="0"/>
          <w:numId w:val="9"/>
        </w:numPr>
        <w:spacing w:before="120" w:after="120"/>
        <w:jc w:val="both"/>
      </w:pPr>
      <w:r>
        <w:rPr>
          <w:rFonts w:hint="eastAsia"/>
          <w:lang w:eastAsia="zh-CN"/>
        </w:rPr>
        <w:t>P</w:t>
      </w:r>
      <w:r>
        <w:rPr>
          <w:lang w:eastAsia="zh-CN"/>
        </w:rPr>
        <w:t>erformance loss in small TBSs</w:t>
      </w:r>
    </w:p>
    <w:p>
      <w:pPr>
        <w:pStyle w:val="51"/>
        <w:numPr>
          <w:ilvl w:val="0"/>
          <w:numId w:val="0"/>
        </w:numPr>
        <w:spacing w:before="120" w:after="120"/>
      </w:pPr>
      <w:r>
        <w:rPr>
          <w:lang w:val="en-US" w:eastAsia="zh-CN"/>
        </w:rPr>
        <w:t>Observation 8: PAS schemes with (A)ESS/shell mapping has an ultra-high memory requirement for encoding/decoding.</w:t>
      </w:r>
    </w:p>
    <w:p>
      <w:pPr>
        <w:pStyle w:val="51"/>
        <w:numPr>
          <w:ilvl w:val="0"/>
          <w:numId w:val="0"/>
        </w:numPr>
        <w:spacing w:before="120" w:after="120"/>
        <w:jc w:val="both"/>
      </w:pPr>
      <w:r>
        <w:t>Observation 9: IR-HARQ performance may degrade when PAS is used.</w:t>
      </w:r>
    </w:p>
    <w:p>
      <w:pPr>
        <w:pStyle w:val="54"/>
        <w:numPr>
          <w:ilvl w:val="0"/>
          <w:numId w:val="0"/>
        </w:numPr>
        <w:spacing w:before="120" w:after="120"/>
        <w:jc w:val="both"/>
        <w:rPr>
          <w:rFonts w:eastAsia="宋体"/>
          <w:lang w:val="en-US" w:eastAsia="zh-CN"/>
        </w:rPr>
      </w:pPr>
      <w:r>
        <w:rPr>
          <w:lang w:val="en-US" w:eastAsia="zh-CN"/>
        </w:rPr>
        <w:t>Proposal 5: The following issues for PAS can be studied and evaluated:</w:t>
      </w:r>
    </w:p>
    <w:p>
      <w:pPr>
        <w:pStyle w:val="54"/>
        <w:numPr>
          <w:ilvl w:val="1"/>
          <w:numId w:val="4"/>
        </w:numPr>
        <w:spacing w:before="120" w:after="120"/>
        <w:jc w:val="both"/>
        <w:rPr>
          <w:rFonts w:eastAsia="宋体"/>
          <w:lang w:val="en-US" w:eastAsia="zh-CN"/>
        </w:rPr>
      </w:pPr>
      <w:r>
        <w:rPr>
          <w:rFonts w:hint="eastAsia" w:eastAsia="宋体"/>
          <w:lang w:val="en-US" w:eastAsia="zh-CN"/>
        </w:rPr>
        <w:t>I</w:t>
      </w:r>
      <w:r>
        <w:rPr>
          <w:rFonts w:eastAsia="宋体"/>
          <w:lang w:val="en-US" w:eastAsia="zh-CN"/>
        </w:rPr>
        <w:t>mpact on coding chain</w:t>
      </w:r>
    </w:p>
    <w:p>
      <w:pPr>
        <w:pStyle w:val="54"/>
        <w:numPr>
          <w:ilvl w:val="1"/>
          <w:numId w:val="4"/>
        </w:numPr>
        <w:spacing w:before="120" w:after="120"/>
        <w:jc w:val="both"/>
        <w:rPr>
          <w:rFonts w:eastAsia="宋体"/>
          <w:lang w:val="en-US" w:eastAsia="zh-CN"/>
        </w:rPr>
      </w:pPr>
      <w:r>
        <w:rPr>
          <w:rFonts w:eastAsia="宋体"/>
          <w:lang w:val="en-US" w:eastAsia="zh-CN"/>
        </w:rPr>
        <w:t>Serial process and storage caused by current DM algorithms</w:t>
      </w:r>
    </w:p>
    <w:p>
      <w:pPr>
        <w:pStyle w:val="54"/>
        <w:numPr>
          <w:ilvl w:val="1"/>
          <w:numId w:val="4"/>
        </w:numPr>
        <w:spacing w:before="120" w:after="120"/>
        <w:jc w:val="both"/>
        <w:rPr>
          <w:rFonts w:eastAsia="宋体"/>
          <w:lang w:val="en-US" w:eastAsia="zh-CN"/>
        </w:rPr>
      </w:pPr>
      <w:r>
        <w:rPr>
          <w:rFonts w:hint="eastAsia" w:eastAsia="宋体"/>
          <w:lang w:val="en-US" w:eastAsia="zh-CN"/>
        </w:rPr>
        <w:t>P</w:t>
      </w:r>
      <w:r>
        <w:rPr>
          <w:rFonts w:eastAsia="宋体"/>
          <w:lang w:val="en-US" w:eastAsia="zh-CN"/>
        </w:rPr>
        <w:t>erformance</w:t>
      </w:r>
    </w:p>
    <w:p>
      <w:pPr>
        <w:spacing w:before="120" w:after="120"/>
        <w:rPr>
          <w:lang w:val="en-GB"/>
        </w:rPr>
      </w:pPr>
    </w:p>
    <w:p>
      <w:pPr>
        <w:pStyle w:val="13"/>
        <w:tabs>
          <w:tab w:val="right" w:leader="dot" w:pos="9325"/>
          <w:tab w:val="clear" w:pos="0"/>
          <w:tab w:val="clear" w:pos="9660"/>
        </w:tabs>
        <w:spacing w:before="120" w:after="120"/>
        <w:rPr>
          <w:i w:val="0"/>
          <w:sz w:val="21"/>
          <w:szCs w:val="21"/>
          <w:u w:val="single"/>
        </w:rPr>
      </w:pPr>
      <w:r>
        <w:rPr>
          <w:i w:val="0"/>
          <w:sz w:val="21"/>
          <w:szCs w:val="21"/>
          <w:u w:val="single"/>
        </w:rPr>
        <w:t>Low PAPR modulation for 6GR</w:t>
      </w:r>
    </w:p>
    <w:p>
      <w:pPr>
        <w:spacing w:before="120" w:after="120"/>
        <w:rPr>
          <w:i/>
        </w:rPr>
      </w:pPr>
      <w:r>
        <w:rPr>
          <w:i/>
        </w:rPr>
        <w:t>M</w:t>
      </w:r>
      <w:r>
        <w:rPr>
          <w:rFonts w:hint="eastAsia"/>
          <w:i/>
        </w:rPr>
        <w:t>e</w:t>
      </w:r>
      <w:r>
        <w:rPr>
          <w:i/>
        </w:rPr>
        <w:t>trics:</w:t>
      </w:r>
    </w:p>
    <w:p>
      <w:pPr>
        <w:pStyle w:val="54"/>
        <w:numPr>
          <w:ilvl w:val="0"/>
          <w:numId w:val="0"/>
        </w:numPr>
        <w:spacing w:before="120" w:after="120"/>
        <w:jc w:val="both"/>
        <w:rPr>
          <w:sz w:val="21"/>
          <w:szCs w:val="21"/>
          <w:lang w:val="en-US" w:eastAsia="zh-CN"/>
        </w:rPr>
      </w:pPr>
      <w:r>
        <w:rPr>
          <w:lang w:val="en-US" w:eastAsia="zh-CN"/>
        </w:rPr>
        <w:t xml:space="preserve">Proposal 6: </w:t>
      </w:r>
      <w:r>
        <w:rPr>
          <w:sz w:val="21"/>
          <w:szCs w:val="21"/>
          <w:lang w:val="en-US" w:eastAsia="zh-CN"/>
        </w:rPr>
        <w:t xml:space="preserve">The performance of </w:t>
      </w:r>
      <w:r>
        <w:rPr>
          <w:rFonts w:hint="eastAsia"/>
          <w:sz w:val="21"/>
          <w:szCs w:val="21"/>
          <w:lang w:val="en-US" w:eastAsia="zh-CN"/>
        </w:rPr>
        <w:t>BLER</w:t>
      </w:r>
      <w:r>
        <w:rPr>
          <w:sz w:val="21"/>
          <w:szCs w:val="21"/>
          <w:lang w:val="en-US" w:eastAsia="zh-CN"/>
        </w:rPr>
        <w:t>, PAP</w:t>
      </w:r>
      <w:r>
        <w:rPr>
          <w:rFonts w:hint="eastAsia"/>
          <w:sz w:val="21"/>
          <w:szCs w:val="21"/>
          <w:lang w:val="en-US" w:eastAsia="zh-CN"/>
        </w:rPr>
        <w:t>R</w:t>
      </w:r>
      <w:r>
        <w:rPr>
          <w:sz w:val="21"/>
          <w:szCs w:val="21"/>
          <w:lang w:val="en-US" w:eastAsia="zh-CN"/>
        </w:rPr>
        <w:t xml:space="preserve">, CM should be </w:t>
      </w:r>
      <w:r>
        <w:rPr>
          <w:rFonts w:hint="eastAsia"/>
          <w:sz w:val="21"/>
          <w:szCs w:val="21"/>
          <w:lang w:val="en-US" w:eastAsia="zh-CN"/>
        </w:rPr>
        <w:t>considered</w:t>
      </w:r>
      <w:r>
        <w:rPr>
          <w:sz w:val="21"/>
          <w:szCs w:val="21"/>
          <w:lang w:val="en-US" w:eastAsia="zh-CN"/>
        </w:rPr>
        <w:t xml:space="preserve"> as the metrics for low PAPR modulation.</w:t>
      </w:r>
    </w:p>
    <w:p>
      <w:pPr>
        <w:pStyle w:val="54"/>
        <w:numPr>
          <w:ilvl w:val="0"/>
          <w:numId w:val="0"/>
        </w:numPr>
        <w:spacing w:before="120" w:after="120"/>
        <w:jc w:val="both"/>
        <w:rPr>
          <w:sz w:val="21"/>
          <w:szCs w:val="21"/>
        </w:rPr>
      </w:pPr>
    </w:p>
    <w:p>
      <w:pPr>
        <w:spacing w:before="120" w:after="120"/>
        <w:rPr>
          <w:i/>
        </w:rPr>
      </w:pPr>
      <w:r>
        <w:rPr>
          <w:i/>
        </w:rPr>
        <w:t>Modulation</w:t>
      </w:r>
    </w:p>
    <w:p>
      <w:pPr>
        <w:pStyle w:val="51"/>
        <w:numPr>
          <w:ilvl w:val="0"/>
          <w:numId w:val="0"/>
        </w:numPr>
        <w:spacing w:before="120" w:after="120"/>
        <w:rPr>
          <w:lang w:val="en-US" w:eastAsia="zh-CN"/>
        </w:rPr>
      </w:pPr>
      <w:r>
        <w:rPr>
          <w:lang w:val="en-US" w:eastAsia="zh-CN"/>
        </w:rPr>
        <w:t xml:space="preserve">Observation 10: </w:t>
      </w:r>
      <w:r>
        <w:rPr>
          <w:rFonts w:hint="eastAsia"/>
          <w:lang w:val="en-US" w:eastAsia="zh-CN"/>
        </w:rPr>
        <w:t xml:space="preserve">Inserting the normalized sum of two adjacent </w:t>
      </w:r>
      <w:r>
        <w:rPr>
          <w:lang w:val="en-US" w:eastAsia="zh-CN"/>
        </w:rPr>
        <w:t>π</w:t>
      </w:r>
      <w:r>
        <w:rPr>
          <w:rFonts w:hint="eastAsia"/>
          <w:lang w:val="en-US" w:eastAsia="zh-CN"/>
        </w:rPr>
        <w:t xml:space="preserve">/2-BPSK symbols between them can reduce the phase difference between consecutive symbols from </w:t>
      </w:r>
      <w:r>
        <w:rPr>
          <w:lang w:val="en-US" w:eastAsia="zh-CN"/>
        </w:rPr>
        <w:t>π</w:t>
      </w:r>
      <w:r>
        <w:rPr>
          <w:rFonts w:hint="eastAsia"/>
          <w:lang w:val="en-US" w:eastAsia="zh-CN"/>
        </w:rPr>
        <w:t xml:space="preserve">/2 to </w:t>
      </w:r>
      <w:r>
        <w:rPr>
          <w:lang w:val="en-US" w:eastAsia="zh-CN"/>
        </w:rPr>
        <w:t>π</w:t>
      </w:r>
      <w:r>
        <w:rPr>
          <w:rFonts w:hint="eastAsia"/>
          <w:lang w:val="en-US" w:eastAsia="zh-CN"/>
        </w:rPr>
        <w:t>/4.</w:t>
      </w:r>
    </w:p>
    <w:p>
      <w:pPr>
        <w:pStyle w:val="51"/>
        <w:numPr>
          <w:ilvl w:val="0"/>
          <w:numId w:val="0"/>
        </w:numPr>
        <w:spacing w:before="120" w:after="120"/>
        <w:jc w:val="both"/>
        <w:rPr>
          <w:lang w:val="en-US" w:eastAsia="zh-CN"/>
        </w:rPr>
      </w:pPr>
      <w:r>
        <w:rPr>
          <w:lang w:val="en-US" w:eastAsia="zh-CN"/>
        </w:rPr>
        <w:t xml:space="preserve">Observation 11: </w:t>
      </w:r>
      <w:r>
        <w:rPr>
          <w:rFonts w:hint="eastAsia"/>
          <w:lang w:val="en-US" w:eastAsia="zh-CN"/>
        </w:rPr>
        <w:t>Due to the low-pass PSD, I-</w:t>
      </w:r>
      <w:r>
        <w:rPr>
          <w:lang w:val="en-US" w:eastAsia="zh-CN"/>
        </w:rPr>
        <w:t>π</w:t>
      </w:r>
      <w:r>
        <w:rPr>
          <w:rFonts w:hint="eastAsia"/>
          <w:lang w:val="en-US" w:eastAsia="zh-CN"/>
        </w:rPr>
        <w:t>/2-BPSK is appropriate for frequency-domain truncation prior to transmission.</w:t>
      </w:r>
    </w:p>
    <w:p>
      <w:pPr>
        <w:pStyle w:val="51"/>
        <w:numPr>
          <w:ilvl w:val="0"/>
          <w:numId w:val="0"/>
        </w:numPr>
        <w:spacing w:before="120" w:after="120"/>
        <w:jc w:val="both"/>
        <w:rPr>
          <w:lang w:val="en-US" w:eastAsia="zh-CN"/>
        </w:rPr>
      </w:pPr>
      <w:r>
        <w:rPr>
          <w:lang w:val="en-US" w:eastAsia="zh-CN"/>
        </w:rPr>
        <w:t xml:space="preserve">Observation 12: </w:t>
      </w:r>
      <w:r>
        <w:rPr>
          <w:rFonts w:hint="eastAsia"/>
          <w:lang w:val="en-US" w:eastAsia="zh-CN"/>
        </w:rPr>
        <w:t>For I-</w:t>
      </w:r>
      <w:r>
        <w:rPr>
          <w:lang w:val="en-US" w:eastAsia="zh-CN"/>
        </w:rPr>
        <w:t>π</w:t>
      </w:r>
      <w:r>
        <w:rPr>
          <w:rFonts w:hint="eastAsia"/>
          <w:lang w:val="en-US" w:eastAsia="zh-CN"/>
        </w:rPr>
        <w:t xml:space="preserve">/2-BPSK, choosing a frequency-domain truncation factor F no larger than 1/2 can maintain or improve spectral efficiency relative to </w:t>
      </w:r>
      <w:r>
        <w:rPr>
          <w:lang w:val="en-US" w:eastAsia="zh-CN"/>
        </w:rPr>
        <w:t>π</w:t>
      </w:r>
      <w:r>
        <w:rPr>
          <w:rFonts w:hint="eastAsia"/>
          <w:lang w:val="en-US" w:eastAsia="zh-CN"/>
        </w:rPr>
        <w:t>/2-BPSK, while preserving good demodulation performance.</w:t>
      </w:r>
    </w:p>
    <w:p>
      <w:pPr>
        <w:pStyle w:val="54"/>
        <w:numPr>
          <w:ilvl w:val="0"/>
          <w:numId w:val="0"/>
        </w:numPr>
        <w:spacing w:before="120" w:after="120"/>
        <w:jc w:val="both"/>
        <w:rPr>
          <w:lang w:val="en-US" w:eastAsia="zh-CN"/>
        </w:rPr>
      </w:pPr>
      <w:r>
        <w:rPr>
          <w:lang w:val="en-US" w:eastAsia="zh-CN"/>
        </w:rPr>
        <w:t xml:space="preserve">Proposal 7: I-π/2-BPSK modulation scheme should be considered to further reduce the PAPR for </w:t>
      </w:r>
      <w:r>
        <w:rPr>
          <w:rFonts w:hint="eastAsia"/>
          <w:lang w:val="en-US" w:eastAsia="zh-CN"/>
        </w:rPr>
        <w:t>DFT-s-OFDM</w:t>
      </w:r>
      <w:r>
        <w:rPr>
          <w:lang w:val="en-US" w:eastAsia="zh-CN"/>
        </w:rPr>
        <w:t xml:space="preserve"> for 6GR.</w:t>
      </w:r>
    </w:p>
    <w:p>
      <w:pPr>
        <w:pStyle w:val="54"/>
        <w:numPr>
          <w:ilvl w:val="0"/>
          <w:numId w:val="0"/>
        </w:numPr>
        <w:spacing w:before="120" w:after="120"/>
        <w:jc w:val="both"/>
        <w:rPr>
          <w:lang w:val="en-US" w:eastAsia="zh-CN"/>
        </w:rPr>
      </w:pPr>
    </w:p>
    <w:p>
      <w:pPr>
        <w:spacing w:before="120" w:after="120"/>
        <w:rPr>
          <w:i/>
        </w:rPr>
      </w:pPr>
      <w:r>
        <w:rPr>
          <w:i/>
        </w:rPr>
        <w:t>Simulation</w:t>
      </w:r>
    </w:p>
    <w:p>
      <w:pPr>
        <w:pStyle w:val="51"/>
        <w:numPr>
          <w:ilvl w:val="0"/>
          <w:numId w:val="0"/>
        </w:numPr>
        <w:spacing w:before="120" w:after="120"/>
        <w:jc w:val="both"/>
        <w:rPr>
          <w:lang w:val="en-US" w:eastAsia="zh-CN"/>
        </w:rPr>
      </w:pPr>
      <w:r>
        <w:rPr>
          <w:lang w:val="en-US" w:eastAsia="zh-CN"/>
        </w:rPr>
        <w:t xml:space="preserve">Observation 13: </w:t>
      </w:r>
      <w:r>
        <w:rPr>
          <w:rFonts w:hint="eastAsia"/>
          <w:lang w:val="en-US" w:eastAsia="zh-CN"/>
        </w:rPr>
        <w:t>Without FDSS, I-</w:t>
      </w:r>
      <w:r>
        <w:rPr>
          <w:lang w:val="en-US" w:eastAsia="zh-CN"/>
        </w:rPr>
        <w:t>π</w:t>
      </w:r>
      <w:r>
        <w:rPr>
          <w:rFonts w:hint="eastAsia"/>
          <w:lang w:val="en-US" w:eastAsia="zh-CN"/>
        </w:rPr>
        <w:t xml:space="preserve">/2-BPSK provides approximately 1.4 dB lower PAPR than </w:t>
      </w:r>
      <w:r>
        <w:rPr>
          <w:lang w:val="en-US" w:eastAsia="zh-CN"/>
        </w:rPr>
        <w:t>π</w:t>
      </w:r>
      <w:r>
        <w:rPr>
          <w:rFonts w:hint="eastAsia"/>
          <w:lang w:val="en-US" w:eastAsia="zh-CN"/>
        </w:rPr>
        <w:t>/2-BPSK at CCDF 1% and 1.8 dB lower at CCDF 0.1%.</w:t>
      </w:r>
    </w:p>
    <w:p>
      <w:pPr>
        <w:pStyle w:val="51"/>
        <w:numPr>
          <w:ilvl w:val="0"/>
          <w:numId w:val="0"/>
        </w:numPr>
        <w:spacing w:before="120" w:after="120"/>
        <w:jc w:val="both"/>
        <w:rPr>
          <w:lang w:val="en-US" w:eastAsia="zh-CN"/>
        </w:rPr>
      </w:pPr>
      <w:r>
        <w:rPr>
          <w:lang w:val="en-US" w:eastAsia="zh-CN"/>
        </w:rPr>
        <w:t xml:space="preserve">Observation 14: </w:t>
      </w:r>
      <w:r>
        <w:rPr>
          <w:rFonts w:hint="eastAsia"/>
          <w:lang w:val="en-US" w:eastAsia="zh-CN"/>
        </w:rPr>
        <w:t>With FDSS, I-</w:t>
      </w:r>
      <w:r>
        <w:rPr>
          <w:lang w:val="en-US" w:eastAsia="zh-CN"/>
        </w:rPr>
        <w:t>π</w:t>
      </w:r>
      <w:r>
        <w:rPr>
          <w:rFonts w:hint="eastAsia"/>
          <w:lang w:val="en-US" w:eastAsia="zh-CN"/>
        </w:rPr>
        <w:t xml:space="preserve">/2-BPSK provides approximately 0.9 dB lower PAPR than </w:t>
      </w:r>
      <w:r>
        <w:rPr>
          <w:lang w:val="en-US" w:eastAsia="zh-CN"/>
        </w:rPr>
        <w:t>π</w:t>
      </w:r>
      <w:r>
        <w:rPr>
          <w:rFonts w:hint="eastAsia"/>
          <w:lang w:val="en-US" w:eastAsia="zh-CN"/>
        </w:rPr>
        <w:t>/2-BPSK at CCDF 1% and 1.1 dB lower at CCDF 0.1%.</w:t>
      </w:r>
    </w:p>
    <w:p>
      <w:pPr>
        <w:pStyle w:val="51"/>
        <w:numPr>
          <w:ilvl w:val="0"/>
          <w:numId w:val="0"/>
        </w:numPr>
        <w:spacing w:before="120" w:after="120"/>
        <w:jc w:val="both"/>
        <w:rPr>
          <w:lang w:val="en-US" w:eastAsia="zh-CN"/>
        </w:rPr>
      </w:pPr>
      <w:r>
        <w:rPr>
          <w:lang w:val="en-US" w:eastAsia="zh-CN"/>
        </w:rPr>
        <w:t xml:space="preserve">Observation 15: </w:t>
      </w:r>
      <w:r>
        <w:rPr>
          <w:rFonts w:hint="eastAsia"/>
          <w:lang w:val="en-US" w:eastAsia="zh-CN"/>
        </w:rPr>
        <w:t>In the simulated cases, I-</w:t>
      </w:r>
      <w:r>
        <w:rPr>
          <w:lang w:val="en-US" w:eastAsia="zh-CN"/>
        </w:rPr>
        <w:t>π</w:t>
      </w:r>
      <w:r>
        <w:rPr>
          <w:rFonts w:hint="eastAsia"/>
          <w:lang w:val="en-US" w:eastAsia="zh-CN"/>
        </w:rPr>
        <w:t>/2-BPSK achieves the same BLER performance as π/2-BPSK.</w:t>
      </w:r>
    </w:p>
    <w:p>
      <w:pPr>
        <w:pStyle w:val="51"/>
        <w:numPr>
          <w:ilvl w:val="0"/>
          <w:numId w:val="0"/>
        </w:numPr>
        <w:spacing w:before="120" w:after="120"/>
        <w:jc w:val="both"/>
        <w:rPr>
          <w:lang w:val="en-US" w:eastAsia="zh-CN"/>
        </w:rPr>
      </w:pPr>
      <w:r>
        <w:rPr>
          <w:lang w:val="en-US" w:eastAsia="zh-CN"/>
        </w:rPr>
        <w:t xml:space="preserve">Observation 16: </w:t>
      </w:r>
      <w:r>
        <w:rPr>
          <w:rFonts w:hint="eastAsia"/>
          <w:lang w:val="en-US" w:eastAsia="zh-CN"/>
        </w:rPr>
        <w:t xml:space="preserve">When FDSS is applied, the performance of </w:t>
      </w:r>
      <w:r>
        <w:rPr>
          <w:lang w:val="en-US" w:eastAsia="zh-CN"/>
        </w:rPr>
        <w:t>π</w:t>
      </w:r>
      <w:r>
        <w:rPr>
          <w:rFonts w:hint="eastAsia"/>
          <w:lang w:val="en-US" w:eastAsia="zh-CN"/>
        </w:rPr>
        <w:t>/2-BPSK degrades, whereas I-</w:t>
      </w:r>
      <w:r>
        <w:rPr>
          <w:lang w:val="en-US" w:eastAsia="zh-CN"/>
        </w:rPr>
        <w:t>π</w:t>
      </w:r>
      <w:r>
        <w:rPr>
          <w:rFonts w:hint="eastAsia"/>
          <w:lang w:val="en-US" w:eastAsia="zh-CN"/>
        </w:rPr>
        <w:t>/2-BPSK shows no performance loss.</w:t>
      </w:r>
    </w:p>
    <w:p>
      <w:pPr>
        <w:pStyle w:val="51"/>
        <w:numPr>
          <w:ilvl w:val="0"/>
          <w:numId w:val="0"/>
        </w:numPr>
        <w:spacing w:before="120" w:after="120"/>
        <w:jc w:val="both"/>
        <w:rPr>
          <w:lang w:val="en-US" w:eastAsia="zh-CN"/>
        </w:rPr>
      </w:pPr>
      <w:r>
        <w:rPr>
          <w:lang w:val="en-US" w:eastAsia="zh-CN"/>
        </w:rPr>
        <w:t xml:space="preserve">Observation 17: </w:t>
      </w:r>
      <w:r>
        <w:rPr>
          <w:rFonts w:hint="eastAsia"/>
          <w:lang w:val="en-US" w:eastAsia="zh-CN"/>
        </w:rPr>
        <w:t xml:space="preserve">In simulated cases, </w:t>
      </w:r>
      <w:r>
        <w:rPr>
          <w:lang w:val="en-US" w:eastAsia="zh-CN"/>
        </w:rPr>
        <w:t>π</w:t>
      </w:r>
      <w:r>
        <w:rPr>
          <w:rFonts w:hint="eastAsia"/>
          <w:lang w:val="en-US" w:eastAsia="zh-CN"/>
        </w:rPr>
        <w:t>/2-BPSK with FDSS shows the worst BLER performance.</w:t>
      </w:r>
    </w:p>
    <w:p>
      <w:pPr>
        <w:pStyle w:val="2"/>
        <w:spacing w:before="120" w:after="120"/>
        <w:ind w:left="0"/>
        <w:rPr>
          <w:rFonts w:eastAsia="宋体"/>
        </w:rPr>
      </w:pPr>
      <w:r>
        <w:rPr>
          <w:rFonts w:hint="eastAsia" w:eastAsia="宋体"/>
        </w:rPr>
        <w:t>Reference</w:t>
      </w:r>
      <w:r>
        <w:rPr>
          <w:rFonts w:eastAsia="宋体"/>
        </w:rPr>
        <w:t>s</w:t>
      </w:r>
    </w:p>
    <w:p>
      <w:pPr>
        <w:pStyle w:val="30"/>
        <w:spacing w:before="120" w:after="120"/>
        <w:ind w:left="363" w:hanging="363"/>
      </w:pPr>
      <w:r>
        <w:rPr>
          <w:rFonts w:hint="eastAsia"/>
        </w:rPr>
        <w:t xml:space="preserve">3GPP RP-251881, </w:t>
      </w:r>
      <w:r>
        <w:t>“New SID: Study on 6G Radio</w:t>
      </w:r>
      <w:r>
        <w:rPr>
          <w:rFonts w:hint="eastAsia"/>
        </w:rPr>
        <w:t>,</w:t>
      </w:r>
      <w:r>
        <w:t>”</w:t>
      </w:r>
      <w:bookmarkStart w:id="219" w:name="_Ref17440"/>
      <w:r>
        <w:rPr>
          <w:rFonts w:hint="eastAsia"/>
        </w:rPr>
        <w:t xml:space="preserve"> NTT DOCOMO, 3GPP TSG RAN Meeting #108, Prague, Czech Republic, June 9 - 13, 2025.</w:t>
      </w:r>
      <w:bookmarkEnd w:id="219"/>
      <w:bookmarkStart w:id="220" w:name="_Ref18331"/>
    </w:p>
    <w:p>
      <w:pPr>
        <w:pStyle w:val="30"/>
        <w:spacing w:before="120" w:after="120"/>
        <w:ind w:left="363" w:hanging="363"/>
      </w:pPr>
      <w:bookmarkStart w:id="221" w:name="_Ref23705"/>
      <w:r>
        <w:rPr>
          <w:rFonts w:hint="eastAsia"/>
        </w:rPr>
        <w:t xml:space="preserve">3GPP, </w:t>
      </w:r>
      <w:r>
        <w:t>“Technical Specification Group Radio Access Network;</w:t>
      </w:r>
      <w:r>
        <w:rPr>
          <w:rFonts w:hint="eastAsia"/>
        </w:rPr>
        <w:t xml:space="preserve"> </w:t>
      </w:r>
      <w:r>
        <w:t>Spreading and modulation (FDD)</w:t>
      </w:r>
      <w:r>
        <w:rPr>
          <w:rFonts w:hint="eastAsia"/>
        </w:rPr>
        <w:t xml:space="preserve"> </w:t>
      </w:r>
      <w:r>
        <w:t>(Release 6)</w:t>
      </w:r>
      <w:r>
        <w:rPr>
          <w:rFonts w:hint="eastAsia"/>
        </w:rPr>
        <w:t>,</w:t>
      </w:r>
      <w:r>
        <w:t>”</w:t>
      </w:r>
      <w:r>
        <w:rPr>
          <w:rFonts w:hint="eastAsia"/>
        </w:rPr>
        <w:t xml:space="preserve"> 3rd Generation Partnership Project (3GPP), Technical Specification (TS) 25.213, March 2006, version 6.5.0.</w:t>
      </w:r>
      <w:bookmarkEnd w:id="221"/>
    </w:p>
    <w:p>
      <w:pPr>
        <w:pStyle w:val="30"/>
        <w:spacing w:before="120" w:after="120"/>
        <w:ind w:left="363" w:hanging="363"/>
      </w:pPr>
      <w:bookmarkStart w:id="222" w:name="_Ref23663"/>
      <w:r>
        <w:rPr>
          <w:rFonts w:hint="eastAsia"/>
        </w:rPr>
        <w:t xml:space="preserve">3GPP, </w:t>
      </w:r>
      <w:r>
        <w:t>“</w:t>
      </w:r>
      <w:r>
        <w:rPr>
          <w:rFonts w:hint="eastAsia"/>
        </w:rPr>
        <w:t>Technical Specification Group Radio Access Network; NR; Physical channels and modulation (Release 19),</w:t>
      </w:r>
      <w:r>
        <w:t>”</w:t>
      </w:r>
      <w:r>
        <w:rPr>
          <w:rFonts w:hint="eastAsia"/>
        </w:rPr>
        <w:t xml:space="preserve"> 3rd Generation Partnership Project (3GPP), Technical Specification (TS) 38.211, June 2025, version 19.0.0.</w:t>
      </w:r>
      <w:bookmarkEnd w:id="222"/>
    </w:p>
    <w:p>
      <w:pPr>
        <w:pStyle w:val="30"/>
        <w:spacing w:before="120" w:after="120"/>
        <w:ind w:left="363" w:hanging="363"/>
      </w:pPr>
      <w:bookmarkStart w:id="223" w:name="_Ref23509"/>
      <w:r>
        <w:t>Recommendation ITU-R M.2160-0, “Framework and overall objectives of the future development of IMT for 2030 and beyond,” Nov. 2023.</w:t>
      </w:r>
      <w:bookmarkEnd w:id="223"/>
      <w:bookmarkStart w:id="224" w:name="_Ref18228"/>
    </w:p>
    <w:p>
      <w:pPr>
        <w:pStyle w:val="30"/>
        <w:spacing w:before="120" w:after="120"/>
        <w:ind w:left="363" w:hanging="363"/>
      </w:pPr>
      <w:bookmarkStart w:id="225" w:name="_Ref24515"/>
      <w:r>
        <w:rPr>
          <w:rFonts w:hint="eastAsia"/>
        </w:rPr>
        <w:t xml:space="preserve">F.-W. Sun and H. C. A. van Tilborg, </w:t>
      </w:r>
      <w:r>
        <w:t>“</w:t>
      </w:r>
      <w:r>
        <w:rPr>
          <w:rFonts w:hint="eastAsia"/>
        </w:rPr>
        <w:t>Approaching capacity by equiprobable signaling on the Gaussian channel,</w:t>
      </w:r>
      <w:r>
        <w:t>”</w:t>
      </w:r>
      <w:r>
        <w:rPr>
          <w:rFonts w:hint="eastAsia"/>
        </w:rPr>
        <w:t xml:space="preserve"> IEEE Trans. Inf. Theory, vol. 39, no. 5, pp. 1714–1716, September 1993.</w:t>
      </w:r>
      <w:bookmarkEnd w:id="224"/>
      <w:bookmarkEnd w:id="225"/>
    </w:p>
    <w:p>
      <w:pPr>
        <w:pStyle w:val="30"/>
        <w:spacing w:before="120" w:after="120"/>
        <w:ind w:left="363" w:hanging="363"/>
      </w:pPr>
      <w:bookmarkStart w:id="226" w:name="_Ref24521"/>
      <w:r>
        <w:rPr>
          <w:rFonts w:hint="eastAsia"/>
        </w:rPr>
        <w:t xml:space="preserve">A. R. Calderbank and L. H. Ozarow, </w:t>
      </w:r>
      <w:r>
        <w:t>“</w:t>
      </w:r>
      <w:r>
        <w:rPr>
          <w:rFonts w:hint="eastAsia"/>
        </w:rPr>
        <w:t>Nonequiprobable signaling on the Gaussian channel,</w:t>
      </w:r>
      <w:r>
        <w:t>”</w:t>
      </w:r>
      <w:r>
        <w:rPr>
          <w:rFonts w:hint="eastAsia"/>
        </w:rPr>
        <w:t xml:space="preserve"> IEEE Trans. Inf. Theory, vol. 36, no. 4, pp. 726–739, July 1990.</w:t>
      </w:r>
      <w:bookmarkEnd w:id="226"/>
    </w:p>
    <w:p>
      <w:pPr>
        <w:pStyle w:val="30"/>
        <w:spacing w:before="120" w:after="120"/>
        <w:ind w:left="363" w:hanging="363"/>
      </w:pPr>
      <w:bookmarkStart w:id="227" w:name="_Ref25470"/>
      <w:r>
        <w:rPr>
          <w:rFonts w:hint="eastAsia"/>
        </w:rPr>
        <w:t xml:space="preserve">ATSC, </w:t>
      </w:r>
      <w:r>
        <w:t>“</w:t>
      </w:r>
      <w:r>
        <w:rPr>
          <w:rFonts w:hint="eastAsia"/>
        </w:rPr>
        <w:t>ATSC Proposed Standard: Physical Layer Protocol (A/322),</w:t>
      </w:r>
      <w:r>
        <w:t>”</w:t>
      </w:r>
      <w:r>
        <w:rPr>
          <w:rFonts w:hint="eastAsia"/>
        </w:rPr>
        <w:t xml:space="preserve"> Advanced Television Systems Committee, no. S32-230r56, Febuary 2017.</w:t>
      </w:r>
      <w:bookmarkEnd w:id="227"/>
    </w:p>
    <w:p>
      <w:pPr>
        <w:pStyle w:val="30"/>
        <w:spacing w:before="120" w:after="120"/>
        <w:ind w:left="363" w:hanging="363"/>
      </w:pPr>
      <w:bookmarkStart w:id="228" w:name="_Ref25962"/>
      <w:r>
        <w:rPr>
          <w:rFonts w:hint="eastAsia"/>
        </w:rPr>
        <w:t>ETSI, "Digital Video Broadcasting (DVB); Second generation framing structure, channel coding and modulation systems for Broadcasting, Interactive Services, News Gathering and other broadband satellite applications; Part 1: DVB-S2,</w:t>
      </w:r>
      <w:r>
        <w:t>”</w:t>
      </w:r>
      <w:r>
        <w:rPr>
          <w:rFonts w:hint="eastAsia"/>
        </w:rPr>
        <w:t xml:space="preserve"> ETSI EN 302 30701, November 2014, version 1.4.1.</w:t>
      </w:r>
      <w:bookmarkEnd w:id="228"/>
    </w:p>
    <w:p>
      <w:pPr>
        <w:pStyle w:val="30"/>
        <w:spacing w:before="120" w:after="120"/>
        <w:ind w:left="363" w:hanging="363"/>
      </w:pPr>
      <w:bookmarkStart w:id="229" w:name="_Ref9859"/>
      <w:r>
        <w:rPr>
          <w:rFonts w:hint="eastAsia"/>
        </w:rPr>
        <w:t>3</w:t>
      </w:r>
      <w:r>
        <w:rPr>
          <w:rFonts w:hint="eastAsia"/>
          <w:szCs w:val="21"/>
        </w:rPr>
        <w:t>GP</w:t>
      </w:r>
      <w:r>
        <w:rPr>
          <w:szCs w:val="21"/>
        </w:rPr>
        <w:t>P, “Technical Specification Group Radio Access Network; NR; Multiplexing and channel coding (Release 19),”</w:t>
      </w:r>
      <w:r>
        <w:rPr>
          <w:rFonts w:hint="eastAsia"/>
          <w:szCs w:val="21"/>
        </w:rPr>
        <w:t xml:space="preserve"> 3rd Generation Partnership Project (3GPP), Technical Specification (TS) 38.212, June 2025, version 19.0.0.</w:t>
      </w:r>
      <w:bookmarkEnd w:id="229"/>
      <w:bookmarkStart w:id="230" w:name="_Ref29804"/>
    </w:p>
    <w:p>
      <w:pPr>
        <w:pStyle w:val="30"/>
        <w:spacing w:before="120" w:after="120"/>
        <w:ind w:left="363" w:hanging="363"/>
      </w:pPr>
      <w:bookmarkStart w:id="231" w:name="_Ref999"/>
      <w:r>
        <w:rPr>
          <w:rFonts w:hint="eastAsia"/>
        </w:rPr>
        <w:t xml:space="preserve">3GPP, </w:t>
      </w:r>
      <w:r>
        <w:t>“</w:t>
      </w:r>
      <w:r>
        <w:rPr>
          <w:rFonts w:hint="eastAsia"/>
        </w:rPr>
        <w:t>Technical Specification Group Radio Access Network; NR; Physical layer procedures for data (Release 19),</w:t>
      </w:r>
      <w:r>
        <w:t>”</w:t>
      </w:r>
      <w:r>
        <w:rPr>
          <w:rFonts w:hint="eastAsia"/>
        </w:rPr>
        <w:t xml:space="preserve"> </w:t>
      </w:r>
      <w:r>
        <w:rPr>
          <w:rFonts w:hint="eastAsia"/>
          <w:szCs w:val="21"/>
        </w:rPr>
        <w:t>3rd Generation Partnership Project (3GPP), Technical Specification (TS) 38.214, June 2025, version 19.0.0.</w:t>
      </w:r>
      <w:bookmarkEnd w:id="230"/>
      <w:bookmarkEnd w:id="231"/>
    </w:p>
    <w:p>
      <w:pPr>
        <w:pStyle w:val="30"/>
        <w:spacing w:before="120" w:after="120"/>
        <w:ind w:left="363" w:hanging="363"/>
      </w:pPr>
      <w:bookmarkStart w:id="232" w:name="_Ref19656"/>
      <w:r>
        <w:rPr>
          <w:rFonts w:hint="eastAsia"/>
        </w:rPr>
        <w:t xml:space="preserve">G. Bocherer, F. Steiner, and P. Schulte, </w:t>
      </w:r>
      <w:r>
        <w:t>“</w:t>
      </w:r>
      <w:r>
        <w:rPr>
          <w:rFonts w:hint="eastAsia"/>
        </w:rPr>
        <w:t>Bandwidth efficient and rate-matched low-density parity-check coded modulation,</w:t>
      </w:r>
      <w:r>
        <w:t>”</w:t>
      </w:r>
      <w:r>
        <w:rPr>
          <w:rFonts w:hint="eastAsia"/>
        </w:rPr>
        <w:t xml:space="preserve"> IEEE Trans. Commun., vol. 63, no. 12, pp. 4651–4665, December 2015.</w:t>
      </w:r>
      <w:bookmarkEnd w:id="232"/>
    </w:p>
    <w:p>
      <w:pPr>
        <w:pStyle w:val="30"/>
        <w:spacing w:before="120" w:after="120"/>
        <w:ind w:left="363" w:hanging="363"/>
      </w:pPr>
      <w:bookmarkStart w:id="233" w:name="_Ref8193"/>
      <w:bookmarkStart w:id="234" w:name="_Ref27446"/>
      <w:r>
        <w:rPr>
          <w:rFonts w:hint="eastAsia"/>
        </w:rPr>
        <w:t xml:space="preserve">R. Laroia, N. Farvardin, and S. A. Tretter, </w:t>
      </w:r>
      <w:r>
        <w:t>“</w:t>
      </w:r>
      <w:r>
        <w:rPr>
          <w:rFonts w:hint="eastAsia"/>
        </w:rPr>
        <w:t>On Optimal Shaping of Multidimensional Constellations,</w:t>
      </w:r>
      <w:r>
        <w:t>”</w:t>
      </w:r>
      <w:r>
        <w:rPr>
          <w:rFonts w:hint="eastAsia"/>
        </w:rPr>
        <w:t xml:space="preserve"> IEEE Trans. Inf. Theory, vol. 40, no. 4, pp. 1044–1056, July 1994.</w:t>
      </w:r>
      <w:bookmarkEnd w:id="233"/>
    </w:p>
    <w:p>
      <w:pPr>
        <w:pStyle w:val="30"/>
        <w:spacing w:before="120" w:after="120"/>
        <w:ind w:left="363" w:hanging="363"/>
      </w:pPr>
      <w:bookmarkStart w:id="235" w:name="_Ref20528"/>
      <w:r>
        <w:rPr>
          <w:rFonts w:hint="eastAsia"/>
        </w:rPr>
        <w:t xml:space="preserve">P. Schulte and G. Bocherer, </w:t>
      </w:r>
      <w:r>
        <w:t>“</w:t>
      </w:r>
      <w:r>
        <w:rPr>
          <w:rFonts w:hint="eastAsia"/>
        </w:rPr>
        <w:t>Constant composition distribution matching,</w:t>
      </w:r>
      <w:r>
        <w:t>”</w:t>
      </w:r>
      <w:r>
        <w:rPr>
          <w:rFonts w:hint="eastAsia"/>
        </w:rPr>
        <w:t xml:space="preserve"> IEEE Trans. Inf. Theory, vol. 62, no. 1, January 2016.</w:t>
      </w:r>
      <w:bookmarkEnd w:id="234"/>
      <w:bookmarkEnd w:id="235"/>
    </w:p>
    <w:p>
      <w:pPr>
        <w:pStyle w:val="30"/>
        <w:spacing w:before="120" w:after="120"/>
        <w:ind w:left="363" w:hanging="363"/>
      </w:pPr>
      <w:bookmarkStart w:id="236" w:name="_Ref30671"/>
      <w:r>
        <w:rPr>
          <w:rFonts w:hint="eastAsia"/>
        </w:rPr>
        <w:t xml:space="preserve">Y. C. Gultekin, W. J. van Houtum, A. G. C. Koppelaar, and F. M. J. Willems, </w:t>
      </w:r>
      <w:r>
        <w:t>“</w:t>
      </w:r>
      <w:r>
        <w:rPr>
          <w:rFonts w:hint="eastAsia"/>
        </w:rPr>
        <w:t>Enumerative sphere shaping for wireless communications with short packets,</w:t>
      </w:r>
      <w:r>
        <w:t>”</w:t>
      </w:r>
      <w:r>
        <w:rPr>
          <w:rFonts w:hint="eastAsia"/>
        </w:rPr>
        <w:t xml:space="preserve"> IEEE Trans. Wireless Commun., vol. 19, no. 2, pp. 1098–1112, 2020.</w:t>
      </w:r>
      <w:bookmarkEnd w:id="236"/>
    </w:p>
    <w:p>
      <w:pPr>
        <w:pStyle w:val="30"/>
        <w:spacing w:before="120" w:after="120"/>
        <w:ind w:left="363" w:hanging="363"/>
      </w:pPr>
      <w:bookmarkStart w:id="237" w:name="_Ref32179"/>
      <w:r>
        <w:rPr>
          <w:rFonts w:hint="eastAsia"/>
        </w:rPr>
        <w:t xml:space="preserve">3GPP RP-251394, </w:t>
      </w:r>
      <w:r>
        <w:t>“</w:t>
      </w:r>
      <w:r>
        <w:rPr>
          <w:rFonts w:hint="eastAsia"/>
        </w:rPr>
        <w:t>Summary of CC#1 and CC#2 conclusions on IMT-2030 TPRs,</w:t>
      </w:r>
      <w:r>
        <w:t>”</w:t>
      </w:r>
      <w:r>
        <w:rPr>
          <w:rFonts w:hint="eastAsia"/>
        </w:rPr>
        <w:t xml:space="preserve"> CMCC, 3GPP TSG RAN Meeting #108, Prague, Czech Republic, June 9-13, 2025.</w:t>
      </w:r>
      <w:bookmarkEnd w:id="237"/>
    </w:p>
    <w:p>
      <w:pPr>
        <w:pStyle w:val="30"/>
        <w:spacing w:before="120" w:after="120"/>
        <w:ind w:left="363" w:hanging="363"/>
      </w:pPr>
      <w:bookmarkStart w:id="238" w:name="_Ref1306"/>
      <w:r>
        <w:rPr>
          <w:rFonts w:hint="eastAsia"/>
        </w:rPr>
        <w:t xml:space="preserve">Dengsheng Lin, Yue Xiao, Shaoqian Li, </w:t>
      </w:r>
      <w:r>
        <w:t>“Low</w:t>
      </w:r>
      <w:r>
        <w:rPr>
          <w:rFonts w:hint="eastAsia"/>
        </w:rPr>
        <w:t xml:space="preserve"> </w:t>
      </w:r>
      <w:r>
        <w:t>Complexity Soft Decision Technique for Gray Mapping Modulation</w:t>
      </w:r>
      <w:r>
        <w:rPr>
          <w:rFonts w:hint="eastAsia"/>
        </w:rPr>
        <w:t>,</w:t>
      </w:r>
      <w:r>
        <w:t>”</w:t>
      </w:r>
      <w:r>
        <w:rPr>
          <w:rFonts w:hint="eastAsia"/>
        </w:rPr>
        <w:t xml:space="preserve"> Wireless Pers. Commun., vol. 52, pp. 383–392, 2010.</w:t>
      </w:r>
      <w:bookmarkEnd w:id="238"/>
    </w:p>
    <w:bookmarkEnd w:id="220"/>
    <w:p>
      <w:pPr>
        <w:pStyle w:val="30"/>
        <w:spacing w:before="120" w:after="120"/>
        <w:ind w:left="363" w:hanging="363"/>
      </w:pPr>
      <w:bookmarkStart w:id="239" w:name="_Ref5798"/>
      <w:bookmarkEnd w:id="239"/>
      <w:bookmarkStart w:id="240" w:name="_Ref10977"/>
      <w:r>
        <w:rPr>
          <w:rFonts w:hint="eastAsia"/>
        </w:rPr>
        <w:t>3GPP R1-</w:t>
      </w:r>
      <w:r>
        <w:t>2100001</w:t>
      </w:r>
      <w:r>
        <w:rPr>
          <w:rFonts w:hint="eastAsia"/>
        </w:rPr>
        <w:t xml:space="preserve">, </w:t>
      </w:r>
      <w:r>
        <w:t>“</w:t>
      </w:r>
      <w:r>
        <w:rPr>
          <w:rFonts w:hint="eastAsia"/>
        </w:rPr>
        <w:t>Final Report of 3GPP TSG RAN WG1 #103-e v1.0.0</w:t>
      </w:r>
      <w:r>
        <w:t>,” MCC Support, 3GPP TSG RAN WG1 Meeting #104-e, e-Meeting, January 25th - February 5th 2021.</w:t>
      </w:r>
      <w:bookmarkEnd w:id="240"/>
    </w:p>
    <w:p>
      <w:pPr>
        <w:pStyle w:val="2"/>
        <w:numPr>
          <w:ilvl w:val="0"/>
          <w:numId w:val="0"/>
        </w:numPr>
        <w:spacing w:before="120" w:after="120"/>
      </w:pPr>
      <w:r>
        <w:rPr>
          <w:rFonts w:hint="eastAsia" w:eastAsia="宋体"/>
        </w:rPr>
        <w:t>Appendix</w:t>
      </w:r>
    </w:p>
    <w:p>
      <w:pPr>
        <w:spacing w:before="120" w:after="120"/>
        <w:jc w:val="center"/>
      </w:pPr>
      <w:r>
        <w:rPr>
          <w:rFonts w:hint="eastAsia"/>
        </w:rPr>
        <w:t>Table A-1 Simulation setting for AWGN channels</w:t>
      </w:r>
    </w:p>
    <w:tbl>
      <w:tblPr>
        <w:tblStyle w:val="16"/>
        <w:tblW w:w="8624" w:type="dxa"/>
        <w:jc w:val="center"/>
        <w:tblLayout w:type="autofit"/>
        <w:tblCellMar>
          <w:top w:w="0" w:type="dxa"/>
          <w:left w:w="0" w:type="dxa"/>
          <w:bottom w:w="0" w:type="dxa"/>
          <w:right w:w="0" w:type="dxa"/>
        </w:tblCellMar>
      </w:tblPr>
      <w:tblGrid>
        <w:gridCol w:w="3721"/>
        <w:gridCol w:w="4903"/>
      </w:tblGrid>
      <w:tr>
        <w:tblPrEx>
          <w:tblCellMar>
            <w:top w:w="0" w:type="dxa"/>
            <w:left w:w="0" w:type="dxa"/>
            <w:bottom w:w="0" w:type="dxa"/>
            <w:right w:w="0" w:type="dxa"/>
          </w:tblCellMar>
        </w:tblPrEx>
        <w:trPr>
          <w:trHeight w:val="177" w:hRule="atLeast"/>
          <w:jc w:val="center"/>
        </w:trPr>
        <w:tc>
          <w:tcPr>
            <w:tcW w:w="3721" w:type="dxa"/>
            <w:tcBorders>
              <w:top w:val="double" w:color="000000" w:sz="6" w:space="0"/>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b/>
                <w:bCs/>
                <w:caps/>
                <w:sz w:val="16"/>
                <w:szCs w:val="16"/>
              </w:rPr>
            </w:pPr>
            <w:r>
              <w:rPr>
                <w:b/>
                <w:bCs/>
                <w:caps/>
                <w:sz w:val="16"/>
                <w:szCs w:val="16"/>
              </w:rPr>
              <w:t>Parameter</w:t>
            </w:r>
          </w:p>
        </w:tc>
        <w:tc>
          <w:tcPr>
            <w:tcW w:w="4903" w:type="dxa"/>
            <w:tcBorders>
              <w:top w:val="double" w:color="000000" w:sz="6" w:space="0"/>
              <w:left w:val="nil"/>
              <w:bottom w:val="single" w:color="000000" w:sz="8" w:space="0"/>
              <w:right w:val="double" w:color="000000" w:sz="6" w:space="0"/>
            </w:tcBorders>
            <w:tcMar>
              <w:top w:w="0" w:type="dxa"/>
              <w:left w:w="108" w:type="dxa"/>
              <w:bottom w:w="0" w:type="dxa"/>
              <w:right w:w="108" w:type="dxa"/>
            </w:tcMar>
          </w:tcPr>
          <w:p>
            <w:pPr>
              <w:snapToGrid w:val="0"/>
              <w:spacing w:before="120" w:after="120"/>
              <w:rPr>
                <w:b/>
                <w:bCs/>
                <w:caps/>
                <w:sz w:val="16"/>
                <w:szCs w:val="16"/>
              </w:rPr>
            </w:pPr>
            <w:r>
              <w:rPr>
                <w:b/>
                <w:bCs/>
                <w:caps/>
                <w:sz w:val="16"/>
                <w:szCs w:val="16"/>
              </w:rPr>
              <w:t>Value</w:t>
            </w:r>
          </w:p>
        </w:tc>
      </w:tr>
      <w:tr>
        <w:tblPrEx>
          <w:tblCellMar>
            <w:top w:w="0" w:type="dxa"/>
            <w:left w:w="0" w:type="dxa"/>
            <w:bottom w:w="0" w:type="dxa"/>
            <w:right w:w="0" w:type="dxa"/>
          </w:tblCellMar>
        </w:tblPrEx>
        <w:trPr>
          <w:trHeight w:val="119"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sz w:val="16"/>
                <w:szCs w:val="16"/>
              </w:rPr>
            </w:pPr>
            <w:r>
              <w:rPr>
                <w:rFonts w:hint="eastAsia"/>
                <w:sz w:val="16"/>
                <w:szCs w:val="16"/>
              </w:rPr>
              <w:t>Transport block size (TBS )</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numPr>
                <w:ilvl w:val="255"/>
                <w:numId w:val="0"/>
              </w:numPr>
              <w:snapToGrid w:val="0"/>
              <w:spacing w:before="120" w:after="120"/>
              <w:rPr>
                <w:sz w:val="16"/>
                <w:szCs w:val="16"/>
              </w:rPr>
            </w:pPr>
            <w:r>
              <w:rPr>
                <w:rFonts w:hint="eastAsia"/>
                <w:sz w:val="16"/>
                <w:szCs w:val="16"/>
              </w:rPr>
              <w:t>24, 48, 104, 240, or 8424</w:t>
            </w:r>
          </w:p>
        </w:tc>
      </w:tr>
      <w:tr>
        <w:tblPrEx>
          <w:tblCellMar>
            <w:top w:w="0" w:type="dxa"/>
            <w:left w:w="0" w:type="dxa"/>
            <w:bottom w:w="0" w:type="dxa"/>
            <w:right w:w="0" w:type="dxa"/>
          </w:tblCellMar>
        </w:tblPrEx>
        <w:trPr>
          <w:trHeight w:val="6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sz w:val="16"/>
                <w:szCs w:val="16"/>
              </w:rPr>
            </w:pPr>
            <w:r>
              <w:rPr>
                <w:rFonts w:hint="eastAsia"/>
                <w:sz w:val="16"/>
                <w:szCs w:val="16"/>
              </w:rPr>
              <w:t>Number of cyclic redundancy check (CRC) bits (Lcrc)</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120" w:after="120"/>
              <w:rPr>
                <w:sz w:val="16"/>
                <w:szCs w:val="16"/>
              </w:rPr>
            </w:pPr>
            <w:r>
              <w:rPr>
                <w:rFonts w:hint="eastAsia"/>
                <w:sz w:val="16"/>
                <w:szCs w:val="16"/>
              </w:rPr>
              <w:t>16 for TBS = 24, 48, 104, 240; 24 for TBS = 8424</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sz w:val="16"/>
                <w:szCs w:val="16"/>
              </w:rPr>
            </w:pPr>
            <w:r>
              <w:rPr>
                <w:rFonts w:hint="eastAsia"/>
                <w:sz w:val="16"/>
                <w:szCs w:val="16"/>
              </w:rPr>
              <w:t>CRC polynomial</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120" w:after="120"/>
              <w:rPr>
                <w:sz w:val="16"/>
                <w:szCs w:val="16"/>
              </w:rPr>
            </w:pPr>
            <w:r>
              <w:rPr>
                <w:rFonts w:hint="eastAsia"/>
                <w:i/>
                <w:iCs/>
                <w:sz w:val="16"/>
                <w:szCs w:val="16"/>
              </w:rPr>
              <w:t>g</w:t>
            </w:r>
            <w:r>
              <w:rPr>
                <w:rFonts w:hint="eastAsia"/>
                <w:sz w:val="16"/>
                <w:szCs w:val="16"/>
                <w:vertAlign w:val="subscript"/>
              </w:rPr>
              <w:t>CRC16</w:t>
            </w:r>
            <w:r>
              <w:rPr>
                <w:rFonts w:hint="eastAsia"/>
                <w:sz w:val="16"/>
                <w:szCs w:val="16"/>
              </w:rPr>
              <w:t>(</w:t>
            </w:r>
            <w:r>
              <w:rPr>
                <w:rFonts w:hint="eastAsia"/>
                <w:i/>
                <w:iCs/>
                <w:sz w:val="16"/>
                <w:szCs w:val="16"/>
              </w:rPr>
              <w:t>D</w:t>
            </w:r>
            <w:r>
              <w:rPr>
                <w:rFonts w:hint="eastAsia"/>
                <w:sz w:val="16"/>
                <w:szCs w:val="16"/>
              </w:rPr>
              <w:t xml:space="preserve">) in TS38.212 for TBS = 24, 48, 104, 240; </w:t>
            </w:r>
            <w:r>
              <w:rPr>
                <w:rFonts w:hint="eastAsia"/>
                <w:i/>
                <w:iCs/>
                <w:sz w:val="16"/>
                <w:szCs w:val="16"/>
              </w:rPr>
              <w:t>g</w:t>
            </w:r>
            <w:r>
              <w:rPr>
                <w:rFonts w:hint="eastAsia"/>
                <w:sz w:val="16"/>
                <w:szCs w:val="16"/>
                <w:vertAlign w:val="subscript"/>
              </w:rPr>
              <w:t>CRC24A</w:t>
            </w:r>
            <w:r>
              <w:rPr>
                <w:rFonts w:hint="eastAsia"/>
                <w:sz w:val="16"/>
                <w:szCs w:val="16"/>
              </w:rPr>
              <w:t>(</w:t>
            </w:r>
            <w:r>
              <w:rPr>
                <w:rFonts w:hint="eastAsia"/>
                <w:i/>
                <w:iCs/>
                <w:sz w:val="16"/>
                <w:szCs w:val="16"/>
              </w:rPr>
              <w:t>D</w:t>
            </w:r>
            <w:r>
              <w:rPr>
                <w:rFonts w:hint="eastAsia"/>
                <w:sz w:val="16"/>
                <w:szCs w:val="16"/>
              </w:rPr>
              <w:t>) in TS38.212 for TBS = 8424</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sz w:val="16"/>
                <w:szCs w:val="16"/>
              </w:rPr>
            </w:pPr>
            <w:r>
              <w:rPr>
                <w:rFonts w:hint="eastAsia"/>
                <w:sz w:val="16"/>
                <w:szCs w:val="16"/>
              </w:rPr>
              <w:t>Modulation and coding scheme (MCS)</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120" w:after="120"/>
              <w:rPr>
                <w:sz w:val="16"/>
                <w:szCs w:val="16"/>
              </w:rPr>
            </w:pPr>
            <w:r>
              <w:rPr>
                <w:rFonts w:hint="eastAsia"/>
                <w:sz w:val="16"/>
                <w:szCs w:val="16"/>
              </w:rPr>
              <w:t xml:space="preserve">MCS index 5 ~ 27 in </w:t>
            </w:r>
            <w:r>
              <w:rPr>
                <w:sz w:val="16"/>
                <w:szCs w:val="16"/>
              </w:rPr>
              <w:t>TS38.214 MCS table 2</w:t>
            </w:r>
            <w:r>
              <w:rPr>
                <w:rFonts w:hint="eastAsia"/>
                <w:sz w:val="16"/>
                <w:szCs w:val="16"/>
              </w:rPr>
              <w:t>, see Table A-2</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sz w:val="16"/>
                <w:szCs w:val="16"/>
              </w:rPr>
            </w:pPr>
            <w:r>
              <w:rPr>
                <w:rFonts w:hint="eastAsia"/>
                <w:sz w:val="16"/>
                <w:szCs w:val="16"/>
              </w:rPr>
              <w:t>Distribution matching</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120" w:after="120"/>
              <w:rPr>
                <w:sz w:val="16"/>
                <w:szCs w:val="16"/>
              </w:rPr>
            </w:pPr>
            <w:r>
              <w:rPr>
                <w:rFonts w:hint="eastAsia"/>
                <w:sz w:val="16"/>
                <w:szCs w:val="16"/>
              </w:rPr>
              <w:t>CCDM</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sz w:val="16"/>
                <w:szCs w:val="16"/>
              </w:rPr>
            </w:pPr>
            <w:r>
              <w:rPr>
                <w:rFonts w:hint="eastAsia"/>
                <w:sz w:val="16"/>
                <w:szCs w:val="16"/>
              </w:rPr>
              <w:t xml:space="preserve">Parameter </w:t>
            </w:r>
            <w:r>
              <w:rPr>
                <w:i/>
                <w:iCs/>
                <w:sz w:val="16"/>
                <w:szCs w:val="16"/>
              </w:rPr>
              <w:t>v</w:t>
            </w:r>
            <w:r>
              <w:rPr>
                <w:rFonts w:hint="eastAsia"/>
                <w:i/>
                <w:iCs/>
                <w:sz w:val="16"/>
                <w:szCs w:val="16"/>
              </w:rPr>
              <w:t xml:space="preserve"> </w:t>
            </w:r>
            <w:r>
              <w:rPr>
                <w:sz w:val="16"/>
                <w:szCs w:val="16"/>
              </w:rPr>
              <w:t xml:space="preserve">for </w:t>
            </w:r>
            <w:r>
              <w:rPr>
                <w:rFonts w:hint="eastAsia"/>
                <w:sz w:val="16"/>
                <w:szCs w:val="16"/>
              </w:rPr>
              <w:t>Maxwell-Boltzmann distribution</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120" w:after="120"/>
              <w:rPr>
                <w:sz w:val="16"/>
                <w:szCs w:val="16"/>
              </w:rPr>
            </w:pPr>
            <w:r>
              <w:rPr>
                <w:rFonts w:hint="eastAsia"/>
                <w:sz w:val="16"/>
                <w:szCs w:val="16"/>
              </w:rPr>
              <w:t>0.019273 for MCS 20</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sz w:val="16"/>
                <w:szCs w:val="16"/>
              </w:rPr>
            </w:pPr>
            <w:r>
              <w:rPr>
                <w:rFonts w:hint="eastAsia"/>
                <w:sz w:val="16"/>
                <w:szCs w:val="16"/>
              </w:rPr>
              <w:t>Channel coding</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120" w:after="120"/>
              <w:rPr>
                <w:sz w:val="16"/>
                <w:szCs w:val="16"/>
              </w:rPr>
            </w:pPr>
            <w:r>
              <w:rPr>
                <w:rFonts w:hint="eastAsia"/>
                <w:sz w:val="16"/>
                <w:szCs w:val="16"/>
              </w:rPr>
              <w:t>5G NR LDPC coding</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sz w:val="16"/>
                <w:szCs w:val="16"/>
              </w:rPr>
            </w:pPr>
            <w:r>
              <w:rPr>
                <w:rFonts w:hint="eastAsia"/>
                <w:sz w:val="16"/>
                <w:szCs w:val="16"/>
              </w:rPr>
              <w:t>Redundancy version</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120" w:after="120"/>
              <w:rPr>
                <w:sz w:val="16"/>
                <w:szCs w:val="16"/>
              </w:rPr>
            </w:pPr>
            <w:r>
              <w:rPr>
                <w:rFonts w:hint="eastAsia"/>
                <w:sz w:val="16"/>
                <w:szCs w:val="16"/>
              </w:rPr>
              <w:t>0</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sz w:val="16"/>
                <w:szCs w:val="16"/>
              </w:rPr>
            </w:pPr>
            <w:r>
              <w:rPr>
                <w:rFonts w:hint="eastAsia"/>
                <w:sz w:val="16"/>
                <w:szCs w:val="16"/>
              </w:rPr>
              <w:t>Bit selection &amp; Bit interleaving</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120" w:after="120"/>
              <w:rPr>
                <w:sz w:val="16"/>
                <w:szCs w:val="16"/>
              </w:rPr>
            </w:pPr>
            <w:r>
              <w:rPr>
                <w:rFonts w:hint="eastAsia"/>
                <w:sz w:val="16"/>
                <w:szCs w:val="16"/>
              </w:rPr>
              <w:t>For NUC schemes and QAM schems, same as in TS38.212; For PAS schemes, see description in Section 3.3.2.</w:t>
            </w:r>
          </w:p>
        </w:tc>
      </w:tr>
      <w:tr>
        <w:tblPrEx>
          <w:tblCellMar>
            <w:top w:w="0" w:type="dxa"/>
            <w:left w:w="0" w:type="dxa"/>
            <w:bottom w:w="0" w:type="dxa"/>
            <w:right w:w="0" w:type="dxa"/>
          </w:tblCellMar>
        </w:tblPrEx>
        <w:trPr>
          <w:trHeight w:val="90"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sz w:val="16"/>
                <w:szCs w:val="16"/>
              </w:rPr>
            </w:pPr>
            <w:r>
              <w:rPr>
                <w:rFonts w:hint="eastAsia"/>
                <w:sz w:val="16"/>
                <w:szCs w:val="16"/>
              </w:rPr>
              <w:t>Length after bit selection (</w:t>
            </w:r>
            <w:r>
              <w:rPr>
                <w:rFonts w:hint="eastAsia"/>
                <w:i/>
                <w:iCs/>
                <w:sz w:val="16"/>
                <w:szCs w:val="16"/>
              </w:rPr>
              <w:t>E</w:t>
            </w:r>
            <w:r>
              <w:rPr>
                <w:rFonts w:hint="eastAsia"/>
                <w:sz w:val="16"/>
                <w:szCs w:val="16"/>
              </w:rPr>
              <w:t>)</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120" w:after="120"/>
              <w:rPr>
                <w:sz w:val="16"/>
                <w:szCs w:val="16"/>
              </w:rPr>
            </w:pPr>
            <w:r>
              <w:rPr>
                <w:rFonts w:hint="eastAsia"/>
                <w:sz w:val="16"/>
                <w:szCs w:val="16"/>
              </w:rPr>
              <w:t>ceil((TBS+24)/</w:t>
            </w:r>
            <w:r>
              <w:rPr>
                <w:rFonts w:hint="eastAsia"/>
                <w:i/>
                <w:iCs/>
                <w:sz w:val="16"/>
                <w:szCs w:val="16"/>
              </w:rPr>
              <w:t>R/Q</w:t>
            </w:r>
            <w:r>
              <w:rPr>
                <w:rFonts w:hint="eastAsia"/>
                <w:sz w:val="16"/>
                <w:szCs w:val="16"/>
                <w:vertAlign w:val="subscript"/>
              </w:rPr>
              <w:t>m</w:t>
            </w:r>
            <w:r>
              <w:rPr>
                <w:rFonts w:hint="eastAsia"/>
                <w:sz w:val="16"/>
                <w:szCs w:val="16"/>
              </w:rPr>
              <w:t>)*</w:t>
            </w:r>
            <w:r>
              <w:rPr>
                <w:rFonts w:hint="eastAsia"/>
                <w:i/>
                <w:iCs/>
                <w:sz w:val="16"/>
                <w:szCs w:val="16"/>
              </w:rPr>
              <w:t>Q</w:t>
            </w:r>
            <w:r>
              <w:rPr>
                <w:rFonts w:hint="eastAsia"/>
                <w:sz w:val="16"/>
                <w:szCs w:val="16"/>
                <w:vertAlign w:val="subscript"/>
              </w:rPr>
              <w:t>m</w:t>
            </w:r>
            <w:r>
              <w:rPr>
                <w:rFonts w:hint="eastAsia"/>
                <w:sz w:val="16"/>
                <w:szCs w:val="16"/>
              </w:rPr>
              <w:t xml:space="preserve">, </w:t>
            </w:r>
            <w:r>
              <w:rPr>
                <w:rFonts w:hint="eastAsia"/>
                <w:i/>
                <w:iCs/>
                <w:sz w:val="16"/>
                <w:szCs w:val="16"/>
              </w:rPr>
              <w:t>R</w:t>
            </w:r>
            <w:r>
              <w:rPr>
                <w:rFonts w:hint="eastAsia"/>
                <w:sz w:val="16"/>
                <w:szCs w:val="16"/>
              </w:rPr>
              <w:t xml:space="preserve"> and </w:t>
            </w:r>
            <w:r>
              <w:rPr>
                <w:rFonts w:hint="eastAsia"/>
                <w:i/>
                <w:iCs/>
                <w:sz w:val="16"/>
                <w:szCs w:val="16"/>
              </w:rPr>
              <w:t>Q</w:t>
            </w:r>
            <w:r>
              <w:rPr>
                <w:rFonts w:hint="eastAsia"/>
                <w:sz w:val="16"/>
                <w:szCs w:val="16"/>
                <w:vertAlign w:val="subscript"/>
              </w:rPr>
              <w:t>m</w:t>
            </w:r>
            <w:r>
              <w:rPr>
                <w:rFonts w:hint="eastAsia"/>
                <w:sz w:val="16"/>
                <w:szCs w:val="16"/>
              </w:rPr>
              <w:t xml:space="preserve"> are target code rate and modulation order indicated by MCS index, respectively</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sz w:val="16"/>
                <w:szCs w:val="16"/>
              </w:rPr>
            </w:pPr>
            <w:r>
              <w:rPr>
                <w:rFonts w:hint="eastAsia"/>
                <w:sz w:val="16"/>
                <w:szCs w:val="16"/>
              </w:rPr>
              <w:t>Modulation constellation</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120" w:after="120"/>
              <w:rPr>
                <w:sz w:val="16"/>
                <w:szCs w:val="16"/>
              </w:rPr>
            </w:pPr>
            <w:r>
              <w:rPr>
                <w:rFonts w:hint="eastAsia"/>
                <w:sz w:val="16"/>
                <w:szCs w:val="16"/>
              </w:rPr>
              <w:t>QAM or NUC with modulation order indicated by the MCS index</w:t>
            </w:r>
          </w:p>
        </w:tc>
      </w:tr>
      <w:tr>
        <w:tblPrEx>
          <w:tblCellMar>
            <w:top w:w="0" w:type="dxa"/>
            <w:left w:w="0" w:type="dxa"/>
            <w:bottom w:w="0" w:type="dxa"/>
            <w:right w:w="0" w:type="dxa"/>
          </w:tblCellMar>
        </w:tblPrEx>
        <w:trPr>
          <w:trHeight w:val="87"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sz w:val="16"/>
                <w:szCs w:val="16"/>
              </w:rPr>
            </w:pPr>
            <w:r>
              <w:rPr>
                <w:rFonts w:hint="eastAsia"/>
                <w:sz w:val="16"/>
                <w:szCs w:val="16"/>
              </w:rPr>
              <w:t>Maximum number of transmissions</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120" w:after="120"/>
              <w:rPr>
                <w:sz w:val="16"/>
                <w:szCs w:val="16"/>
                <w:u w:val="single"/>
              </w:rPr>
            </w:pPr>
            <w:r>
              <w:rPr>
                <w:rFonts w:hint="eastAsia"/>
                <w:sz w:val="16"/>
                <w:szCs w:val="16"/>
              </w:rPr>
              <w:t>1 (including initial transmission)</w:t>
            </w:r>
          </w:p>
        </w:tc>
      </w:tr>
      <w:tr>
        <w:tblPrEx>
          <w:tblCellMar>
            <w:top w:w="0" w:type="dxa"/>
            <w:left w:w="0" w:type="dxa"/>
            <w:bottom w:w="0" w:type="dxa"/>
            <w:right w:w="0" w:type="dxa"/>
          </w:tblCellMar>
        </w:tblPrEx>
        <w:trPr>
          <w:trHeight w:val="12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sz w:val="16"/>
                <w:szCs w:val="16"/>
              </w:rPr>
            </w:pPr>
            <w:r>
              <w:rPr>
                <w:rFonts w:hint="eastAsia"/>
                <w:sz w:val="16"/>
                <w:szCs w:val="16"/>
              </w:rPr>
              <w:t>Demodulation</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120" w:after="120"/>
              <w:rPr>
                <w:sz w:val="16"/>
                <w:szCs w:val="16"/>
              </w:rPr>
            </w:pPr>
            <w:r>
              <w:rPr>
                <w:rFonts w:hint="eastAsia"/>
                <w:sz w:val="16"/>
                <w:szCs w:val="16"/>
              </w:rPr>
              <w:t xml:space="preserve">maximum </w:t>
            </w:r>
            <w:r>
              <w:rPr>
                <w:rFonts w:hint="eastAsia"/>
                <w:i/>
                <w:iCs/>
                <w:sz w:val="16"/>
                <w:szCs w:val="16"/>
              </w:rPr>
              <w:t>a posterior</w:t>
            </w:r>
            <w:r>
              <w:rPr>
                <w:rFonts w:hint="eastAsia"/>
                <w:sz w:val="16"/>
                <w:szCs w:val="16"/>
              </w:rPr>
              <w:t xml:space="preserve"> (MAP) algorithm</w:t>
            </w:r>
          </w:p>
        </w:tc>
      </w:tr>
      <w:tr>
        <w:tblPrEx>
          <w:tblCellMar>
            <w:top w:w="0" w:type="dxa"/>
            <w:left w:w="0" w:type="dxa"/>
            <w:bottom w:w="0" w:type="dxa"/>
            <w:right w:w="0" w:type="dxa"/>
          </w:tblCellMar>
        </w:tblPrEx>
        <w:trPr>
          <w:trHeight w:val="68"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pacing w:before="120" w:after="120"/>
              <w:rPr>
                <w:sz w:val="16"/>
                <w:szCs w:val="16"/>
              </w:rPr>
            </w:pPr>
            <w:r>
              <w:rPr>
                <w:sz w:val="16"/>
                <w:szCs w:val="16"/>
              </w:rPr>
              <w:t>Channel decoding</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120" w:after="120"/>
              <w:rPr>
                <w:sz w:val="16"/>
                <w:szCs w:val="16"/>
              </w:rPr>
            </w:pPr>
            <w:r>
              <w:rPr>
                <w:rFonts w:hint="eastAsia"/>
                <w:sz w:val="16"/>
                <w:szCs w:val="16"/>
              </w:rPr>
              <w:t>layered belief propagation (LBP)</w:t>
            </w:r>
            <w:r>
              <w:rPr>
                <w:sz w:val="16"/>
                <w:szCs w:val="16"/>
              </w:rPr>
              <w:t xml:space="preserve"> algorithm with 25 iterations</w:t>
            </w:r>
          </w:p>
        </w:tc>
      </w:tr>
      <w:tr>
        <w:tblPrEx>
          <w:tblCellMar>
            <w:top w:w="0" w:type="dxa"/>
            <w:left w:w="0" w:type="dxa"/>
            <w:bottom w:w="0" w:type="dxa"/>
            <w:right w:w="0" w:type="dxa"/>
          </w:tblCellMar>
        </w:tblPrEx>
        <w:trPr>
          <w:trHeight w:val="93" w:hRule="atLeast"/>
          <w:jc w:val="center"/>
        </w:trPr>
        <w:tc>
          <w:tcPr>
            <w:tcW w:w="3721" w:type="dxa"/>
            <w:tcBorders>
              <w:top w:val="single" w:color="000000" w:sz="4" w:space="0"/>
              <w:left w:val="double" w:color="000000" w:sz="6" w:space="0"/>
              <w:bottom w:val="double" w:color="000000" w:sz="6" w:space="0"/>
              <w:right w:val="single" w:color="000000" w:sz="4" w:space="0"/>
            </w:tcBorders>
            <w:tcMar>
              <w:top w:w="0" w:type="dxa"/>
              <w:left w:w="108" w:type="dxa"/>
              <w:bottom w:w="0" w:type="dxa"/>
              <w:right w:w="108" w:type="dxa"/>
            </w:tcMar>
          </w:tcPr>
          <w:p>
            <w:pPr>
              <w:spacing w:before="120" w:after="120"/>
              <w:rPr>
                <w:sz w:val="16"/>
                <w:szCs w:val="16"/>
              </w:rPr>
            </w:pPr>
            <w:r>
              <w:rPr>
                <w:sz w:val="16"/>
                <w:szCs w:val="16"/>
              </w:rPr>
              <w:t>Metric</w:t>
            </w:r>
          </w:p>
        </w:tc>
        <w:tc>
          <w:tcPr>
            <w:tcW w:w="4903" w:type="dxa"/>
            <w:tcBorders>
              <w:top w:val="single" w:color="000000" w:sz="4" w:space="0"/>
              <w:left w:val="single" w:color="000000" w:sz="4" w:space="0"/>
              <w:bottom w:val="double" w:color="000000" w:sz="6" w:space="0"/>
              <w:right w:val="double" w:color="000000" w:sz="6" w:space="0"/>
            </w:tcBorders>
            <w:tcMar>
              <w:top w:w="0" w:type="dxa"/>
              <w:left w:w="108" w:type="dxa"/>
              <w:bottom w:w="0" w:type="dxa"/>
              <w:right w:w="108" w:type="dxa"/>
            </w:tcMar>
          </w:tcPr>
          <w:p>
            <w:pPr>
              <w:spacing w:before="120" w:after="120"/>
              <w:rPr>
                <w:sz w:val="16"/>
                <w:szCs w:val="16"/>
              </w:rPr>
            </w:pPr>
            <w:r>
              <w:rPr>
                <w:rFonts w:hint="eastAsia"/>
                <w:sz w:val="16"/>
                <w:szCs w:val="16"/>
              </w:rPr>
              <w:t>minimum</w:t>
            </w:r>
            <w:r>
              <w:rPr>
                <w:sz w:val="16"/>
                <w:szCs w:val="16"/>
              </w:rPr>
              <w:t xml:space="preserve"> SNR at </w:t>
            </w:r>
            <w:r>
              <w:rPr>
                <w:rFonts w:hint="eastAsia"/>
                <w:sz w:val="16"/>
                <w:szCs w:val="16"/>
              </w:rPr>
              <w:t>a target BLER of 0.01</w:t>
            </w:r>
          </w:p>
        </w:tc>
      </w:tr>
    </w:tbl>
    <w:p>
      <w:pPr>
        <w:spacing w:before="120" w:after="120"/>
        <w:jc w:val="center"/>
      </w:pPr>
    </w:p>
    <w:p>
      <w:pPr>
        <w:spacing w:before="120" w:after="120"/>
        <w:jc w:val="center"/>
      </w:pPr>
    </w:p>
    <w:p>
      <w:pPr>
        <w:spacing w:before="120" w:after="120"/>
        <w:jc w:val="center"/>
      </w:pPr>
    </w:p>
    <w:p>
      <w:pPr>
        <w:spacing w:before="120" w:after="120"/>
        <w:jc w:val="center"/>
      </w:pPr>
    </w:p>
    <w:p>
      <w:pPr>
        <w:spacing w:before="120" w:after="120"/>
        <w:jc w:val="center"/>
      </w:pPr>
    </w:p>
    <w:p>
      <w:pPr>
        <w:spacing w:before="120" w:after="120"/>
        <w:jc w:val="center"/>
      </w:pPr>
    </w:p>
    <w:p>
      <w:pPr>
        <w:spacing w:before="120" w:after="120"/>
        <w:jc w:val="center"/>
      </w:pPr>
    </w:p>
    <w:p>
      <w:pPr>
        <w:spacing w:before="120" w:after="120"/>
        <w:jc w:val="center"/>
      </w:pPr>
    </w:p>
    <w:p>
      <w:pPr>
        <w:spacing w:before="120" w:after="120"/>
        <w:jc w:val="both"/>
      </w:pPr>
    </w:p>
    <w:p>
      <w:pPr>
        <w:spacing w:before="120" w:after="120"/>
        <w:jc w:val="center"/>
      </w:pPr>
    </w:p>
    <w:p>
      <w:pPr>
        <w:spacing w:before="120" w:after="120"/>
        <w:jc w:val="center"/>
      </w:pPr>
      <w:r>
        <w:t xml:space="preserve">Table </w:t>
      </w:r>
      <w:r>
        <w:rPr>
          <w:rFonts w:hint="eastAsia"/>
        </w:rPr>
        <w:t xml:space="preserve">A-2 </w:t>
      </w:r>
      <w:r>
        <w:t>MCS index table 2 for PDSCH</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3"/>
        <w:gridCol w:w="2002"/>
        <w:gridCol w:w="2495"/>
        <w:gridCol w:w="17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double" w:color="auto" w:sz="4" w:space="0"/>
              <w:right w:val="double" w:color="auto" w:sz="4" w:space="0"/>
            </w:tcBorders>
            <w:shd w:val="clear" w:color="auto" w:fill="E0E0E0"/>
            <w:vAlign w:val="center"/>
          </w:tcPr>
          <w:p>
            <w:pPr>
              <w:pStyle w:val="41"/>
              <w:spacing w:before="120" w:after="120"/>
              <w:rPr>
                <w:rFonts w:ascii="Times New Roman" w:hAnsi="Times New Roman"/>
                <w:bCs/>
                <w:color w:val="000000"/>
                <w:szCs w:val="18"/>
              </w:rPr>
            </w:pPr>
            <w:r>
              <w:rPr>
                <w:rFonts w:ascii="Times New Roman" w:hAnsi="Times New Roman"/>
                <w:bCs/>
                <w:color w:val="000000"/>
                <w:szCs w:val="18"/>
              </w:rPr>
              <w:t>MCS Index</w:t>
            </w:r>
            <w:r>
              <w:rPr>
                <w:rFonts w:hint="eastAsia" w:ascii="Times New Roman" w:hAnsi="Times New Roman"/>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002" w:type="dxa"/>
            <w:tcBorders>
              <w:top w:val="single" w:color="auto" w:sz="4" w:space="0"/>
              <w:left w:val="double" w:color="auto" w:sz="4" w:space="0"/>
              <w:bottom w:val="double" w:color="auto" w:sz="4" w:space="0"/>
              <w:right w:val="single" w:color="auto" w:sz="4" w:space="0"/>
            </w:tcBorders>
            <w:shd w:val="clear" w:color="auto" w:fill="E0E0E0"/>
            <w:vAlign w:val="center"/>
          </w:tcPr>
          <w:p>
            <w:pPr>
              <w:pStyle w:val="41"/>
              <w:spacing w:before="120" w:after="120"/>
              <w:rPr>
                <w:rFonts w:ascii="Times New Roman" w:hAnsi="Times New Roman"/>
                <w:bCs/>
                <w:color w:val="000000"/>
                <w:szCs w:val="18"/>
              </w:rPr>
            </w:pPr>
            <w:r>
              <w:rPr>
                <w:rFonts w:ascii="Times New Roman" w:hAnsi="Times New Roman"/>
                <w:bCs/>
                <w:color w:val="000000"/>
                <w:szCs w:val="18"/>
              </w:rPr>
              <w:t>Modulation Order</w:t>
            </w:r>
            <w:r>
              <w:rPr>
                <w:rFonts w:hint="eastAsia" w:ascii="Times New Roman" w:hAnsi="Times New Roman"/>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2495" w:type="dxa"/>
            <w:tcBorders>
              <w:top w:val="single" w:color="auto" w:sz="4" w:space="0"/>
              <w:left w:val="single" w:color="auto" w:sz="4" w:space="0"/>
              <w:bottom w:val="double" w:color="auto" w:sz="4" w:space="0"/>
              <w:right w:val="single" w:color="auto" w:sz="4" w:space="0"/>
            </w:tcBorders>
            <w:shd w:val="clear" w:color="auto" w:fill="E0E0E0"/>
            <w:vAlign w:val="center"/>
          </w:tcPr>
          <w:p>
            <w:pPr>
              <w:pStyle w:val="41"/>
              <w:spacing w:before="120" w:after="120"/>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707" w:type="dxa"/>
            <w:tcBorders>
              <w:top w:val="single" w:color="auto" w:sz="4" w:space="0"/>
              <w:left w:val="single" w:color="auto" w:sz="4" w:space="0"/>
              <w:bottom w:val="double" w:color="auto" w:sz="4" w:space="0"/>
              <w:right w:val="single" w:color="auto" w:sz="4" w:space="0"/>
            </w:tcBorders>
            <w:shd w:val="clear" w:color="auto" w:fill="E0E0E0"/>
          </w:tcPr>
          <w:p>
            <w:pPr>
              <w:pStyle w:val="41"/>
              <w:spacing w:before="120" w:after="120"/>
              <w:rPr>
                <w:rFonts w:ascii="Times New Roman" w:hAnsi="Times New Roman"/>
                <w:bCs/>
                <w:color w:val="000000"/>
                <w:szCs w:val="18"/>
                <w:lang w:val="en-GB"/>
              </w:rPr>
            </w:pPr>
            <w:r>
              <w:rPr>
                <w:rFonts w:ascii="Times New Roman" w:hAnsi="Times New Roman"/>
                <w:bCs/>
                <w:color w:val="000000"/>
                <w:szCs w:val="18"/>
                <w:lang w:val="en-GB"/>
              </w:rPr>
              <w:t>Spectral</w:t>
            </w:r>
            <w:r>
              <w:rPr>
                <w:rFonts w:hint="eastAsia" w:ascii="Times New Roman" w:hAnsi="Times New Roman"/>
                <w:bCs/>
                <w:color w:val="000000"/>
                <w:szCs w:val="18"/>
              </w:rPr>
              <w:t xml:space="preserve"> </w:t>
            </w:r>
            <w:r>
              <w:rPr>
                <w:rFonts w:ascii="Times New Roman" w:hAnsi="Times New Roman"/>
                <w:bCs/>
                <w:color w:val="000000"/>
                <w:szCs w:val="18"/>
                <w:lang w:val="en-GB"/>
              </w:rPr>
              <w:t>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doub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rPr>
            </w:pPr>
            <w:r>
              <w:rPr>
                <w:rFonts w:ascii="Times New Roman" w:hAnsi="Times New Roman"/>
                <w:b/>
                <w:color w:val="000000"/>
                <w:szCs w:val="18"/>
              </w:rPr>
              <w:t>0</w:t>
            </w:r>
          </w:p>
        </w:tc>
        <w:tc>
          <w:tcPr>
            <w:tcW w:w="2002" w:type="dxa"/>
            <w:tcBorders>
              <w:top w:val="doub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rPr>
            </w:pPr>
            <w:r>
              <w:rPr>
                <w:rFonts w:ascii="Times New Roman" w:hAnsi="Times New Roman"/>
                <w:color w:val="000000"/>
                <w:szCs w:val="18"/>
                <w:lang w:val="en-GB"/>
              </w:rPr>
              <w:t>2</w:t>
            </w:r>
          </w:p>
        </w:tc>
        <w:tc>
          <w:tcPr>
            <w:tcW w:w="2495" w:type="dxa"/>
            <w:tcBorders>
              <w:top w:val="doub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rPr>
            </w:pPr>
            <w:r>
              <w:rPr>
                <w:rFonts w:ascii="Times New Roman" w:hAnsi="Times New Roman"/>
                <w:color w:val="000000"/>
                <w:szCs w:val="18"/>
                <w:lang w:val="pt-BR"/>
              </w:rPr>
              <w:t>120</w:t>
            </w:r>
          </w:p>
        </w:tc>
        <w:tc>
          <w:tcPr>
            <w:tcW w:w="1707" w:type="dxa"/>
            <w:tcBorders>
              <w:top w:val="doub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rPr>
            </w:pPr>
            <w:r>
              <w:rPr>
                <w:rFonts w:ascii="Times New Roman" w:hAnsi="Times New Roman"/>
                <w:color w:val="000000"/>
                <w:szCs w:val="18"/>
                <w:lang w:val="en-GB"/>
              </w:rPr>
              <w:t>0.2344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rPr>
            </w:pPr>
            <w:r>
              <w:rPr>
                <w:rFonts w:ascii="Times New Roman" w:hAnsi="Times New Roman"/>
                <w:b/>
                <w:color w:val="000000"/>
                <w:szCs w:val="18"/>
              </w:rPr>
              <w:t>1</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rPr>
            </w:pPr>
            <w:r>
              <w:rPr>
                <w:rFonts w:ascii="Times New Roman" w:hAnsi="Times New Roman"/>
                <w:color w:val="000000"/>
                <w:szCs w:val="18"/>
                <w:lang w:val="en-GB"/>
              </w:rPr>
              <w:t>2</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rPr>
            </w:pPr>
            <w:r>
              <w:rPr>
                <w:rFonts w:ascii="Times New Roman" w:hAnsi="Times New Roman"/>
                <w:color w:val="000000"/>
                <w:szCs w:val="18"/>
                <w:lang w:val="pt-BR"/>
              </w:rPr>
              <w:t>193</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rPr>
            </w:pPr>
            <w:r>
              <w:rPr>
                <w:rFonts w:ascii="Times New Roman" w:hAnsi="Times New Roman"/>
                <w:color w:val="000000"/>
                <w:szCs w:val="18"/>
                <w:lang w:val="en-GB"/>
              </w:rPr>
              <w:t>0.3770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2</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2</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308</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0.6016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3</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2</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449</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0.8770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4</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2</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602</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1.1758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5</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378</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1.4766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6</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434</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1.6953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7</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490</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1.9141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8</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553</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2.1602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9</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616</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2.4063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10</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658</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2.5703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11</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466</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2.7305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12</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517</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3.0293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13</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567</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3.3223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14</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616</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3.6094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15</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666</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3.9023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16</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719</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4.2129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17</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772</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4.5234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18</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822</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4.8164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19</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873</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5.1152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20</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682.5</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5.3320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21</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711</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5.5547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22</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754</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5.8906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23</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797</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6.2266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24</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841</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6.5703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25</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885</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6.9141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26</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916.5</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7.1602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27</w:t>
            </w:r>
          </w:p>
        </w:tc>
        <w:tc>
          <w:tcPr>
            <w:tcW w:w="2002" w:type="dxa"/>
            <w:tcBorders>
              <w:top w:val="single" w:color="auto" w:sz="4" w:space="0"/>
              <w:left w:val="doub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pt-BR"/>
              </w:rPr>
              <w:t>948</w:t>
            </w:r>
          </w:p>
        </w:tc>
        <w:tc>
          <w:tcPr>
            <w:tcW w:w="1707" w:type="dxa"/>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7.4063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28</w:t>
            </w:r>
          </w:p>
        </w:tc>
        <w:tc>
          <w:tcPr>
            <w:tcW w:w="2002" w:type="dxa"/>
            <w:tcBorders>
              <w:top w:val="single" w:color="auto" w:sz="4" w:space="0"/>
              <w:left w:val="double" w:color="auto" w:sz="4" w:space="0"/>
              <w:bottom w:val="single" w:color="auto" w:sz="4" w:space="0"/>
              <w:right w:val="single" w:color="auto" w:sz="4" w:space="0"/>
            </w:tcBorders>
            <w:vAlign w:val="center"/>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2</w:t>
            </w:r>
          </w:p>
        </w:tc>
        <w:tc>
          <w:tcPr>
            <w:tcW w:w="4202" w:type="dxa"/>
            <w:gridSpan w:val="2"/>
            <w:tcBorders>
              <w:top w:val="single" w:color="auto" w:sz="4" w:space="0"/>
              <w:left w:val="single" w:color="auto" w:sz="4" w:space="0"/>
              <w:bottom w:val="single" w:color="auto" w:sz="4" w:space="0"/>
              <w:right w:val="single" w:color="auto" w:sz="4" w:space="0"/>
            </w:tcBorders>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reserved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29</w:t>
            </w:r>
          </w:p>
        </w:tc>
        <w:tc>
          <w:tcPr>
            <w:tcW w:w="2002" w:type="dxa"/>
            <w:tcBorders>
              <w:top w:val="single" w:color="auto" w:sz="4" w:space="0"/>
              <w:left w:val="double" w:color="auto" w:sz="4" w:space="0"/>
              <w:bottom w:val="single" w:color="auto" w:sz="4" w:space="0"/>
              <w:right w:val="single" w:color="auto" w:sz="4" w:space="0"/>
            </w:tcBorders>
            <w:vAlign w:val="center"/>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4202" w:type="dxa"/>
            <w:gridSpan w:val="2"/>
            <w:tcBorders>
              <w:top w:val="single" w:color="auto" w:sz="4" w:space="0"/>
              <w:left w:val="single" w:color="auto" w:sz="4" w:space="0"/>
              <w:bottom w:val="single" w:color="auto" w:sz="4" w:space="0"/>
              <w:right w:val="single" w:color="auto" w:sz="4" w:space="0"/>
            </w:tcBorders>
            <w:vAlign w:val="center"/>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reserved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30</w:t>
            </w:r>
          </w:p>
        </w:tc>
        <w:tc>
          <w:tcPr>
            <w:tcW w:w="2002" w:type="dxa"/>
            <w:tcBorders>
              <w:top w:val="single" w:color="auto" w:sz="4" w:space="0"/>
              <w:left w:val="double" w:color="auto" w:sz="4" w:space="0"/>
              <w:bottom w:val="single" w:color="auto" w:sz="4" w:space="0"/>
              <w:right w:val="single" w:color="auto" w:sz="4" w:space="0"/>
            </w:tcBorders>
            <w:vAlign w:val="center"/>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4202" w:type="dxa"/>
            <w:gridSpan w:val="2"/>
            <w:tcBorders>
              <w:top w:val="single" w:color="auto" w:sz="4" w:space="0"/>
              <w:left w:val="single" w:color="auto" w:sz="4" w:space="0"/>
              <w:bottom w:val="single" w:color="auto" w:sz="4" w:space="0"/>
              <w:right w:val="single" w:color="auto" w:sz="4" w:space="0"/>
            </w:tcBorders>
            <w:vAlign w:val="center"/>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reserved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jc w:val="center"/>
        </w:trPr>
        <w:tc>
          <w:tcPr>
            <w:tcW w:w="1583" w:type="dxa"/>
            <w:tcBorders>
              <w:top w:val="single" w:color="auto" w:sz="4" w:space="0"/>
              <w:left w:val="single" w:color="auto" w:sz="4" w:space="0"/>
              <w:bottom w:val="single" w:color="auto" w:sz="4" w:space="0"/>
              <w:right w:val="double" w:color="auto" w:sz="4" w:space="0"/>
            </w:tcBorders>
            <w:vAlign w:val="center"/>
          </w:tcPr>
          <w:p>
            <w:pPr>
              <w:pStyle w:val="42"/>
              <w:spacing w:before="120" w:after="120"/>
              <w:rPr>
                <w:rFonts w:ascii="Times New Roman" w:hAnsi="Times New Roman"/>
                <w:b/>
                <w:color w:val="000000"/>
                <w:szCs w:val="18"/>
                <w:lang w:val="en-GB"/>
              </w:rPr>
            </w:pPr>
            <w:r>
              <w:rPr>
                <w:rFonts w:ascii="Times New Roman" w:hAnsi="Times New Roman"/>
                <w:b/>
                <w:color w:val="000000"/>
                <w:szCs w:val="18"/>
                <w:lang w:val="en-GB"/>
              </w:rPr>
              <w:t>31</w:t>
            </w:r>
          </w:p>
        </w:tc>
        <w:tc>
          <w:tcPr>
            <w:tcW w:w="2002" w:type="dxa"/>
            <w:tcBorders>
              <w:top w:val="single" w:color="auto" w:sz="4" w:space="0"/>
              <w:left w:val="double" w:color="auto" w:sz="4" w:space="0"/>
              <w:bottom w:val="single" w:color="auto" w:sz="4" w:space="0"/>
              <w:right w:val="single" w:color="auto" w:sz="4" w:space="0"/>
            </w:tcBorders>
            <w:vAlign w:val="center"/>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4202" w:type="dxa"/>
            <w:gridSpan w:val="2"/>
            <w:tcBorders>
              <w:top w:val="single" w:color="auto" w:sz="4" w:space="0"/>
              <w:left w:val="single" w:color="auto" w:sz="4" w:space="0"/>
              <w:bottom w:val="single" w:color="auto" w:sz="4" w:space="0"/>
              <w:right w:val="single" w:color="auto" w:sz="4" w:space="0"/>
            </w:tcBorders>
            <w:vAlign w:val="center"/>
          </w:tcPr>
          <w:p>
            <w:pPr>
              <w:pStyle w:val="42"/>
              <w:spacing w:before="120" w:after="120"/>
              <w:rPr>
                <w:rFonts w:ascii="Times New Roman" w:hAnsi="Times New Roman"/>
                <w:color w:val="000000"/>
                <w:szCs w:val="18"/>
                <w:lang w:val="en-GB"/>
              </w:rPr>
            </w:pPr>
            <w:r>
              <w:rPr>
                <w:rFonts w:ascii="Times New Roman" w:hAnsi="Times New Roman"/>
                <w:color w:val="000000"/>
                <w:szCs w:val="18"/>
                <w:lang w:val="en-GB"/>
              </w:rPr>
              <w:t>reserved</w:t>
            </w:r>
          </w:p>
        </w:tc>
      </w:tr>
    </w:tbl>
    <w:p>
      <w:pPr>
        <w:spacing w:before="120" w:after="120"/>
      </w:pPr>
    </w:p>
    <w:p>
      <w:pPr>
        <w:spacing w:before="120" w:after="120"/>
      </w:pPr>
    </w:p>
    <w:p>
      <w:pPr>
        <w:spacing w:before="120" w:after="120"/>
      </w:pPr>
    </w:p>
    <w:p>
      <w:pPr>
        <w:spacing w:before="120" w:after="120"/>
        <w:jc w:val="center"/>
      </w:pPr>
      <w:r>
        <w:rPr>
          <w:rFonts w:hint="eastAsia"/>
        </w:rPr>
        <w:t>Table A-</w:t>
      </w:r>
      <w:r>
        <w:t>3</w:t>
      </w:r>
      <w:r>
        <w:rPr>
          <w:rFonts w:hint="eastAsia"/>
        </w:rPr>
        <w:t xml:space="preserve"> Simulation </w:t>
      </w:r>
      <w:r>
        <w:t>parameters for low PAPR modulation</w:t>
      </w:r>
    </w:p>
    <w:tbl>
      <w:tblPr>
        <w:tblStyle w:val="16"/>
        <w:tblW w:w="8624" w:type="dxa"/>
        <w:jc w:val="center"/>
        <w:tblLayout w:type="autofit"/>
        <w:tblCellMar>
          <w:top w:w="0" w:type="dxa"/>
          <w:left w:w="0" w:type="dxa"/>
          <w:bottom w:w="0" w:type="dxa"/>
          <w:right w:w="0" w:type="dxa"/>
        </w:tblCellMar>
      </w:tblPr>
      <w:tblGrid>
        <w:gridCol w:w="3721"/>
        <w:gridCol w:w="4903"/>
      </w:tblGrid>
      <w:tr>
        <w:tblPrEx>
          <w:tblCellMar>
            <w:top w:w="0" w:type="dxa"/>
            <w:left w:w="0" w:type="dxa"/>
            <w:bottom w:w="0" w:type="dxa"/>
            <w:right w:w="0" w:type="dxa"/>
          </w:tblCellMar>
        </w:tblPrEx>
        <w:trPr>
          <w:trHeight w:val="177" w:hRule="atLeast"/>
          <w:jc w:val="center"/>
        </w:trPr>
        <w:tc>
          <w:tcPr>
            <w:tcW w:w="3721" w:type="dxa"/>
            <w:tcBorders>
              <w:top w:val="double" w:color="000000" w:sz="6" w:space="0"/>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120" w:after="120"/>
              <w:rPr>
                <w:b/>
                <w:bCs/>
                <w:caps/>
                <w:sz w:val="16"/>
                <w:szCs w:val="16"/>
              </w:rPr>
            </w:pPr>
            <w:r>
              <w:rPr>
                <w:b/>
                <w:bCs/>
                <w:caps/>
                <w:sz w:val="16"/>
                <w:szCs w:val="16"/>
              </w:rPr>
              <w:t>Parameter</w:t>
            </w:r>
          </w:p>
        </w:tc>
        <w:tc>
          <w:tcPr>
            <w:tcW w:w="4903" w:type="dxa"/>
            <w:tcBorders>
              <w:top w:val="double" w:color="000000" w:sz="6" w:space="0"/>
              <w:left w:val="nil"/>
              <w:bottom w:val="single" w:color="000000" w:sz="8" w:space="0"/>
              <w:right w:val="double" w:color="000000" w:sz="6" w:space="0"/>
            </w:tcBorders>
            <w:tcMar>
              <w:top w:w="0" w:type="dxa"/>
              <w:left w:w="108" w:type="dxa"/>
              <w:bottom w:w="0" w:type="dxa"/>
              <w:right w:w="108" w:type="dxa"/>
            </w:tcMar>
          </w:tcPr>
          <w:p>
            <w:pPr>
              <w:snapToGrid w:val="0"/>
              <w:spacing w:before="120" w:after="120"/>
              <w:rPr>
                <w:b/>
                <w:bCs/>
                <w:caps/>
                <w:sz w:val="16"/>
                <w:szCs w:val="16"/>
              </w:rPr>
            </w:pPr>
            <w:r>
              <w:rPr>
                <w:b/>
                <w:bCs/>
                <w:caps/>
                <w:sz w:val="16"/>
                <w:szCs w:val="16"/>
              </w:rPr>
              <w:t>Value</w:t>
            </w:r>
          </w:p>
        </w:tc>
      </w:tr>
      <w:tr>
        <w:tblPrEx>
          <w:tblCellMar>
            <w:top w:w="0" w:type="dxa"/>
            <w:left w:w="0" w:type="dxa"/>
            <w:bottom w:w="0" w:type="dxa"/>
            <w:right w:w="0" w:type="dxa"/>
          </w:tblCellMar>
        </w:tblPrEx>
        <w:trPr>
          <w:trHeight w:val="119"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Carrier frequency</w:t>
            </w:r>
          </w:p>
        </w:tc>
        <w:tc>
          <w:tcPr>
            <w:tcW w:w="4903" w:type="dxa"/>
            <w:tcBorders>
              <w:top w:val="nil"/>
              <w:left w:val="nil"/>
              <w:bottom w:val="single" w:color="000000" w:sz="8"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4 GHz</w:t>
            </w:r>
          </w:p>
        </w:tc>
      </w:tr>
      <w:tr>
        <w:tblPrEx>
          <w:tblCellMar>
            <w:top w:w="0" w:type="dxa"/>
            <w:left w:w="0" w:type="dxa"/>
            <w:bottom w:w="0" w:type="dxa"/>
            <w:right w:w="0" w:type="dxa"/>
          </w:tblCellMar>
        </w:tblPrEx>
        <w:trPr>
          <w:trHeight w:val="6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Subcarrier spacing</w:t>
            </w:r>
          </w:p>
        </w:tc>
        <w:tc>
          <w:tcPr>
            <w:tcW w:w="4903" w:type="dxa"/>
            <w:tcBorders>
              <w:top w:val="nil"/>
              <w:left w:val="nil"/>
              <w:bottom w:val="single" w:color="000000" w:sz="8"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15 KHz</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Number of antennas</w:t>
            </w:r>
          </w:p>
        </w:tc>
        <w:tc>
          <w:tcPr>
            <w:tcW w:w="4903" w:type="dxa"/>
            <w:tcBorders>
              <w:top w:val="nil"/>
              <w:left w:val="nil"/>
              <w:bottom w:val="single" w:color="000000" w:sz="8"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1T4R</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Bandwidth</w:t>
            </w:r>
          </w:p>
        </w:tc>
        <w:tc>
          <w:tcPr>
            <w:tcW w:w="4903" w:type="dxa"/>
            <w:tcBorders>
              <w:top w:val="nil"/>
              <w:left w:val="nil"/>
              <w:bottom w:val="single" w:color="000000" w:sz="8"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2 PRBs; 30 PRBs</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Spectral efficiency</w:t>
            </w:r>
          </w:p>
        </w:tc>
        <w:tc>
          <w:tcPr>
            <w:tcW w:w="4903" w:type="dxa"/>
            <w:tcBorders>
              <w:top w:val="nil"/>
              <w:left w:val="nil"/>
              <w:bottom w:val="single" w:color="000000" w:sz="8"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sz w:val="16"/>
                <w:szCs w:val="16"/>
              </w:rPr>
              <w:t>0.1934</w:t>
            </w:r>
            <w:r>
              <w:rPr>
                <w:rFonts w:hint="eastAsia"/>
                <w:sz w:val="16"/>
                <w:szCs w:val="16"/>
              </w:rPr>
              <w:t xml:space="preserve">; </w:t>
            </w:r>
            <w:r>
              <w:rPr>
                <w:sz w:val="16"/>
                <w:szCs w:val="16"/>
              </w:rPr>
              <w:t>0.2344</w:t>
            </w:r>
            <w:r>
              <w:rPr>
                <w:rFonts w:hint="eastAsia"/>
                <w:sz w:val="16"/>
                <w:szCs w:val="16"/>
              </w:rPr>
              <w:t xml:space="preserve">; </w:t>
            </w:r>
            <w:r>
              <w:rPr>
                <w:sz w:val="16"/>
                <w:szCs w:val="16"/>
              </w:rPr>
              <w:t>0.3066</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Target BLER</w:t>
            </w:r>
          </w:p>
        </w:tc>
        <w:tc>
          <w:tcPr>
            <w:tcW w:w="4903" w:type="dxa"/>
            <w:tcBorders>
              <w:top w:val="nil"/>
              <w:left w:val="nil"/>
              <w:bottom w:val="single" w:color="000000" w:sz="8"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0.01</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Modulation</w:t>
            </w:r>
          </w:p>
        </w:tc>
        <w:tc>
          <w:tcPr>
            <w:tcW w:w="4903" w:type="dxa"/>
            <w:tcBorders>
              <w:top w:val="nil"/>
              <w:left w:val="nil"/>
              <w:bottom w:val="single" w:color="000000" w:sz="8"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 xml:space="preserve">QPSK; </w:t>
            </w:r>
          </w:p>
          <w:p>
            <w:pPr>
              <w:snapToGrid w:val="0"/>
              <w:spacing w:before="120" w:after="120"/>
              <w:rPr>
                <w:sz w:val="16"/>
                <w:szCs w:val="16"/>
              </w:rPr>
            </w:pPr>
            <w:r>
              <w:rPr>
                <w:sz w:val="16"/>
                <w:szCs w:val="16"/>
              </w:rPr>
              <w:t>π</w:t>
            </w:r>
            <w:r>
              <w:rPr>
                <w:rFonts w:hint="eastAsia"/>
                <w:sz w:val="16"/>
                <w:szCs w:val="16"/>
              </w:rPr>
              <w:t xml:space="preserve">/2-BPSK; </w:t>
            </w:r>
          </w:p>
          <w:p>
            <w:pPr>
              <w:snapToGrid w:val="0"/>
              <w:spacing w:before="120" w:after="120"/>
              <w:rPr>
                <w:sz w:val="16"/>
                <w:szCs w:val="16"/>
              </w:rPr>
            </w:pPr>
            <w:r>
              <w:rPr>
                <w:rFonts w:hint="eastAsia"/>
                <w:sz w:val="16"/>
                <w:szCs w:val="16"/>
              </w:rPr>
              <w:t>I-</w:t>
            </w:r>
            <w:r>
              <w:rPr>
                <w:sz w:val="16"/>
                <w:szCs w:val="16"/>
              </w:rPr>
              <w:t>π</w:t>
            </w:r>
            <w:r>
              <w:rPr>
                <w:rFonts w:hint="eastAsia"/>
                <w:sz w:val="16"/>
                <w:szCs w:val="16"/>
              </w:rPr>
              <w:t>/2-BPSK with trancation factor F=1/2</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Channel</w:t>
            </w:r>
          </w:p>
        </w:tc>
        <w:tc>
          <w:tcPr>
            <w:tcW w:w="4903" w:type="dxa"/>
            <w:tcBorders>
              <w:top w:val="nil"/>
              <w:left w:val="nil"/>
              <w:bottom w:val="single" w:color="000000" w:sz="8"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 xml:space="preserve">TDL-A 10ns; </w:t>
            </w:r>
          </w:p>
          <w:p>
            <w:pPr>
              <w:snapToGrid w:val="0"/>
              <w:spacing w:before="120" w:after="120"/>
              <w:rPr>
                <w:sz w:val="16"/>
                <w:szCs w:val="16"/>
              </w:rPr>
            </w:pPr>
            <w:r>
              <w:rPr>
                <w:rFonts w:hint="eastAsia"/>
                <w:sz w:val="16"/>
                <w:szCs w:val="16"/>
              </w:rPr>
              <w:t>TDL-C 300ns</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UE speed</w:t>
            </w:r>
          </w:p>
        </w:tc>
        <w:tc>
          <w:tcPr>
            <w:tcW w:w="4903" w:type="dxa"/>
            <w:tcBorders>
              <w:top w:val="nil"/>
              <w:left w:val="nil"/>
              <w:bottom w:val="single" w:color="000000" w:sz="8"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3 Km/h</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Waveform</w:t>
            </w:r>
          </w:p>
        </w:tc>
        <w:tc>
          <w:tcPr>
            <w:tcW w:w="4903" w:type="dxa"/>
            <w:tcBorders>
              <w:top w:val="nil"/>
              <w:left w:val="nil"/>
              <w:bottom w:val="single" w:color="000000" w:sz="8"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DFT-s-OFDM</w:t>
            </w:r>
          </w:p>
        </w:tc>
      </w:tr>
      <w:tr>
        <w:tblPrEx>
          <w:tblCellMar>
            <w:top w:w="0" w:type="dxa"/>
            <w:left w:w="0" w:type="dxa"/>
            <w:bottom w:w="0" w:type="dxa"/>
            <w:right w:w="0" w:type="dxa"/>
          </w:tblCellMar>
        </w:tblPrEx>
        <w:trPr>
          <w:trHeight w:val="87"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Nmuber of DMRS</w:t>
            </w:r>
          </w:p>
        </w:tc>
        <w:tc>
          <w:tcPr>
            <w:tcW w:w="4903" w:type="dxa"/>
            <w:tcBorders>
              <w:top w:val="nil"/>
              <w:left w:val="nil"/>
              <w:bottom w:val="single" w:color="000000" w:sz="8"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2 OFDM symbols</w:t>
            </w:r>
          </w:p>
        </w:tc>
      </w:tr>
      <w:tr>
        <w:tblPrEx>
          <w:tblCellMar>
            <w:top w:w="0" w:type="dxa"/>
            <w:left w:w="0" w:type="dxa"/>
            <w:bottom w:w="0" w:type="dxa"/>
            <w:right w:w="0" w:type="dxa"/>
          </w:tblCellMar>
        </w:tblPrEx>
        <w:trPr>
          <w:trHeight w:val="12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Carrier frequency</w:t>
            </w:r>
          </w:p>
        </w:tc>
        <w:tc>
          <w:tcPr>
            <w:tcW w:w="4903" w:type="dxa"/>
            <w:tcBorders>
              <w:top w:val="nil"/>
              <w:left w:val="nil"/>
              <w:bottom w:val="single" w:color="000000" w:sz="8"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4 GHz</w:t>
            </w:r>
          </w:p>
        </w:tc>
      </w:tr>
      <w:tr>
        <w:tblPrEx>
          <w:tblCellMar>
            <w:top w:w="0" w:type="dxa"/>
            <w:left w:w="0" w:type="dxa"/>
            <w:bottom w:w="0" w:type="dxa"/>
            <w:right w:w="0" w:type="dxa"/>
          </w:tblCellMar>
        </w:tblPrEx>
        <w:trPr>
          <w:trHeight w:val="68"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Subcarrier spacing</w:t>
            </w:r>
          </w:p>
        </w:tc>
        <w:tc>
          <w:tcPr>
            <w:tcW w:w="4903" w:type="dxa"/>
            <w:tcBorders>
              <w:top w:val="nil"/>
              <w:left w:val="nil"/>
              <w:bottom w:val="single" w:color="000000" w:sz="8"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15 KHz</w:t>
            </w:r>
          </w:p>
        </w:tc>
      </w:tr>
      <w:tr>
        <w:tblPrEx>
          <w:tblCellMar>
            <w:top w:w="0" w:type="dxa"/>
            <w:left w:w="0" w:type="dxa"/>
            <w:bottom w:w="0" w:type="dxa"/>
            <w:right w:w="0" w:type="dxa"/>
          </w:tblCellMar>
        </w:tblPrEx>
        <w:trPr>
          <w:trHeight w:val="93" w:hRule="atLeast"/>
          <w:jc w:val="center"/>
        </w:trPr>
        <w:tc>
          <w:tcPr>
            <w:tcW w:w="3721" w:type="dxa"/>
            <w:tcBorders>
              <w:top w:val="single" w:color="000000" w:sz="4" w:space="0"/>
              <w:left w:val="double" w:color="000000" w:sz="6" w:space="0"/>
              <w:bottom w:val="single" w:color="000000" w:sz="4" w:space="0"/>
              <w:right w:val="single" w:color="000000" w:sz="4"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Number of antennas</w:t>
            </w:r>
          </w:p>
        </w:tc>
        <w:tc>
          <w:tcPr>
            <w:tcW w:w="4903"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1T4R</w:t>
            </w:r>
          </w:p>
        </w:tc>
      </w:tr>
      <w:tr>
        <w:tblPrEx>
          <w:tblCellMar>
            <w:top w:w="0" w:type="dxa"/>
            <w:left w:w="0" w:type="dxa"/>
            <w:bottom w:w="0" w:type="dxa"/>
            <w:right w:w="0" w:type="dxa"/>
          </w:tblCellMar>
        </w:tblPrEx>
        <w:trPr>
          <w:trHeight w:val="93" w:hRule="atLeast"/>
          <w:jc w:val="center"/>
        </w:trPr>
        <w:tc>
          <w:tcPr>
            <w:tcW w:w="3721" w:type="dxa"/>
            <w:tcBorders>
              <w:top w:val="single" w:color="000000" w:sz="4" w:space="0"/>
              <w:left w:val="double" w:color="000000" w:sz="6" w:space="0"/>
              <w:bottom w:val="double" w:color="000000" w:sz="6" w:space="0"/>
              <w:right w:val="single" w:color="000000" w:sz="4"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t>PAPR CCDF</w:t>
            </w:r>
          </w:p>
        </w:tc>
        <w:tc>
          <w:tcPr>
            <w:tcW w:w="4903" w:type="dxa"/>
            <w:tcBorders>
              <w:top w:val="single" w:color="000000" w:sz="4" w:space="0"/>
              <w:left w:val="single" w:color="000000" w:sz="4" w:space="0"/>
              <w:bottom w:val="double" w:color="000000" w:sz="6" w:space="0"/>
              <w:right w:val="double" w:color="000000" w:sz="6" w:space="0"/>
            </w:tcBorders>
            <w:tcMar>
              <w:top w:w="0" w:type="dxa"/>
              <w:left w:w="108" w:type="dxa"/>
              <w:bottom w:w="0" w:type="dxa"/>
              <w:right w:w="108" w:type="dxa"/>
            </w:tcMar>
            <w:vAlign w:val="center"/>
          </w:tcPr>
          <w:p>
            <w:pPr>
              <w:snapToGrid w:val="0"/>
              <w:spacing w:before="120" w:after="120"/>
              <w:rPr>
                <w:sz w:val="16"/>
                <w:szCs w:val="16"/>
              </w:rPr>
            </w:pPr>
            <w:r>
              <w:rPr>
                <w:rFonts w:hint="eastAsia"/>
                <w:sz w:val="16"/>
                <w:szCs w:val="16"/>
              </w:rPr>
              <w:object>
                <v:shape id="_x0000_i1033" o:spt="75" type="#_x0000_t75" style="height:44.55pt;width:145.45pt;" o:ole="t" filled="f" o:preferrelative="t" stroked="f" coordsize="21600,21600">
                  <v:path/>
                  <v:fill on="f" focussize="0,0"/>
                  <v:stroke on="f" joinstyle="miter"/>
                  <v:imagedata r:id="rId44" o:title=""/>
                  <o:lock v:ext="edit" aspectratio="t"/>
                  <w10:wrap type="none"/>
                  <w10:anchorlock/>
                </v:shape>
                <o:OLEObject Type="Embed" ProgID="Equation.KSEE3" ShapeID="_x0000_i1033" DrawAspect="Content" ObjectID="_1468075733" r:id="rId43">
                  <o:LockedField>false</o:LockedField>
                </o:OLEObject>
              </w:object>
            </w:r>
          </w:p>
          <w:p>
            <w:pPr>
              <w:snapToGrid w:val="0"/>
              <w:spacing w:before="120" w:after="120"/>
              <w:rPr>
                <w:position w:val="-34"/>
                <w:szCs w:val="18"/>
              </w:rPr>
            </w:pPr>
            <w:r>
              <w:rPr>
                <w:rFonts w:hint="eastAsia"/>
                <w:sz w:val="16"/>
                <w:szCs w:val="16"/>
              </w:rPr>
              <w:t>Where x is the data sample, P(·) represents the probability, x</w:t>
            </w:r>
            <w:r>
              <w:rPr>
                <w:rFonts w:hint="eastAsia"/>
                <w:sz w:val="16"/>
                <w:szCs w:val="16"/>
                <w:vertAlign w:val="subscript"/>
              </w:rPr>
              <w:t>papr</w:t>
            </w:r>
            <w:r>
              <w:rPr>
                <w:rFonts w:hint="eastAsia"/>
                <w:sz w:val="16"/>
                <w:szCs w:val="16"/>
              </w:rPr>
              <w:t xml:space="preserve"> is the PAPR decision threshold (dB).</w:t>
            </w:r>
          </w:p>
        </w:tc>
      </w:tr>
    </w:tbl>
    <w:p>
      <w:pPr>
        <w:spacing w:before="120" w:after="120"/>
        <w:rPr>
          <w:highlight w:val="yellow"/>
        </w:rPr>
      </w:pPr>
    </w:p>
    <w:sectPr>
      <w:headerReference r:id="rId7" w:type="first"/>
      <w:footerReference r:id="rId10" w:type="first"/>
      <w:headerReference r:id="rId5" w:type="default"/>
      <w:footerReference r:id="rId8" w:type="default"/>
      <w:headerReference r:id="rId6" w:type="even"/>
      <w:footerReference r:id="rId9" w:type="even"/>
      <w:pgSz w:w="11905" w:h="16838"/>
      <w:pgMar w:top="1440" w:right="1202" w:bottom="1440" w:left="1378" w:header="720" w:footer="720" w:gutter="0"/>
      <w:cols w:space="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Helvetica">
    <w:altName w:val="Arial"/>
    <w:panose1 w:val="020B0604020202020204"/>
    <w:charset w:val="00"/>
    <w:family w:val="swiss"/>
    <w:pitch w:val="default"/>
    <w:sig w:usb0="00000000" w:usb1="00000000" w:usb2="00000000" w:usb3="00000000" w:csb0="000001FF" w:csb1="00000000"/>
  </w:font>
  <w:font w:name="Verdana">
    <w:panose1 w:val="020B0604030504040204"/>
    <w:charset w:val="00"/>
    <w:family w:val="swiss"/>
    <w:pitch w:val="default"/>
    <w:sig w:usb0="A00006FF" w:usb1="4000205B" w:usb2="0000001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88246921"/>
      <w:docPartObj>
        <w:docPartGallery w:val="autotext"/>
      </w:docPartObj>
    </w:sdtPr>
    <w:sdtContent>
      <w:p>
        <w:pPr>
          <w:pStyle w:val="11"/>
          <w:spacing w:before="120" w:after="120"/>
          <w:jc w:val="center"/>
        </w:pPr>
        <w:r>
          <w:fldChar w:fldCharType="begin"/>
        </w:r>
        <w:r>
          <w:instrText xml:space="preserve">PAGE   \* MERGEFORMAT</w:instrText>
        </w:r>
        <w:r>
          <w:fldChar w:fldCharType="separate"/>
        </w:r>
        <w:r>
          <w:rPr>
            <w:lang w:val="zh-CN"/>
          </w:rPr>
          <w:t>2</w:t>
        </w:r>
        <w:r>
          <w:fldChar w:fldCharType="end"/>
        </w:r>
      </w:p>
    </w:sdtContent>
  </w:sdt>
  <w:p>
    <w:pPr>
      <w:pStyle w:val="11"/>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34B193"/>
    <w:multiLevelType w:val="singleLevel"/>
    <w:tmpl w:val="AB34B193"/>
    <w:lvl w:ilvl="0" w:tentative="0">
      <w:start w:val="1"/>
      <w:numFmt w:val="decimal"/>
      <w:pStyle w:val="51"/>
      <w:lvlText w:val="Observation %1: "/>
      <w:lvlJc w:val="left"/>
      <w:pPr>
        <w:tabs>
          <w:tab w:val="left" w:pos="0"/>
        </w:tabs>
        <w:ind w:left="0" w:firstLine="0"/>
      </w:pPr>
      <w:rPr>
        <w:rFonts w:hint="default" w:ascii="Times New Roman" w:hAnsi="Times New Roman" w:eastAsia="宋体" w:cs="Times New Roman"/>
        <w:b/>
        <w:bCs/>
        <w:i/>
        <w:iCs/>
        <w:highlight w:val="none"/>
        <w:lang w:val="en-US"/>
      </w:rPr>
    </w:lvl>
  </w:abstractNum>
  <w:abstractNum w:abstractNumId="1">
    <w:nsid w:val="BD0CA652"/>
    <w:multiLevelType w:val="multilevel"/>
    <w:tmpl w:val="BD0CA652"/>
    <w:lvl w:ilvl="0" w:tentative="0">
      <w:start w:val="1"/>
      <w:numFmt w:val="decimal"/>
      <w:pStyle w:val="54"/>
      <w:lvlText w:val="Proposal %1:"/>
      <w:lvlJc w:val="left"/>
      <w:pPr>
        <w:tabs>
          <w:tab w:val="left" w:pos="0"/>
        </w:tabs>
        <w:ind w:left="0" w:firstLine="0"/>
      </w:pPr>
      <w:rPr>
        <w:rFonts w:hint="default" w:ascii="Times New Roman" w:hAnsi="Times New Roman" w:eastAsia="宋体" w:cs="Times New Roman"/>
        <w:b/>
        <w:bCs/>
        <w:i/>
        <w:iCs/>
        <w:highlight w:val="none"/>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2">
    <w:nsid w:val="C327F9AA"/>
    <w:multiLevelType w:val="multilevel"/>
    <w:tmpl w:val="C327F9AA"/>
    <w:lvl w:ilvl="0" w:tentative="0">
      <w:start w:val="1"/>
      <w:numFmt w:val="bullet"/>
      <w:lvlText w:val="•"/>
      <w:lvlJc w:val="left"/>
      <w:pPr>
        <w:tabs>
          <w:tab w:val="left" w:pos="420"/>
        </w:tabs>
        <w:ind w:left="840" w:hanging="420"/>
      </w:pPr>
      <w:rPr>
        <w:rFonts w:hint="default" w:ascii="Arial" w:hAnsi="Arial" w:cs="Symbol"/>
      </w:rPr>
    </w:lvl>
    <w:lvl w:ilvl="1" w:tentative="0">
      <w:start w:val="1"/>
      <w:numFmt w:val="bullet"/>
      <w:lvlText w:val=""/>
      <w:lvlJc w:val="left"/>
      <w:pPr>
        <w:tabs>
          <w:tab w:val="left" w:pos="840"/>
        </w:tabs>
        <w:ind w:left="1260" w:hanging="420"/>
      </w:pPr>
      <w:rPr>
        <w:rFonts w:hint="default" w:ascii="MS Mincho" w:hAnsi="MS Mincho"/>
      </w:rPr>
    </w:lvl>
    <w:lvl w:ilvl="2" w:tentative="0">
      <w:start w:val="1"/>
      <w:numFmt w:val="bullet"/>
      <w:lvlText w:val=""/>
      <w:lvlJc w:val="left"/>
      <w:pPr>
        <w:tabs>
          <w:tab w:val="left" w:pos="1260"/>
        </w:tabs>
        <w:ind w:left="1680" w:hanging="420"/>
      </w:pPr>
      <w:rPr>
        <w:rFonts w:hint="default" w:ascii="MS Mincho" w:hAnsi="MS Mincho"/>
      </w:rPr>
    </w:lvl>
    <w:lvl w:ilvl="3" w:tentative="0">
      <w:start w:val="1"/>
      <w:numFmt w:val="bullet"/>
      <w:lvlText w:val=""/>
      <w:lvlJc w:val="left"/>
      <w:pPr>
        <w:tabs>
          <w:tab w:val="left" w:pos="1680"/>
        </w:tabs>
        <w:ind w:left="2100" w:hanging="420"/>
      </w:pPr>
      <w:rPr>
        <w:rFonts w:hint="default" w:ascii="MS Mincho" w:hAnsi="MS Mincho"/>
      </w:rPr>
    </w:lvl>
    <w:lvl w:ilvl="4" w:tentative="0">
      <w:start w:val="1"/>
      <w:numFmt w:val="bullet"/>
      <w:lvlText w:val=""/>
      <w:lvlJc w:val="left"/>
      <w:pPr>
        <w:tabs>
          <w:tab w:val="left" w:pos="2100"/>
        </w:tabs>
        <w:ind w:left="2520" w:hanging="420"/>
      </w:pPr>
      <w:rPr>
        <w:rFonts w:hint="default" w:ascii="MS Mincho" w:hAnsi="MS Mincho"/>
      </w:rPr>
    </w:lvl>
    <w:lvl w:ilvl="5" w:tentative="0">
      <w:start w:val="1"/>
      <w:numFmt w:val="bullet"/>
      <w:lvlText w:val=""/>
      <w:lvlJc w:val="left"/>
      <w:pPr>
        <w:tabs>
          <w:tab w:val="left" w:pos="2520"/>
        </w:tabs>
        <w:ind w:left="2940" w:hanging="420"/>
      </w:pPr>
      <w:rPr>
        <w:rFonts w:hint="default" w:ascii="MS Mincho" w:hAnsi="MS Mincho"/>
      </w:rPr>
    </w:lvl>
    <w:lvl w:ilvl="6" w:tentative="0">
      <w:start w:val="1"/>
      <w:numFmt w:val="bullet"/>
      <w:lvlText w:val=""/>
      <w:lvlJc w:val="left"/>
      <w:pPr>
        <w:tabs>
          <w:tab w:val="left" w:pos="2940"/>
        </w:tabs>
        <w:ind w:left="3360" w:hanging="420"/>
      </w:pPr>
      <w:rPr>
        <w:rFonts w:hint="default" w:ascii="MS Mincho" w:hAnsi="MS Mincho"/>
      </w:rPr>
    </w:lvl>
    <w:lvl w:ilvl="7" w:tentative="0">
      <w:start w:val="1"/>
      <w:numFmt w:val="bullet"/>
      <w:lvlText w:val=""/>
      <w:lvlJc w:val="left"/>
      <w:pPr>
        <w:tabs>
          <w:tab w:val="left" w:pos="3360"/>
        </w:tabs>
        <w:ind w:left="3780" w:hanging="420"/>
      </w:pPr>
      <w:rPr>
        <w:rFonts w:hint="default" w:ascii="MS Mincho" w:hAnsi="MS Mincho"/>
      </w:rPr>
    </w:lvl>
    <w:lvl w:ilvl="8" w:tentative="0">
      <w:start w:val="1"/>
      <w:numFmt w:val="bullet"/>
      <w:lvlText w:val=""/>
      <w:lvlJc w:val="left"/>
      <w:pPr>
        <w:tabs>
          <w:tab w:val="left" w:pos="3780"/>
        </w:tabs>
        <w:ind w:left="4200" w:hanging="420"/>
      </w:pPr>
      <w:rPr>
        <w:rFonts w:hint="default" w:ascii="MS Mincho" w:hAnsi="MS Mincho"/>
      </w:rPr>
    </w:lvl>
  </w:abstractNum>
  <w:abstractNum w:abstractNumId="3">
    <w:nsid w:val="058626E2"/>
    <w:multiLevelType w:val="multilevel"/>
    <w:tmpl w:val="058626E2"/>
    <w:lvl w:ilvl="0" w:tentative="0">
      <w:start w:val="1"/>
      <w:numFmt w:val="bullet"/>
      <w:lvlText w:val="•"/>
      <w:lvlJc w:val="left"/>
      <w:pPr>
        <w:tabs>
          <w:tab w:val="left" w:pos="420"/>
        </w:tabs>
        <w:ind w:left="840" w:hanging="420"/>
      </w:pPr>
      <w:rPr>
        <w:rFonts w:hint="default" w:ascii="Arial" w:hAnsi="Arial" w:cs="Symbol"/>
      </w:rPr>
    </w:lvl>
    <w:lvl w:ilvl="1" w:tentative="0">
      <w:start w:val="1"/>
      <w:numFmt w:val="bullet"/>
      <w:lvlText w:val="-"/>
      <w:lvlJc w:val="left"/>
      <w:pPr>
        <w:tabs>
          <w:tab w:val="left" w:pos="840"/>
        </w:tabs>
        <w:ind w:left="1260" w:hanging="420"/>
      </w:pPr>
      <w:rPr>
        <w:rFonts w:hint="default" w:ascii="Verdana" w:hAnsi="Verdana"/>
      </w:rPr>
    </w:lvl>
    <w:lvl w:ilvl="2" w:tentative="0">
      <w:start w:val="1"/>
      <w:numFmt w:val="bullet"/>
      <w:lvlText w:val=""/>
      <w:lvlJc w:val="left"/>
      <w:pPr>
        <w:tabs>
          <w:tab w:val="left" w:pos="1260"/>
        </w:tabs>
        <w:ind w:left="1680" w:hanging="420"/>
      </w:pPr>
      <w:rPr>
        <w:rFonts w:hint="default" w:ascii="MS Mincho" w:hAnsi="MS Mincho"/>
      </w:rPr>
    </w:lvl>
    <w:lvl w:ilvl="3" w:tentative="0">
      <w:start w:val="1"/>
      <w:numFmt w:val="bullet"/>
      <w:lvlText w:val=""/>
      <w:lvlJc w:val="left"/>
      <w:pPr>
        <w:tabs>
          <w:tab w:val="left" w:pos="1680"/>
        </w:tabs>
        <w:ind w:left="2100" w:hanging="420"/>
      </w:pPr>
      <w:rPr>
        <w:rFonts w:hint="default" w:ascii="MS Mincho" w:hAnsi="MS Mincho"/>
      </w:rPr>
    </w:lvl>
    <w:lvl w:ilvl="4" w:tentative="0">
      <w:start w:val="1"/>
      <w:numFmt w:val="bullet"/>
      <w:lvlText w:val=""/>
      <w:lvlJc w:val="left"/>
      <w:pPr>
        <w:tabs>
          <w:tab w:val="left" w:pos="2100"/>
        </w:tabs>
        <w:ind w:left="2520" w:hanging="420"/>
      </w:pPr>
      <w:rPr>
        <w:rFonts w:hint="default" w:ascii="MS Mincho" w:hAnsi="MS Mincho"/>
      </w:rPr>
    </w:lvl>
    <w:lvl w:ilvl="5" w:tentative="0">
      <w:start w:val="1"/>
      <w:numFmt w:val="bullet"/>
      <w:lvlText w:val=""/>
      <w:lvlJc w:val="left"/>
      <w:pPr>
        <w:tabs>
          <w:tab w:val="left" w:pos="2520"/>
        </w:tabs>
        <w:ind w:left="2940" w:hanging="420"/>
      </w:pPr>
      <w:rPr>
        <w:rFonts w:hint="default" w:ascii="MS Mincho" w:hAnsi="MS Mincho"/>
      </w:rPr>
    </w:lvl>
    <w:lvl w:ilvl="6" w:tentative="0">
      <w:start w:val="1"/>
      <w:numFmt w:val="bullet"/>
      <w:lvlText w:val=""/>
      <w:lvlJc w:val="left"/>
      <w:pPr>
        <w:tabs>
          <w:tab w:val="left" w:pos="2940"/>
        </w:tabs>
        <w:ind w:left="3360" w:hanging="420"/>
      </w:pPr>
      <w:rPr>
        <w:rFonts w:hint="default" w:ascii="MS Mincho" w:hAnsi="MS Mincho"/>
      </w:rPr>
    </w:lvl>
    <w:lvl w:ilvl="7" w:tentative="0">
      <w:start w:val="1"/>
      <w:numFmt w:val="bullet"/>
      <w:lvlText w:val=""/>
      <w:lvlJc w:val="left"/>
      <w:pPr>
        <w:tabs>
          <w:tab w:val="left" w:pos="3360"/>
        </w:tabs>
        <w:ind w:left="3780" w:hanging="420"/>
      </w:pPr>
      <w:rPr>
        <w:rFonts w:hint="default" w:ascii="MS Mincho" w:hAnsi="MS Mincho"/>
      </w:rPr>
    </w:lvl>
    <w:lvl w:ilvl="8" w:tentative="0">
      <w:start w:val="1"/>
      <w:numFmt w:val="bullet"/>
      <w:lvlText w:val=""/>
      <w:lvlJc w:val="left"/>
      <w:pPr>
        <w:tabs>
          <w:tab w:val="left" w:pos="3780"/>
        </w:tabs>
        <w:ind w:left="4200" w:hanging="420"/>
      </w:pPr>
      <w:rPr>
        <w:rFonts w:hint="default" w:ascii="MS Mincho" w:hAnsi="MS Mincho"/>
      </w:rPr>
    </w:lvl>
  </w:abstractNum>
  <w:abstractNum w:abstractNumId="4">
    <w:nsid w:val="0BDD5F2B"/>
    <w:multiLevelType w:val="multilevel"/>
    <w:tmpl w:val="0BDD5F2B"/>
    <w:lvl w:ilvl="0" w:tentative="0">
      <w:start w:val="1"/>
      <w:numFmt w:val="decimal"/>
      <w:pStyle w:val="2"/>
      <w:suff w:val="nothing"/>
      <w:lvlText w:val="%1  "/>
      <w:lvlJc w:val="left"/>
      <w:pPr>
        <w:ind w:left="4962" w:firstLine="0"/>
      </w:pPr>
      <w:rPr>
        <w:rFonts w:hint="default" w:ascii="Arial" w:hAnsi="Arial" w:eastAsia="黑体"/>
        <w:b w:val="0"/>
        <w:i w:val="0"/>
        <w:sz w:val="36"/>
        <w:szCs w:val="36"/>
        <w:lang w:val="en-US"/>
      </w:rPr>
    </w:lvl>
    <w:lvl w:ilvl="1" w:tentative="0">
      <w:start w:val="1"/>
      <w:numFmt w:val="decimal"/>
      <w:pStyle w:val="3"/>
      <w:suff w:val="nothing"/>
      <w:lvlText w:val="%1.%2  "/>
      <w:lvlJc w:val="left"/>
      <w:pPr>
        <w:ind w:left="4395" w:firstLine="0"/>
      </w:pPr>
      <w:rPr>
        <w:rFonts w:hint="default" w:ascii="Arial" w:hAnsi="Arial" w:cs="Arial"/>
        <w:b w:val="0"/>
        <w:bCs w:val="0"/>
        <w:i w:val="0"/>
        <w:iCs w:val="0"/>
        <w:caps w:val="0"/>
        <w:smallCaps w:val="0"/>
        <w:strike w:val="0"/>
        <w:dstrike w:val="0"/>
        <w:vanish w:val="0"/>
        <w:color w:val="000000"/>
        <w:spacing w:val="0"/>
        <w:kern w:val="0"/>
        <w:position w:val="0"/>
        <w:u w:val="none"/>
        <w:vertAlign w:val="baseline"/>
      </w:rPr>
    </w:lvl>
    <w:lvl w:ilvl="2" w:tentative="0">
      <w:start w:val="1"/>
      <w:numFmt w:val="decimal"/>
      <w:pStyle w:val="4"/>
      <w:suff w:val="nothing"/>
      <w:lvlText w:val="%1.%2.%3  "/>
      <w:lvlJc w:val="left"/>
      <w:pPr>
        <w:ind w:left="0" w:firstLine="0"/>
      </w:pPr>
      <w:rPr>
        <w:rFonts w:hint="default" w:ascii="Arial" w:hAnsi="Arial" w:cs="Arial"/>
        <w:b w:val="0"/>
        <w:bCs w:val="0"/>
        <w:i w:val="0"/>
        <w:iCs w:val="0"/>
        <w:caps w:val="0"/>
        <w:smallCaps w:val="0"/>
        <w:strike w:val="0"/>
        <w:dstrike w:val="0"/>
        <w:snapToGrid w:val="0"/>
        <w:vanish w:val="0"/>
        <w:color w:val="000000"/>
        <w:spacing w:val="0"/>
        <w:w w:val="0"/>
        <w:kern w:val="0"/>
        <w:position w:val="0"/>
        <w:szCs w:val="0"/>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5">
    <w:nsid w:val="142647E4"/>
    <w:multiLevelType w:val="singleLevel"/>
    <w:tmpl w:val="142647E4"/>
    <w:lvl w:ilvl="0" w:tentative="0">
      <w:start w:val="1"/>
      <w:numFmt w:val="bullet"/>
      <w:lvlText w:val="•"/>
      <w:lvlJc w:val="left"/>
      <w:pPr>
        <w:ind w:left="420" w:hanging="420"/>
      </w:pPr>
      <w:rPr>
        <w:rFonts w:hint="default" w:ascii="Arial" w:hAnsi="Arial" w:cs="Wingdings"/>
      </w:rPr>
    </w:lvl>
  </w:abstractNum>
  <w:abstractNum w:abstractNumId="6">
    <w:nsid w:val="1F751106"/>
    <w:multiLevelType w:val="multilevel"/>
    <w:tmpl w:val="1F75110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3A202BDC"/>
    <w:multiLevelType w:val="multilevel"/>
    <w:tmpl w:val="3A202BD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3A877D64"/>
    <w:multiLevelType w:val="singleLevel"/>
    <w:tmpl w:val="3A877D64"/>
    <w:lvl w:ilvl="0" w:tentative="0">
      <w:start w:val="1"/>
      <w:numFmt w:val="decimal"/>
      <w:pStyle w:val="30"/>
      <w:lvlText w:val="[%1]"/>
      <w:lvlJc w:val="left"/>
      <w:pPr>
        <w:tabs>
          <w:tab w:val="left" w:pos="360"/>
        </w:tabs>
        <w:ind w:left="360" w:hanging="360"/>
      </w:pPr>
    </w:lvl>
  </w:abstractNum>
  <w:abstractNum w:abstractNumId="9">
    <w:nsid w:val="3F546F98"/>
    <w:multiLevelType w:val="singleLevel"/>
    <w:tmpl w:val="3F546F98"/>
    <w:lvl w:ilvl="0" w:tentative="0">
      <w:start w:val="1"/>
      <w:numFmt w:val="bullet"/>
      <w:lvlText w:val=""/>
      <w:lvlJc w:val="left"/>
      <w:pPr>
        <w:ind w:left="420" w:hanging="420"/>
      </w:pPr>
      <w:rPr>
        <w:rFonts w:hint="default" w:ascii="Wingdings" w:hAnsi="Wingdings"/>
      </w:rPr>
    </w:lvl>
  </w:abstractNum>
  <w:abstractNum w:abstractNumId="10">
    <w:nsid w:val="443E42E3"/>
    <w:multiLevelType w:val="multilevel"/>
    <w:tmpl w:val="443E42E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58AD35EB"/>
    <w:multiLevelType w:val="multilevel"/>
    <w:tmpl w:val="58AD35E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59111C98"/>
    <w:multiLevelType w:val="multilevel"/>
    <w:tmpl w:val="59111C98"/>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3">
    <w:nsid w:val="61E60F00"/>
    <w:multiLevelType w:val="multilevel"/>
    <w:tmpl w:val="61E60F00"/>
    <w:lvl w:ilvl="0" w:tentative="0">
      <w:start w:val="1"/>
      <w:numFmt w:val="bullet"/>
      <w:lvlText w:val="•"/>
      <w:lvlJc w:val="left"/>
      <w:pPr>
        <w:tabs>
          <w:tab w:val="left" w:pos="420"/>
        </w:tabs>
        <w:ind w:left="840" w:hanging="420"/>
      </w:pPr>
      <w:rPr>
        <w:rFonts w:hint="default" w:ascii="Arial" w:hAnsi="Arial" w:cs="Symbol"/>
      </w:rPr>
    </w:lvl>
    <w:lvl w:ilvl="1" w:tentative="0">
      <w:start w:val="1"/>
      <w:numFmt w:val="bullet"/>
      <w:lvlText w:val="-"/>
      <w:lvlJc w:val="left"/>
      <w:pPr>
        <w:tabs>
          <w:tab w:val="left" w:pos="840"/>
        </w:tabs>
        <w:ind w:left="1260" w:hanging="420"/>
      </w:pPr>
      <w:rPr>
        <w:rFonts w:hint="default" w:ascii="Verdana" w:hAnsi="Verdana"/>
      </w:rPr>
    </w:lvl>
    <w:lvl w:ilvl="2" w:tentative="0">
      <w:start w:val="1"/>
      <w:numFmt w:val="bullet"/>
      <w:lvlText w:val=""/>
      <w:lvlJc w:val="left"/>
      <w:pPr>
        <w:tabs>
          <w:tab w:val="left" w:pos="1260"/>
        </w:tabs>
        <w:ind w:left="1680" w:hanging="420"/>
      </w:pPr>
      <w:rPr>
        <w:rFonts w:hint="default" w:ascii="MS Mincho" w:hAnsi="MS Mincho"/>
      </w:rPr>
    </w:lvl>
    <w:lvl w:ilvl="3" w:tentative="0">
      <w:start w:val="1"/>
      <w:numFmt w:val="bullet"/>
      <w:lvlText w:val=""/>
      <w:lvlJc w:val="left"/>
      <w:pPr>
        <w:tabs>
          <w:tab w:val="left" w:pos="1680"/>
        </w:tabs>
        <w:ind w:left="2100" w:hanging="420"/>
      </w:pPr>
      <w:rPr>
        <w:rFonts w:hint="default" w:ascii="MS Mincho" w:hAnsi="MS Mincho"/>
      </w:rPr>
    </w:lvl>
    <w:lvl w:ilvl="4" w:tentative="0">
      <w:start w:val="1"/>
      <w:numFmt w:val="bullet"/>
      <w:lvlText w:val=""/>
      <w:lvlJc w:val="left"/>
      <w:pPr>
        <w:tabs>
          <w:tab w:val="left" w:pos="2100"/>
        </w:tabs>
        <w:ind w:left="2520" w:hanging="420"/>
      </w:pPr>
      <w:rPr>
        <w:rFonts w:hint="default" w:ascii="MS Mincho" w:hAnsi="MS Mincho"/>
      </w:rPr>
    </w:lvl>
    <w:lvl w:ilvl="5" w:tentative="0">
      <w:start w:val="1"/>
      <w:numFmt w:val="bullet"/>
      <w:lvlText w:val=""/>
      <w:lvlJc w:val="left"/>
      <w:pPr>
        <w:tabs>
          <w:tab w:val="left" w:pos="2520"/>
        </w:tabs>
        <w:ind w:left="2940" w:hanging="420"/>
      </w:pPr>
      <w:rPr>
        <w:rFonts w:hint="default" w:ascii="MS Mincho" w:hAnsi="MS Mincho"/>
      </w:rPr>
    </w:lvl>
    <w:lvl w:ilvl="6" w:tentative="0">
      <w:start w:val="1"/>
      <w:numFmt w:val="bullet"/>
      <w:lvlText w:val=""/>
      <w:lvlJc w:val="left"/>
      <w:pPr>
        <w:tabs>
          <w:tab w:val="left" w:pos="2940"/>
        </w:tabs>
        <w:ind w:left="3360" w:hanging="420"/>
      </w:pPr>
      <w:rPr>
        <w:rFonts w:hint="default" w:ascii="MS Mincho" w:hAnsi="MS Mincho"/>
      </w:rPr>
    </w:lvl>
    <w:lvl w:ilvl="7" w:tentative="0">
      <w:start w:val="1"/>
      <w:numFmt w:val="bullet"/>
      <w:lvlText w:val=""/>
      <w:lvlJc w:val="left"/>
      <w:pPr>
        <w:tabs>
          <w:tab w:val="left" w:pos="3360"/>
        </w:tabs>
        <w:ind w:left="3780" w:hanging="420"/>
      </w:pPr>
      <w:rPr>
        <w:rFonts w:hint="default" w:ascii="MS Mincho" w:hAnsi="MS Mincho"/>
      </w:rPr>
    </w:lvl>
    <w:lvl w:ilvl="8" w:tentative="0">
      <w:start w:val="1"/>
      <w:numFmt w:val="bullet"/>
      <w:lvlText w:val=""/>
      <w:lvlJc w:val="left"/>
      <w:pPr>
        <w:tabs>
          <w:tab w:val="left" w:pos="3780"/>
        </w:tabs>
        <w:ind w:left="4200" w:hanging="420"/>
      </w:pPr>
      <w:rPr>
        <w:rFonts w:hint="default" w:ascii="MS Mincho" w:hAnsi="MS Mincho"/>
      </w:rPr>
    </w:lvl>
  </w:abstractNum>
  <w:num w:numId="1">
    <w:abstractNumId w:val="4"/>
  </w:num>
  <w:num w:numId="2">
    <w:abstractNumId w:val="8"/>
  </w:num>
  <w:num w:numId="3">
    <w:abstractNumId w:val="0"/>
  </w:num>
  <w:num w:numId="4">
    <w:abstractNumId w:val="1"/>
  </w:num>
  <w:num w:numId="5">
    <w:abstractNumId w:val="11"/>
  </w:num>
  <w:num w:numId="6">
    <w:abstractNumId w:val="6"/>
  </w:num>
  <w:num w:numId="7">
    <w:abstractNumId w:val="9"/>
  </w:num>
  <w:num w:numId="8">
    <w:abstractNumId w:val="10"/>
  </w:num>
  <w:num w:numId="9">
    <w:abstractNumId w:val="12"/>
  </w:num>
  <w:num w:numId="10">
    <w:abstractNumId w:val="7"/>
  </w:num>
  <w:num w:numId="11">
    <w:abstractNumId w:val="5"/>
  </w:num>
  <w:num w:numId="12">
    <w:abstractNumId w:val="2"/>
  </w:num>
  <w:num w:numId="13">
    <w:abstractNumId w:val="13"/>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6ED5"/>
    <w:rsid w:val="0003539F"/>
    <w:rsid w:val="00037902"/>
    <w:rsid w:val="00041DB0"/>
    <w:rsid w:val="00050423"/>
    <w:rsid w:val="00051F4E"/>
    <w:rsid w:val="000529AC"/>
    <w:rsid w:val="00072FB0"/>
    <w:rsid w:val="00080236"/>
    <w:rsid w:val="000903FF"/>
    <w:rsid w:val="00093DF3"/>
    <w:rsid w:val="00094406"/>
    <w:rsid w:val="00094788"/>
    <w:rsid w:val="000A15BE"/>
    <w:rsid w:val="000B426A"/>
    <w:rsid w:val="000C1A96"/>
    <w:rsid w:val="000C61B3"/>
    <w:rsid w:val="000C641B"/>
    <w:rsid w:val="000D0462"/>
    <w:rsid w:val="000E2433"/>
    <w:rsid w:val="000E4FDD"/>
    <w:rsid w:val="000E5081"/>
    <w:rsid w:val="000F28CA"/>
    <w:rsid w:val="00103906"/>
    <w:rsid w:val="00110D37"/>
    <w:rsid w:val="00142961"/>
    <w:rsid w:val="00146168"/>
    <w:rsid w:val="001470AA"/>
    <w:rsid w:val="00151A45"/>
    <w:rsid w:val="00153BF7"/>
    <w:rsid w:val="0016113B"/>
    <w:rsid w:val="001632AB"/>
    <w:rsid w:val="0016410B"/>
    <w:rsid w:val="001703E0"/>
    <w:rsid w:val="001709DE"/>
    <w:rsid w:val="00172A27"/>
    <w:rsid w:val="001754AE"/>
    <w:rsid w:val="00182E3F"/>
    <w:rsid w:val="00185BB7"/>
    <w:rsid w:val="0018732E"/>
    <w:rsid w:val="001916D8"/>
    <w:rsid w:val="00191912"/>
    <w:rsid w:val="00193D53"/>
    <w:rsid w:val="00195F46"/>
    <w:rsid w:val="001A0460"/>
    <w:rsid w:val="001B3634"/>
    <w:rsid w:val="001C1894"/>
    <w:rsid w:val="001C196F"/>
    <w:rsid w:val="001C6389"/>
    <w:rsid w:val="001D1287"/>
    <w:rsid w:val="001D54B6"/>
    <w:rsid w:val="001D6ED6"/>
    <w:rsid w:val="001E125B"/>
    <w:rsid w:val="001E262F"/>
    <w:rsid w:val="001E2F0A"/>
    <w:rsid w:val="001F1BB1"/>
    <w:rsid w:val="001F415E"/>
    <w:rsid w:val="001F6E58"/>
    <w:rsid w:val="0020406B"/>
    <w:rsid w:val="00212872"/>
    <w:rsid w:val="002157E9"/>
    <w:rsid w:val="00216169"/>
    <w:rsid w:val="002240E1"/>
    <w:rsid w:val="00224366"/>
    <w:rsid w:val="00224A1A"/>
    <w:rsid w:val="00227DF5"/>
    <w:rsid w:val="002320CA"/>
    <w:rsid w:val="002401EC"/>
    <w:rsid w:val="002418CC"/>
    <w:rsid w:val="00243B44"/>
    <w:rsid w:val="00244ABB"/>
    <w:rsid w:val="00247A67"/>
    <w:rsid w:val="00251814"/>
    <w:rsid w:val="00255DF8"/>
    <w:rsid w:val="00256B05"/>
    <w:rsid w:val="00261C72"/>
    <w:rsid w:val="00266F1B"/>
    <w:rsid w:val="0026766E"/>
    <w:rsid w:val="002748A9"/>
    <w:rsid w:val="00282069"/>
    <w:rsid w:val="00283D47"/>
    <w:rsid w:val="002A0961"/>
    <w:rsid w:val="002B4661"/>
    <w:rsid w:val="002B6DE0"/>
    <w:rsid w:val="002C4448"/>
    <w:rsid w:val="002C68AC"/>
    <w:rsid w:val="002C7CCD"/>
    <w:rsid w:val="002D151C"/>
    <w:rsid w:val="002E536D"/>
    <w:rsid w:val="002F0E7A"/>
    <w:rsid w:val="002F2535"/>
    <w:rsid w:val="002F5687"/>
    <w:rsid w:val="002F5A8D"/>
    <w:rsid w:val="00302F20"/>
    <w:rsid w:val="00303936"/>
    <w:rsid w:val="00314748"/>
    <w:rsid w:val="00315688"/>
    <w:rsid w:val="00316046"/>
    <w:rsid w:val="00317501"/>
    <w:rsid w:val="00322EE2"/>
    <w:rsid w:val="00325902"/>
    <w:rsid w:val="003265A9"/>
    <w:rsid w:val="003275A3"/>
    <w:rsid w:val="00330394"/>
    <w:rsid w:val="00332576"/>
    <w:rsid w:val="00332D30"/>
    <w:rsid w:val="00333C7F"/>
    <w:rsid w:val="0033573E"/>
    <w:rsid w:val="00335FF9"/>
    <w:rsid w:val="0034009F"/>
    <w:rsid w:val="00340631"/>
    <w:rsid w:val="00343CE4"/>
    <w:rsid w:val="00344E48"/>
    <w:rsid w:val="003462E3"/>
    <w:rsid w:val="00346679"/>
    <w:rsid w:val="003466BB"/>
    <w:rsid w:val="0035253F"/>
    <w:rsid w:val="00361D52"/>
    <w:rsid w:val="003704FF"/>
    <w:rsid w:val="00370D7F"/>
    <w:rsid w:val="00372A00"/>
    <w:rsid w:val="00373667"/>
    <w:rsid w:val="00376E4B"/>
    <w:rsid w:val="00376EEB"/>
    <w:rsid w:val="00383F83"/>
    <w:rsid w:val="003872BB"/>
    <w:rsid w:val="003912DD"/>
    <w:rsid w:val="003954DC"/>
    <w:rsid w:val="00396543"/>
    <w:rsid w:val="00396F31"/>
    <w:rsid w:val="00397BA3"/>
    <w:rsid w:val="003A1DCE"/>
    <w:rsid w:val="003A4365"/>
    <w:rsid w:val="003A6BBE"/>
    <w:rsid w:val="003A7EAD"/>
    <w:rsid w:val="003B53DF"/>
    <w:rsid w:val="003D44C6"/>
    <w:rsid w:val="003E4C75"/>
    <w:rsid w:val="003E6E56"/>
    <w:rsid w:val="003F7415"/>
    <w:rsid w:val="003F7CF7"/>
    <w:rsid w:val="004003D2"/>
    <w:rsid w:val="0040065B"/>
    <w:rsid w:val="00415008"/>
    <w:rsid w:val="00416831"/>
    <w:rsid w:val="004209E1"/>
    <w:rsid w:val="0042238B"/>
    <w:rsid w:val="004322B2"/>
    <w:rsid w:val="00450C17"/>
    <w:rsid w:val="004527B1"/>
    <w:rsid w:val="004545A5"/>
    <w:rsid w:val="004608F6"/>
    <w:rsid w:val="004724B4"/>
    <w:rsid w:val="00472B06"/>
    <w:rsid w:val="00477655"/>
    <w:rsid w:val="0048120F"/>
    <w:rsid w:val="00482706"/>
    <w:rsid w:val="00490434"/>
    <w:rsid w:val="004927C9"/>
    <w:rsid w:val="004A142B"/>
    <w:rsid w:val="004A5D1D"/>
    <w:rsid w:val="004A699E"/>
    <w:rsid w:val="004B44A9"/>
    <w:rsid w:val="004B6AC5"/>
    <w:rsid w:val="004C1A54"/>
    <w:rsid w:val="004D6A3B"/>
    <w:rsid w:val="004E565D"/>
    <w:rsid w:val="004F5994"/>
    <w:rsid w:val="00500F45"/>
    <w:rsid w:val="00503921"/>
    <w:rsid w:val="00507A00"/>
    <w:rsid w:val="005176E7"/>
    <w:rsid w:val="00523589"/>
    <w:rsid w:val="00523668"/>
    <w:rsid w:val="00523AD9"/>
    <w:rsid w:val="00523D5E"/>
    <w:rsid w:val="00527033"/>
    <w:rsid w:val="00531B5B"/>
    <w:rsid w:val="0053218A"/>
    <w:rsid w:val="00532500"/>
    <w:rsid w:val="005349A5"/>
    <w:rsid w:val="00541B22"/>
    <w:rsid w:val="00543E8F"/>
    <w:rsid w:val="00546436"/>
    <w:rsid w:val="00547723"/>
    <w:rsid w:val="00557AAE"/>
    <w:rsid w:val="00561DA4"/>
    <w:rsid w:val="00564BCB"/>
    <w:rsid w:val="00567F8C"/>
    <w:rsid w:val="00571CB9"/>
    <w:rsid w:val="00571E78"/>
    <w:rsid w:val="00572F6E"/>
    <w:rsid w:val="00574776"/>
    <w:rsid w:val="0058526A"/>
    <w:rsid w:val="00592701"/>
    <w:rsid w:val="0059321F"/>
    <w:rsid w:val="00593818"/>
    <w:rsid w:val="005A05C6"/>
    <w:rsid w:val="005A0FE9"/>
    <w:rsid w:val="005A1041"/>
    <w:rsid w:val="005B2D7D"/>
    <w:rsid w:val="005B4C0C"/>
    <w:rsid w:val="005B77A5"/>
    <w:rsid w:val="005C3C86"/>
    <w:rsid w:val="005C41D1"/>
    <w:rsid w:val="005C6B42"/>
    <w:rsid w:val="005D6A1C"/>
    <w:rsid w:val="005E2C89"/>
    <w:rsid w:val="005E6492"/>
    <w:rsid w:val="005F26E5"/>
    <w:rsid w:val="00604264"/>
    <w:rsid w:val="00611232"/>
    <w:rsid w:val="00614E28"/>
    <w:rsid w:val="00617327"/>
    <w:rsid w:val="00617EE7"/>
    <w:rsid w:val="0062027E"/>
    <w:rsid w:val="00620288"/>
    <w:rsid w:val="00620D7C"/>
    <w:rsid w:val="00622ABB"/>
    <w:rsid w:val="006231ED"/>
    <w:rsid w:val="00624C23"/>
    <w:rsid w:val="006310C5"/>
    <w:rsid w:val="00633E43"/>
    <w:rsid w:val="0063534A"/>
    <w:rsid w:val="006364B6"/>
    <w:rsid w:val="00637D11"/>
    <w:rsid w:val="00640223"/>
    <w:rsid w:val="00640B94"/>
    <w:rsid w:val="00642298"/>
    <w:rsid w:val="00645EA6"/>
    <w:rsid w:val="00646EAA"/>
    <w:rsid w:val="006501AA"/>
    <w:rsid w:val="006519C3"/>
    <w:rsid w:val="006536B8"/>
    <w:rsid w:val="00670F55"/>
    <w:rsid w:val="00676C72"/>
    <w:rsid w:val="00680FFF"/>
    <w:rsid w:val="00691376"/>
    <w:rsid w:val="00691620"/>
    <w:rsid w:val="006922EF"/>
    <w:rsid w:val="00694FB9"/>
    <w:rsid w:val="006C2229"/>
    <w:rsid w:val="006C55B1"/>
    <w:rsid w:val="006C69C1"/>
    <w:rsid w:val="006C7C51"/>
    <w:rsid w:val="006D11DE"/>
    <w:rsid w:val="006D3D89"/>
    <w:rsid w:val="006E01C3"/>
    <w:rsid w:val="006E392C"/>
    <w:rsid w:val="006F4852"/>
    <w:rsid w:val="00700636"/>
    <w:rsid w:val="007009EE"/>
    <w:rsid w:val="00701BF9"/>
    <w:rsid w:val="007036F7"/>
    <w:rsid w:val="00703B14"/>
    <w:rsid w:val="00703C75"/>
    <w:rsid w:val="0070691A"/>
    <w:rsid w:val="0070693A"/>
    <w:rsid w:val="00710A56"/>
    <w:rsid w:val="00717A38"/>
    <w:rsid w:val="0073048C"/>
    <w:rsid w:val="0073053B"/>
    <w:rsid w:val="00735DC1"/>
    <w:rsid w:val="007427BB"/>
    <w:rsid w:val="007440A2"/>
    <w:rsid w:val="00745143"/>
    <w:rsid w:val="007456A8"/>
    <w:rsid w:val="00747C56"/>
    <w:rsid w:val="007501AC"/>
    <w:rsid w:val="0075050D"/>
    <w:rsid w:val="00761D18"/>
    <w:rsid w:val="00762F1B"/>
    <w:rsid w:val="0076682E"/>
    <w:rsid w:val="0077581A"/>
    <w:rsid w:val="0077761A"/>
    <w:rsid w:val="00784828"/>
    <w:rsid w:val="00785A2A"/>
    <w:rsid w:val="00786A2C"/>
    <w:rsid w:val="00787FA9"/>
    <w:rsid w:val="00793E50"/>
    <w:rsid w:val="007A0CD8"/>
    <w:rsid w:val="007A28A7"/>
    <w:rsid w:val="007B0FD9"/>
    <w:rsid w:val="007B2945"/>
    <w:rsid w:val="007B2B56"/>
    <w:rsid w:val="007B458B"/>
    <w:rsid w:val="007C4328"/>
    <w:rsid w:val="007C440F"/>
    <w:rsid w:val="007C5FAC"/>
    <w:rsid w:val="007E4A23"/>
    <w:rsid w:val="007F16AC"/>
    <w:rsid w:val="007F20D9"/>
    <w:rsid w:val="007F39F4"/>
    <w:rsid w:val="00802A15"/>
    <w:rsid w:val="0080767E"/>
    <w:rsid w:val="00810C42"/>
    <w:rsid w:val="00815CD7"/>
    <w:rsid w:val="00816EF3"/>
    <w:rsid w:val="008266C4"/>
    <w:rsid w:val="008412CD"/>
    <w:rsid w:val="0084276C"/>
    <w:rsid w:val="0084332A"/>
    <w:rsid w:val="00847621"/>
    <w:rsid w:val="00852635"/>
    <w:rsid w:val="0085443B"/>
    <w:rsid w:val="00857E93"/>
    <w:rsid w:val="00857EEE"/>
    <w:rsid w:val="008652E8"/>
    <w:rsid w:val="00870679"/>
    <w:rsid w:val="00870E40"/>
    <w:rsid w:val="00886E49"/>
    <w:rsid w:val="00886EA7"/>
    <w:rsid w:val="00892B4C"/>
    <w:rsid w:val="00893268"/>
    <w:rsid w:val="0089344F"/>
    <w:rsid w:val="00894520"/>
    <w:rsid w:val="008A72B5"/>
    <w:rsid w:val="008B3130"/>
    <w:rsid w:val="008B547D"/>
    <w:rsid w:val="008B5C48"/>
    <w:rsid w:val="008B6033"/>
    <w:rsid w:val="008B7F10"/>
    <w:rsid w:val="008C0445"/>
    <w:rsid w:val="008E728A"/>
    <w:rsid w:val="008F255E"/>
    <w:rsid w:val="008F3DC8"/>
    <w:rsid w:val="00903A35"/>
    <w:rsid w:val="00906E07"/>
    <w:rsid w:val="00921F00"/>
    <w:rsid w:val="00922624"/>
    <w:rsid w:val="00923BDA"/>
    <w:rsid w:val="0093617A"/>
    <w:rsid w:val="009411A5"/>
    <w:rsid w:val="00946A7C"/>
    <w:rsid w:val="00950DB1"/>
    <w:rsid w:val="00952C83"/>
    <w:rsid w:val="00957418"/>
    <w:rsid w:val="009610C6"/>
    <w:rsid w:val="0096194F"/>
    <w:rsid w:val="00966E7D"/>
    <w:rsid w:val="00970630"/>
    <w:rsid w:val="00971A1F"/>
    <w:rsid w:val="009734B7"/>
    <w:rsid w:val="00983FE2"/>
    <w:rsid w:val="00985D03"/>
    <w:rsid w:val="00986B97"/>
    <w:rsid w:val="00990C3C"/>
    <w:rsid w:val="00994A41"/>
    <w:rsid w:val="009A21E7"/>
    <w:rsid w:val="009A380A"/>
    <w:rsid w:val="009A3A36"/>
    <w:rsid w:val="009A4F31"/>
    <w:rsid w:val="009B05AD"/>
    <w:rsid w:val="009B18A3"/>
    <w:rsid w:val="009B3722"/>
    <w:rsid w:val="009B5557"/>
    <w:rsid w:val="009C154E"/>
    <w:rsid w:val="009C362B"/>
    <w:rsid w:val="009D0F39"/>
    <w:rsid w:val="009D1236"/>
    <w:rsid w:val="009D6400"/>
    <w:rsid w:val="009D7770"/>
    <w:rsid w:val="009D7C12"/>
    <w:rsid w:val="009F65A8"/>
    <w:rsid w:val="009F7747"/>
    <w:rsid w:val="00A01570"/>
    <w:rsid w:val="00A043F5"/>
    <w:rsid w:val="00A05A33"/>
    <w:rsid w:val="00A066A9"/>
    <w:rsid w:val="00A14F22"/>
    <w:rsid w:val="00A171E5"/>
    <w:rsid w:val="00A17810"/>
    <w:rsid w:val="00A20C89"/>
    <w:rsid w:val="00A21523"/>
    <w:rsid w:val="00A26720"/>
    <w:rsid w:val="00A32A3D"/>
    <w:rsid w:val="00A33BD9"/>
    <w:rsid w:val="00A37B70"/>
    <w:rsid w:val="00A40C3F"/>
    <w:rsid w:val="00A4182C"/>
    <w:rsid w:val="00A50B2A"/>
    <w:rsid w:val="00A54A48"/>
    <w:rsid w:val="00A551E2"/>
    <w:rsid w:val="00A56849"/>
    <w:rsid w:val="00A632C7"/>
    <w:rsid w:val="00A656E5"/>
    <w:rsid w:val="00A66A5B"/>
    <w:rsid w:val="00A739F1"/>
    <w:rsid w:val="00A75501"/>
    <w:rsid w:val="00A809DB"/>
    <w:rsid w:val="00A81D1F"/>
    <w:rsid w:val="00A86EB5"/>
    <w:rsid w:val="00A91773"/>
    <w:rsid w:val="00A918D1"/>
    <w:rsid w:val="00A92854"/>
    <w:rsid w:val="00A92CA8"/>
    <w:rsid w:val="00AA1889"/>
    <w:rsid w:val="00AA195C"/>
    <w:rsid w:val="00AA6939"/>
    <w:rsid w:val="00AB0AAF"/>
    <w:rsid w:val="00AB251B"/>
    <w:rsid w:val="00AB5108"/>
    <w:rsid w:val="00AB6D34"/>
    <w:rsid w:val="00AC24BF"/>
    <w:rsid w:val="00AD37AB"/>
    <w:rsid w:val="00AD56C4"/>
    <w:rsid w:val="00AD7FE5"/>
    <w:rsid w:val="00AE5530"/>
    <w:rsid w:val="00AE6CFC"/>
    <w:rsid w:val="00AF390A"/>
    <w:rsid w:val="00B031EF"/>
    <w:rsid w:val="00B11405"/>
    <w:rsid w:val="00B138E9"/>
    <w:rsid w:val="00B179E3"/>
    <w:rsid w:val="00B2019A"/>
    <w:rsid w:val="00B245AA"/>
    <w:rsid w:val="00B34FF8"/>
    <w:rsid w:val="00B43645"/>
    <w:rsid w:val="00B44304"/>
    <w:rsid w:val="00B54730"/>
    <w:rsid w:val="00B56091"/>
    <w:rsid w:val="00B60F6C"/>
    <w:rsid w:val="00B61989"/>
    <w:rsid w:val="00B64B83"/>
    <w:rsid w:val="00B663FA"/>
    <w:rsid w:val="00B76824"/>
    <w:rsid w:val="00B80ABA"/>
    <w:rsid w:val="00B81C3C"/>
    <w:rsid w:val="00B81EF9"/>
    <w:rsid w:val="00B87AB7"/>
    <w:rsid w:val="00B91944"/>
    <w:rsid w:val="00B93C35"/>
    <w:rsid w:val="00BA72B7"/>
    <w:rsid w:val="00BA7674"/>
    <w:rsid w:val="00BB08C4"/>
    <w:rsid w:val="00BD72A5"/>
    <w:rsid w:val="00BE22EC"/>
    <w:rsid w:val="00BE5D22"/>
    <w:rsid w:val="00BF526E"/>
    <w:rsid w:val="00BF743C"/>
    <w:rsid w:val="00C07C74"/>
    <w:rsid w:val="00C12784"/>
    <w:rsid w:val="00C16276"/>
    <w:rsid w:val="00C2142E"/>
    <w:rsid w:val="00C22FCF"/>
    <w:rsid w:val="00C2334E"/>
    <w:rsid w:val="00C23662"/>
    <w:rsid w:val="00C26DBB"/>
    <w:rsid w:val="00C2713A"/>
    <w:rsid w:val="00C30441"/>
    <w:rsid w:val="00C31BF7"/>
    <w:rsid w:val="00C34FD0"/>
    <w:rsid w:val="00C43F75"/>
    <w:rsid w:val="00C625E3"/>
    <w:rsid w:val="00C67AE3"/>
    <w:rsid w:val="00C71AD4"/>
    <w:rsid w:val="00C71ECB"/>
    <w:rsid w:val="00C75CD1"/>
    <w:rsid w:val="00C76271"/>
    <w:rsid w:val="00C829B3"/>
    <w:rsid w:val="00C855D2"/>
    <w:rsid w:val="00C925E7"/>
    <w:rsid w:val="00C94F58"/>
    <w:rsid w:val="00CA09F5"/>
    <w:rsid w:val="00CA152B"/>
    <w:rsid w:val="00CB03D7"/>
    <w:rsid w:val="00CB046A"/>
    <w:rsid w:val="00CB7FB3"/>
    <w:rsid w:val="00CC01B0"/>
    <w:rsid w:val="00CC11A8"/>
    <w:rsid w:val="00CD5A1B"/>
    <w:rsid w:val="00CD5E4A"/>
    <w:rsid w:val="00CD62C4"/>
    <w:rsid w:val="00CE32ED"/>
    <w:rsid w:val="00CF0062"/>
    <w:rsid w:val="00CF25E8"/>
    <w:rsid w:val="00CF4293"/>
    <w:rsid w:val="00CF58DF"/>
    <w:rsid w:val="00D0417F"/>
    <w:rsid w:val="00D06F00"/>
    <w:rsid w:val="00D14578"/>
    <w:rsid w:val="00D147AF"/>
    <w:rsid w:val="00D15176"/>
    <w:rsid w:val="00D207BA"/>
    <w:rsid w:val="00D24465"/>
    <w:rsid w:val="00D27639"/>
    <w:rsid w:val="00D27BF8"/>
    <w:rsid w:val="00D30D70"/>
    <w:rsid w:val="00D30FF6"/>
    <w:rsid w:val="00D41C37"/>
    <w:rsid w:val="00D42F46"/>
    <w:rsid w:val="00D47212"/>
    <w:rsid w:val="00D545FE"/>
    <w:rsid w:val="00D54F1B"/>
    <w:rsid w:val="00D57342"/>
    <w:rsid w:val="00D57D7B"/>
    <w:rsid w:val="00D60DA9"/>
    <w:rsid w:val="00D714E2"/>
    <w:rsid w:val="00D7289E"/>
    <w:rsid w:val="00D82CF5"/>
    <w:rsid w:val="00D838A0"/>
    <w:rsid w:val="00D871C4"/>
    <w:rsid w:val="00D8785A"/>
    <w:rsid w:val="00D91349"/>
    <w:rsid w:val="00D92E3B"/>
    <w:rsid w:val="00D96622"/>
    <w:rsid w:val="00D970FD"/>
    <w:rsid w:val="00DB0E95"/>
    <w:rsid w:val="00DB12AD"/>
    <w:rsid w:val="00DC0C4F"/>
    <w:rsid w:val="00DC0EA4"/>
    <w:rsid w:val="00DC1213"/>
    <w:rsid w:val="00DC6E1E"/>
    <w:rsid w:val="00DC70F6"/>
    <w:rsid w:val="00DC724A"/>
    <w:rsid w:val="00DD5F49"/>
    <w:rsid w:val="00DD6A3A"/>
    <w:rsid w:val="00DE433A"/>
    <w:rsid w:val="00DF4482"/>
    <w:rsid w:val="00E05651"/>
    <w:rsid w:val="00E068AA"/>
    <w:rsid w:val="00E10AB6"/>
    <w:rsid w:val="00E13A3E"/>
    <w:rsid w:val="00E17465"/>
    <w:rsid w:val="00E23180"/>
    <w:rsid w:val="00E258FC"/>
    <w:rsid w:val="00E30348"/>
    <w:rsid w:val="00E339EA"/>
    <w:rsid w:val="00E52879"/>
    <w:rsid w:val="00E55791"/>
    <w:rsid w:val="00E56340"/>
    <w:rsid w:val="00E67009"/>
    <w:rsid w:val="00E704FD"/>
    <w:rsid w:val="00E71548"/>
    <w:rsid w:val="00E74935"/>
    <w:rsid w:val="00E74DE5"/>
    <w:rsid w:val="00E74E41"/>
    <w:rsid w:val="00E75D6F"/>
    <w:rsid w:val="00E845BB"/>
    <w:rsid w:val="00E8587B"/>
    <w:rsid w:val="00E8609B"/>
    <w:rsid w:val="00E92BF0"/>
    <w:rsid w:val="00E94718"/>
    <w:rsid w:val="00E95FFE"/>
    <w:rsid w:val="00EA0820"/>
    <w:rsid w:val="00EB41D6"/>
    <w:rsid w:val="00EB70EA"/>
    <w:rsid w:val="00ED0DCA"/>
    <w:rsid w:val="00ED47A7"/>
    <w:rsid w:val="00EE0E5A"/>
    <w:rsid w:val="00EE1EE7"/>
    <w:rsid w:val="00EE2CFE"/>
    <w:rsid w:val="00EE4717"/>
    <w:rsid w:val="00EF066F"/>
    <w:rsid w:val="00EF0720"/>
    <w:rsid w:val="00F019E9"/>
    <w:rsid w:val="00F05DFC"/>
    <w:rsid w:val="00F072E8"/>
    <w:rsid w:val="00F143A1"/>
    <w:rsid w:val="00F1480F"/>
    <w:rsid w:val="00F179F3"/>
    <w:rsid w:val="00F2072B"/>
    <w:rsid w:val="00F26201"/>
    <w:rsid w:val="00F31101"/>
    <w:rsid w:val="00F34277"/>
    <w:rsid w:val="00F40A24"/>
    <w:rsid w:val="00F4372E"/>
    <w:rsid w:val="00F453FE"/>
    <w:rsid w:val="00F45881"/>
    <w:rsid w:val="00F47F8B"/>
    <w:rsid w:val="00F51C8D"/>
    <w:rsid w:val="00F53B80"/>
    <w:rsid w:val="00F60F62"/>
    <w:rsid w:val="00F61430"/>
    <w:rsid w:val="00F71825"/>
    <w:rsid w:val="00F80169"/>
    <w:rsid w:val="00F81514"/>
    <w:rsid w:val="00F82200"/>
    <w:rsid w:val="00F86352"/>
    <w:rsid w:val="00F87040"/>
    <w:rsid w:val="00F95A32"/>
    <w:rsid w:val="00FA3FD9"/>
    <w:rsid w:val="00FA4C0C"/>
    <w:rsid w:val="00FA6AF6"/>
    <w:rsid w:val="00FA7D65"/>
    <w:rsid w:val="00FB1423"/>
    <w:rsid w:val="00FB593A"/>
    <w:rsid w:val="00FC20D8"/>
    <w:rsid w:val="00FC72FB"/>
    <w:rsid w:val="00FD1B1D"/>
    <w:rsid w:val="00FD3122"/>
    <w:rsid w:val="00FD7512"/>
    <w:rsid w:val="00FE0900"/>
    <w:rsid w:val="00FE6BA7"/>
    <w:rsid w:val="010D0267"/>
    <w:rsid w:val="010D6400"/>
    <w:rsid w:val="01116D56"/>
    <w:rsid w:val="0117014F"/>
    <w:rsid w:val="013B49E5"/>
    <w:rsid w:val="01466B34"/>
    <w:rsid w:val="015462A2"/>
    <w:rsid w:val="01564EBD"/>
    <w:rsid w:val="016B1BE3"/>
    <w:rsid w:val="017D0354"/>
    <w:rsid w:val="01804EE8"/>
    <w:rsid w:val="01821808"/>
    <w:rsid w:val="01864AED"/>
    <w:rsid w:val="01881F56"/>
    <w:rsid w:val="01996424"/>
    <w:rsid w:val="01AE03CB"/>
    <w:rsid w:val="01B74129"/>
    <w:rsid w:val="01E24E7A"/>
    <w:rsid w:val="01E847E5"/>
    <w:rsid w:val="01E96EEF"/>
    <w:rsid w:val="0201394B"/>
    <w:rsid w:val="0206750A"/>
    <w:rsid w:val="02081A95"/>
    <w:rsid w:val="020C3735"/>
    <w:rsid w:val="0213167F"/>
    <w:rsid w:val="02156AB1"/>
    <w:rsid w:val="021919F7"/>
    <w:rsid w:val="021D2D7C"/>
    <w:rsid w:val="021F5697"/>
    <w:rsid w:val="022C52F4"/>
    <w:rsid w:val="022F74E1"/>
    <w:rsid w:val="0236558C"/>
    <w:rsid w:val="023E4DC6"/>
    <w:rsid w:val="024379C8"/>
    <w:rsid w:val="02443513"/>
    <w:rsid w:val="024C16A6"/>
    <w:rsid w:val="026E4BCA"/>
    <w:rsid w:val="02740645"/>
    <w:rsid w:val="027B6543"/>
    <w:rsid w:val="027C2452"/>
    <w:rsid w:val="028C553E"/>
    <w:rsid w:val="0294765E"/>
    <w:rsid w:val="02A23A7B"/>
    <w:rsid w:val="02BC10ED"/>
    <w:rsid w:val="02BC2AE3"/>
    <w:rsid w:val="02BE42E8"/>
    <w:rsid w:val="02C178A5"/>
    <w:rsid w:val="02CF6158"/>
    <w:rsid w:val="02F361E7"/>
    <w:rsid w:val="03022FCA"/>
    <w:rsid w:val="03071604"/>
    <w:rsid w:val="030E2002"/>
    <w:rsid w:val="03130C9A"/>
    <w:rsid w:val="031A6DDF"/>
    <w:rsid w:val="031F3187"/>
    <w:rsid w:val="032219B3"/>
    <w:rsid w:val="03292E3E"/>
    <w:rsid w:val="032F46D3"/>
    <w:rsid w:val="032F6FE9"/>
    <w:rsid w:val="03370ECA"/>
    <w:rsid w:val="033C626F"/>
    <w:rsid w:val="034058B6"/>
    <w:rsid w:val="035F7137"/>
    <w:rsid w:val="0368661B"/>
    <w:rsid w:val="036D1423"/>
    <w:rsid w:val="037A6824"/>
    <w:rsid w:val="038C185D"/>
    <w:rsid w:val="03A5393D"/>
    <w:rsid w:val="03C50660"/>
    <w:rsid w:val="03C52F1A"/>
    <w:rsid w:val="03D9195C"/>
    <w:rsid w:val="03EA180F"/>
    <w:rsid w:val="03EA7678"/>
    <w:rsid w:val="03F50BF8"/>
    <w:rsid w:val="03F757EE"/>
    <w:rsid w:val="03F76D42"/>
    <w:rsid w:val="040D5006"/>
    <w:rsid w:val="040F3BD3"/>
    <w:rsid w:val="04250069"/>
    <w:rsid w:val="042E26EB"/>
    <w:rsid w:val="04332B60"/>
    <w:rsid w:val="044D191B"/>
    <w:rsid w:val="044D1A33"/>
    <w:rsid w:val="045954A1"/>
    <w:rsid w:val="045A00DA"/>
    <w:rsid w:val="045F601A"/>
    <w:rsid w:val="04693B13"/>
    <w:rsid w:val="048E3A0A"/>
    <w:rsid w:val="048F148B"/>
    <w:rsid w:val="04B147BC"/>
    <w:rsid w:val="04BB6B80"/>
    <w:rsid w:val="04BC60C1"/>
    <w:rsid w:val="04BE4571"/>
    <w:rsid w:val="04C200DB"/>
    <w:rsid w:val="04C30E81"/>
    <w:rsid w:val="04CB3BFD"/>
    <w:rsid w:val="04D2235B"/>
    <w:rsid w:val="04D54C4A"/>
    <w:rsid w:val="04D64321"/>
    <w:rsid w:val="04D92E2A"/>
    <w:rsid w:val="04E942AF"/>
    <w:rsid w:val="04F77D5B"/>
    <w:rsid w:val="05072F43"/>
    <w:rsid w:val="050D5D87"/>
    <w:rsid w:val="051569D9"/>
    <w:rsid w:val="051A21ED"/>
    <w:rsid w:val="051A5F1D"/>
    <w:rsid w:val="052615FE"/>
    <w:rsid w:val="053733E3"/>
    <w:rsid w:val="05396067"/>
    <w:rsid w:val="053962A9"/>
    <w:rsid w:val="05421686"/>
    <w:rsid w:val="05425CEB"/>
    <w:rsid w:val="054B7C66"/>
    <w:rsid w:val="054C5A1D"/>
    <w:rsid w:val="054E3F97"/>
    <w:rsid w:val="054F7EC4"/>
    <w:rsid w:val="055F3E8F"/>
    <w:rsid w:val="05631304"/>
    <w:rsid w:val="057D52D8"/>
    <w:rsid w:val="058663AA"/>
    <w:rsid w:val="05965B13"/>
    <w:rsid w:val="05A012C8"/>
    <w:rsid w:val="05AA751F"/>
    <w:rsid w:val="05AB3E4C"/>
    <w:rsid w:val="05B13705"/>
    <w:rsid w:val="05B250B1"/>
    <w:rsid w:val="05B6353A"/>
    <w:rsid w:val="05BF1B7D"/>
    <w:rsid w:val="05C20583"/>
    <w:rsid w:val="05C40254"/>
    <w:rsid w:val="05D45DE8"/>
    <w:rsid w:val="05DD3B0E"/>
    <w:rsid w:val="05ED2BE6"/>
    <w:rsid w:val="05FF12E2"/>
    <w:rsid w:val="060422D9"/>
    <w:rsid w:val="061403A1"/>
    <w:rsid w:val="06152849"/>
    <w:rsid w:val="061E71D7"/>
    <w:rsid w:val="06300F7F"/>
    <w:rsid w:val="063E7ECD"/>
    <w:rsid w:val="06471807"/>
    <w:rsid w:val="064D537E"/>
    <w:rsid w:val="064E112E"/>
    <w:rsid w:val="06541F59"/>
    <w:rsid w:val="06551195"/>
    <w:rsid w:val="065E7372"/>
    <w:rsid w:val="06693AD4"/>
    <w:rsid w:val="067056D9"/>
    <w:rsid w:val="067A5C39"/>
    <w:rsid w:val="067F5C8B"/>
    <w:rsid w:val="06826B27"/>
    <w:rsid w:val="0683733C"/>
    <w:rsid w:val="06883795"/>
    <w:rsid w:val="069258CC"/>
    <w:rsid w:val="06963DDF"/>
    <w:rsid w:val="06976F17"/>
    <w:rsid w:val="069C73D7"/>
    <w:rsid w:val="06A12B72"/>
    <w:rsid w:val="06AF236A"/>
    <w:rsid w:val="06D94F62"/>
    <w:rsid w:val="06E930D6"/>
    <w:rsid w:val="06EA7FE5"/>
    <w:rsid w:val="06F56377"/>
    <w:rsid w:val="06F72E20"/>
    <w:rsid w:val="06F9688C"/>
    <w:rsid w:val="06FA3145"/>
    <w:rsid w:val="070D19ED"/>
    <w:rsid w:val="070E3331"/>
    <w:rsid w:val="070F2B3B"/>
    <w:rsid w:val="0710142E"/>
    <w:rsid w:val="07362663"/>
    <w:rsid w:val="073A689E"/>
    <w:rsid w:val="073C0F1E"/>
    <w:rsid w:val="074F100F"/>
    <w:rsid w:val="07537BF6"/>
    <w:rsid w:val="07573824"/>
    <w:rsid w:val="075A5568"/>
    <w:rsid w:val="075E2523"/>
    <w:rsid w:val="076E6040"/>
    <w:rsid w:val="077046F9"/>
    <w:rsid w:val="0771127E"/>
    <w:rsid w:val="0774651B"/>
    <w:rsid w:val="07773341"/>
    <w:rsid w:val="07816512"/>
    <w:rsid w:val="078B7A99"/>
    <w:rsid w:val="0797540B"/>
    <w:rsid w:val="079E0D8E"/>
    <w:rsid w:val="079E43B3"/>
    <w:rsid w:val="07B73EB6"/>
    <w:rsid w:val="07C51163"/>
    <w:rsid w:val="07C663C5"/>
    <w:rsid w:val="07CD605A"/>
    <w:rsid w:val="07E61182"/>
    <w:rsid w:val="07F63B68"/>
    <w:rsid w:val="07FE43B3"/>
    <w:rsid w:val="07FF469C"/>
    <w:rsid w:val="08067A83"/>
    <w:rsid w:val="080C2DB1"/>
    <w:rsid w:val="0826203F"/>
    <w:rsid w:val="083900EE"/>
    <w:rsid w:val="083C7992"/>
    <w:rsid w:val="08417C3B"/>
    <w:rsid w:val="08442A0C"/>
    <w:rsid w:val="084F55D9"/>
    <w:rsid w:val="085C6310"/>
    <w:rsid w:val="085F6739"/>
    <w:rsid w:val="08676140"/>
    <w:rsid w:val="08686A01"/>
    <w:rsid w:val="086D2356"/>
    <w:rsid w:val="087807B5"/>
    <w:rsid w:val="087C2BF1"/>
    <w:rsid w:val="087D0726"/>
    <w:rsid w:val="089805D5"/>
    <w:rsid w:val="089D4BC3"/>
    <w:rsid w:val="08A367A0"/>
    <w:rsid w:val="08A82006"/>
    <w:rsid w:val="08AD031E"/>
    <w:rsid w:val="08AD693C"/>
    <w:rsid w:val="08B53F7B"/>
    <w:rsid w:val="08BD5962"/>
    <w:rsid w:val="08C22439"/>
    <w:rsid w:val="08CA4673"/>
    <w:rsid w:val="08D545C6"/>
    <w:rsid w:val="08D92F9A"/>
    <w:rsid w:val="08E152BA"/>
    <w:rsid w:val="08E3236B"/>
    <w:rsid w:val="08E41C3F"/>
    <w:rsid w:val="08E427DD"/>
    <w:rsid w:val="08EA42B4"/>
    <w:rsid w:val="08F05345"/>
    <w:rsid w:val="08F76659"/>
    <w:rsid w:val="08FA104A"/>
    <w:rsid w:val="090310F7"/>
    <w:rsid w:val="0908255E"/>
    <w:rsid w:val="091326A6"/>
    <w:rsid w:val="091650F7"/>
    <w:rsid w:val="09203C30"/>
    <w:rsid w:val="09227FD0"/>
    <w:rsid w:val="092A35DC"/>
    <w:rsid w:val="092E6F1B"/>
    <w:rsid w:val="094E5847"/>
    <w:rsid w:val="095B7898"/>
    <w:rsid w:val="09622640"/>
    <w:rsid w:val="096F5AD2"/>
    <w:rsid w:val="09733A93"/>
    <w:rsid w:val="09773AD2"/>
    <w:rsid w:val="09842878"/>
    <w:rsid w:val="09901168"/>
    <w:rsid w:val="099111BE"/>
    <w:rsid w:val="09912D87"/>
    <w:rsid w:val="099D1F0E"/>
    <w:rsid w:val="09A13012"/>
    <w:rsid w:val="09B174F4"/>
    <w:rsid w:val="09B8038E"/>
    <w:rsid w:val="09B807DC"/>
    <w:rsid w:val="09B96487"/>
    <w:rsid w:val="09BA6811"/>
    <w:rsid w:val="09BB1324"/>
    <w:rsid w:val="09BB7E03"/>
    <w:rsid w:val="09BE0882"/>
    <w:rsid w:val="09C36515"/>
    <w:rsid w:val="09D16488"/>
    <w:rsid w:val="09DD5F33"/>
    <w:rsid w:val="09DF284A"/>
    <w:rsid w:val="09E2510B"/>
    <w:rsid w:val="09E2618B"/>
    <w:rsid w:val="09F00295"/>
    <w:rsid w:val="09FB2DEB"/>
    <w:rsid w:val="09FC086D"/>
    <w:rsid w:val="09FD03E9"/>
    <w:rsid w:val="0A002BCE"/>
    <w:rsid w:val="0A0D0A5C"/>
    <w:rsid w:val="0A10638E"/>
    <w:rsid w:val="0A1434BD"/>
    <w:rsid w:val="0A177598"/>
    <w:rsid w:val="0A247833"/>
    <w:rsid w:val="0A256BCF"/>
    <w:rsid w:val="0A2A0A4E"/>
    <w:rsid w:val="0A2D217F"/>
    <w:rsid w:val="0A2D48BF"/>
    <w:rsid w:val="0A33259C"/>
    <w:rsid w:val="0A472120"/>
    <w:rsid w:val="0A670FF2"/>
    <w:rsid w:val="0A860967"/>
    <w:rsid w:val="0A902401"/>
    <w:rsid w:val="0A9B46E1"/>
    <w:rsid w:val="0AA002AF"/>
    <w:rsid w:val="0AA04A08"/>
    <w:rsid w:val="0AC857E6"/>
    <w:rsid w:val="0ACF627E"/>
    <w:rsid w:val="0AD23916"/>
    <w:rsid w:val="0AD344B5"/>
    <w:rsid w:val="0AE61051"/>
    <w:rsid w:val="0AE92A74"/>
    <w:rsid w:val="0AF011AC"/>
    <w:rsid w:val="0AFE6CA0"/>
    <w:rsid w:val="0B062393"/>
    <w:rsid w:val="0B0F4EB2"/>
    <w:rsid w:val="0B133891"/>
    <w:rsid w:val="0B17278B"/>
    <w:rsid w:val="0B1C1FC9"/>
    <w:rsid w:val="0B2161DE"/>
    <w:rsid w:val="0B24227A"/>
    <w:rsid w:val="0B27035A"/>
    <w:rsid w:val="0B2C066D"/>
    <w:rsid w:val="0B372F62"/>
    <w:rsid w:val="0B3C36E0"/>
    <w:rsid w:val="0B3F0B5D"/>
    <w:rsid w:val="0B4F2496"/>
    <w:rsid w:val="0B527D96"/>
    <w:rsid w:val="0B867DD4"/>
    <w:rsid w:val="0B8906D5"/>
    <w:rsid w:val="0B990F05"/>
    <w:rsid w:val="0BA163C4"/>
    <w:rsid w:val="0BB43560"/>
    <w:rsid w:val="0BB97829"/>
    <w:rsid w:val="0BBA4C3E"/>
    <w:rsid w:val="0BBD35A9"/>
    <w:rsid w:val="0BBD36B0"/>
    <w:rsid w:val="0BC527E7"/>
    <w:rsid w:val="0BCF0AAA"/>
    <w:rsid w:val="0BD51943"/>
    <w:rsid w:val="0BDD6884"/>
    <w:rsid w:val="0BDE30C9"/>
    <w:rsid w:val="0BE9216B"/>
    <w:rsid w:val="0BE92617"/>
    <w:rsid w:val="0BE96BD0"/>
    <w:rsid w:val="0C0134AF"/>
    <w:rsid w:val="0C037CD6"/>
    <w:rsid w:val="0C04199B"/>
    <w:rsid w:val="0C097EDB"/>
    <w:rsid w:val="0C0B0A79"/>
    <w:rsid w:val="0C0C2D55"/>
    <w:rsid w:val="0C116C18"/>
    <w:rsid w:val="0C182984"/>
    <w:rsid w:val="0C1D705A"/>
    <w:rsid w:val="0C233DDB"/>
    <w:rsid w:val="0C243614"/>
    <w:rsid w:val="0C567A42"/>
    <w:rsid w:val="0C641CE4"/>
    <w:rsid w:val="0C701B2A"/>
    <w:rsid w:val="0C770FC2"/>
    <w:rsid w:val="0C885842"/>
    <w:rsid w:val="0C8E4C85"/>
    <w:rsid w:val="0C9A21C7"/>
    <w:rsid w:val="0CB17E61"/>
    <w:rsid w:val="0CBA3E26"/>
    <w:rsid w:val="0CC335FF"/>
    <w:rsid w:val="0CC74EBB"/>
    <w:rsid w:val="0CC760C0"/>
    <w:rsid w:val="0CC86926"/>
    <w:rsid w:val="0CC953FA"/>
    <w:rsid w:val="0CCA2E65"/>
    <w:rsid w:val="0CCA77E2"/>
    <w:rsid w:val="0CD86925"/>
    <w:rsid w:val="0CD87B6A"/>
    <w:rsid w:val="0CE2418B"/>
    <w:rsid w:val="0CE70F5A"/>
    <w:rsid w:val="0CE8315C"/>
    <w:rsid w:val="0CED70FB"/>
    <w:rsid w:val="0CF04B26"/>
    <w:rsid w:val="0D0109E8"/>
    <w:rsid w:val="0D074EB0"/>
    <w:rsid w:val="0D083DF0"/>
    <w:rsid w:val="0D0962F1"/>
    <w:rsid w:val="0D1E2A14"/>
    <w:rsid w:val="0D223618"/>
    <w:rsid w:val="0D2512B6"/>
    <w:rsid w:val="0D274B82"/>
    <w:rsid w:val="0D292FA3"/>
    <w:rsid w:val="0D3B0FD3"/>
    <w:rsid w:val="0D591CA2"/>
    <w:rsid w:val="0D6718A8"/>
    <w:rsid w:val="0D7E04AF"/>
    <w:rsid w:val="0D8827D0"/>
    <w:rsid w:val="0D8A5C4C"/>
    <w:rsid w:val="0D927468"/>
    <w:rsid w:val="0DA826B2"/>
    <w:rsid w:val="0DB13E81"/>
    <w:rsid w:val="0DC46801"/>
    <w:rsid w:val="0DC967BD"/>
    <w:rsid w:val="0DCA2EBE"/>
    <w:rsid w:val="0DCF6FB4"/>
    <w:rsid w:val="0DD03A03"/>
    <w:rsid w:val="0DD61DC6"/>
    <w:rsid w:val="0DDA5E66"/>
    <w:rsid w:val="0DDC6CC9"/>
    <w:rsid w:val="0DE77B91"/>
    <w:rsid w:val="0DE80CCD"/>
    <w:rsid w:val="0DE92A73"/>
    <w:rsid w:val="0DEF3493"/>
    <w:rsid w:val="0DF73A01"/>
    <w:rsid w:val="0DFC6FB1"/>
    <w:rsid w:val="0E160A2D"/>
    <w:rsid w:val="0E1B2AB5"/>
    <w:rsid w:val="0E1B6666"/>
    <w:rsid w:val="0E256199"/>
    <w:rsid w:val="0E2806D5"/>
    <w:rsid w:val="0E2E4BC2"/>
    <w:rsid w:val="0E342F61"/>
    <w:rsid w:val="0E355A5F"/>
    <w:rsid w:val="0E4B13B1"/>
    <w:rsid w:val="0E546450"/>
    <w:rsid w:val="0E681731"/>
    <w:rsid w:val="0E6A657A"/>
    <w:rsid w:val="0E6C4115"/>
    <w:rsid w:val="0E77572D"/>
    <w:rsid w:val="0E7E4E71"/>
    <w:rsid w:val="0E8756CE"/>
    <w:rsid w:val="0E875907"/>
    <w:rsid w:val="0E9B2EC6"/>
    <w:rsid w:val="0E9D794B"/>
    <w:rsid w:val="0E9E306F"/>
    <w:rsid w:val="0EA67017"/>
    <w:rsid w:val="0EA919BB"/>
    <w:rsid w:val="0EAE6147"/>
    <w:rsid w:val="0EBE485B"/>
    <w:rsid w:val="0EBE6504"/>
    <w:rsid w:val="0EC36996"/>
    <w:rsid w:val="0ECE319D"/>
    <w:rsid w:val="0ED6484C"/>
    <w:rsid w:val="0EE11FA9"/>
    <w:rsid w:val="0EE13979"/>
    <w:rsid w:val="0EEE11BD"/>
    <w:rsid w:val="0EF36676"/>
    <w:rsid w:val="0EFF2521"/>
    <w:rsid w:val="0F0D37E7"/>
    <w:rsid w:val="0F0E45C0"/>
    <w:rsid w:val="0F0E7B3C"/>
    <w:rsid w:val="0F104F9A"/>
    <w:rsid w:val="0F121040"/>
    <w:rsid w:val="0F125F66"/>
    <w:rsid w:val="0F1A10E9"/>
    <w:rsid w:val="0F1C6C56"/>
    <w:rsid w:val="0F244800"/>
    <w:rsid w:val="0F263D0E"/>
    <w:rsid w:val="0F343655"/>
    <w:rsid w:val="0F394008"/>
    <w:rsid w:val="0F4426B0"/>
    <w:rsid w:val="0F500086"/>
    <w:rsid w:val="0F56537E"/>
    <w:rsid w:val="0F5E319E"/>
    <w:rsid w:val="0F5F09C4"/>
    <w:rsid w:val="0F644218"/>
    <w:rsid w:val="0F6B797D"/>
    <w:rsid w:val="0F7D1FFA"/>
    <w:rsid w:val="0F8820CD"/>
    <w:rsid w:val="0F8E4908"/>
    <w:rsid w:val="0F913335"/>
    <w:rsid w:val="0F96680B"/>
    <w:rsid w:val="0FB074BC"/>
    <w:rsid w:val="0FB143F9"/>
    <w:rsid w:val="0FB3217F"/>
    <w:rsid w:val="0FB60B75"/>
    <w:rsid w:val="0FCD5369"/>
    <w:rsid w:val="0FD52480"/>
    <w:rsid w:val="0FD640BD"/>
    <w:rsid w:val="0FD96CA9"/>
    <w:rsid w:val="0FDD68DC"/>
    <w:rsid w:val="0FE63D17"/>
    <w:rsid w:val="0FE77623"/>
    <w:rsid w:val="0FE82EA7"/>
    <w:rsid w:val="0FE86F28"/>
    <w:rsid w:val="0FEA55AD"/>
    <w:rsid w:val="0FF15BB9"/>
    <w:rsid w:val="0FF906E7"/>
    <w:rsid w:val="0FFD586A"/>
    <w:rsid w:val="10020B62"/>
    <w:rsid w:val="10087FF8"/>
    <w:rsid w:val="10270CA8"/>
    <w:rsid w:val="1031361B"/>
    <w:rsid w:val="1035011A"/>
    <w:rsid w:val="103551A4"/>
    <w:rsid w:val="103607AE"/>
    <w:rsid w:val="10384280"/>
    <w:rsid w:val="1046709D"/>
    <w:rsid w:val="105D7F23"/>
    <w:rsid w:val="105E064F"/>
    <w:rsid w:val="106E1F77"/>
    <w:rsid w:val="106F4084"/>
    <w:rsid w:val="10797A89"/>
    <w:rsid w:val="107A2416"/>
    <w:rsid w:val="107D3B5D"/>
    <w:rsid w:val="108C2231"/>
    <w:rsid w:val="108E0879"/>
    <w:rsid w:val="109B61CD"/>
    <w:rsid w:val="10B04957"/>
    <w:rsid w:val="10C359D9"/>
    <w:rsid w:val="10C5330F"/>
    <w:rsid w:val="10C67BD8"/>
    <w:rsid w:val="10E430B3"/>
    <w:rsid w:val="10F12722"/>
    <w:rsid w:val="11011524"/>
    <w:rsid w:val="11021DF5"/>
    <w:rsid w:val="110877A1"/>
    <w:rsid w:val="110D72EA"/>
    <w:rsid w:val="110E7959"/>
    <w:rsid w:val="1111168F"/>
    <w:rsid w:val="1119722C"/>
    <w:rsid w:val="11234E2D"/>
    <w:rsid w:val="1127264D"/>
    <w:rsid w:val="11434434"/>
    <w:rsid w:val="114A05F1"/>
    <w:rsid w:val="114A4E33"/>
    <w:rsid w:val="114E14B0"/>
    <w:rsid w:val="115C2EBC"/>
    <w:rsid w:val="115C58D6"/>
    <w:rsid w:val="11604BE2"/>
    <w:rsid w:val="1164103E"/>
    <w:rsid w:val="116414A7"/>
    <w:rsid w:val="11694893"/>
    <w:rsid w:val="116F3C27"/>
    <w:rsid w:val="117D3DB4"/>
    <w:rsid w:val="11852620"/>
    <w:rsid w:val="118F4329"/>
    <w:rsid w:val="119F6D5C"/>
    <w:rsid w:val="11A0225A"/>
    <w:rsid w:val="11A922D8"/>
    <w:rsid w:val="11B03029"/>
    <w:rsid w:val="11BA2DA2"/>
    <w:rsid w:val="11CC6C38"/>
    <w:rsid w:val="11D348AC"/>
    <w:rsid w:val="11D45AE1"/>
    <w:rsid w:val="11DE00BE"/>
    <w:rsid w:val="11E86B12"/>
    <w:rsid w:val="11EA2125"/>
    <w:rsid w:val="11FD199C"/>
    <w:rsid w:val="12023099"/>
    <w:rsid w:val="1203449B"/>
    <w:rsid w:val="1217313B"/>
    <w:rsid w:val="121769BF"/>
    <w:rsid w:val="12373AAE"/>
    <w:rsid w:val="123D7233"/>
    <w:rsid w:val="124321DA"/>
    <w:rsid w:val="124C3E81"/>
    <w:rsid w:val="124D011C"/>
    <w:rsid w:val="12531C9B"/>
    <w:rsid w:val="12561FB1"/>
    <w:rsid w:val="125B57E2"/>
    <w:rsid w:val="12753E07"/>
    <w:rsid w:val="127B28B7"/>
    <w:rsid w:val="129245E5"/>
    <w:rsid w:val="12A168D1"/>
    <w:rsid w:val="12B91B6C"/>
    <w:rsid w:val="12BF2D6A"/>
    <w:rsid w:val="12C10D7D"/>
    <w:rsid w:val="12CA6682"/>
    <w:rsid w:val="12CC342F"/>
    <w:rsid w:val="12CE1204"/>
    <w:rsid w:val="12E426AD"/>
    <w:rsid w:val="12F06EE1"/>
    <w:rsid w:val="12F32533"/>
    <w:rsid w:val="12F34854"/>
    <w:rsid w:val="12F826F5"/>
    <w:rsid w:val="130D7013"/>
    <w:rsid w:val="132D10F3"/>
    <w:rsid w:val="133032AB"/>
    <w:rsid w:val="134D1190"/>
    <w:rsid w:val="134F7B0B"/>
    <w:rsid w:val="13546F94"/>
    <w:rsid w:val="13580188"/>
    <w:rsid w:val="13683A5C"/>
    <w:rsid w:val="137C5217"/>
    <w:rsid w:val="13917553"/>
    <w:rsid w:val="139D38DB"/>
    <w:rsid w:val="13A51976"/>
    <w:rsid w:val="13A8793D"/>
    <w:rsid w:val="13B07F3E"/>
    <w:rsid w:val="13B26405"/>
    <w:rsid w:val="13B45541"/>
    <w:rsid w:val="13B82867"/>
    <w:rsid w:val="13B83374"/>
    <w:rsid w:val="13BD1AA5"/>
    <w:rsid w:val="13BF5ED3"/>
    <w:rsid w:val="13C80904"/>
    <w:rsid w:val="13F15C75"/>
    <w:rsid w:val="13FD1C15"/>
    <w:rsid w:val="14076907"/>
    <w:rsid w:val="1408028B"/>
    <w:rsid w:val="14083C98"/>
    <w:rsid w:val="140876D8"/>
    <w:rsid w:val="140D7D73"/>
    <w:rsid w:val="14170683"/>
    <w:rsid w:val="141C18EA"/>
    <w:rsid w:val="141F1808"/>
    <w:rsid w:val="1426671F"/>
    <w:rsid w:val="14293E20"/>
    <w:rsid w:val="142E08FB"/>
    <w:rsid w:val="142F7B6B"/>
    <w:rsid w:val="143037AB"/>
    <w:rsid w:val="14310739"/>
    <w:rsid w:val="1441758D"/>
    <w:rsid w:val="14432035"/>
    <w:rsid w:val="144B3AE7"/>
    <w:rsid w:val="1456146C"/>
    <w:rsid w:val="14584D62"/>
    <w:rsid w:val="145B1FDF"/>
    <w:rsid w:val="145E7A95"/>
    <w:rsid w:val="14624D7D"/>
    <w:rsid w:val="146575A3"/>
    <w:rsid w:val="147632F0"/>
    <w:rsid w:val="147A2925"/>
    <w:rsid w:val="148854BE"/>
    <w:rsid w:val="149C052F"/>
    <w:rsid w:val="14AE7998"/>
    <w:rsid w:val="14B32FDD"/>
    <w:rsid w:val="14CC6AA1"/>
    <w:rsid w:val="14E273A7"/>
    <w:rsid w:val="14E7655D"/>
    <w:rsid w:val="14EE3B40"/>
    <w:rsid w:val="14F050B9"/>
    <w:rsid w:val="15006FBE"/>
    <w:rsid w:val="15022121"/>
    <w:rsid w:val="151F6B5A"/>
    <w:rsid w:val="15212130"/>
    <w:rsid w:val="1522408C"/>
    <w:rsid w:val="15254FBD"/>
    <w:rsid w:val="152704C0"/>
    <w:rsid w:val="15276558"/>
    <w:rsid w:val="152B4453"/>
    <w:rsid w:val="153861A2"/>
    <w:rsid w:val="154E65FB"/>
    <w:rsid w:val="155212B7"/>
    <w:rsid w:val="155251A4"/>
    <w:rsid w:val="15574892"/>
    <w:rsid w:val="156542CB"/>
    <w:rsid w:val="158014E9"/>
    <w:rsid w:val="1587449F"/>
    <w:rsid w:val="158A5B50"/>
    <w:rsid w:val="158B01E4"/>
    <w:rsid w:val="159F23B3"/>
    <w:rsid w:val="15A07214"/>
    <w:rsid w:val="15A2498C"/>
    <w:rsid w:val="15A54611"/>
    <w:rsid w:val="15AB431C"/>
    <w:rsid w:val="15B5729B"/>
    <w:rsid w:val="15B66B91"/>
    <w:rsid w:val="15C3420A"/>
    <w:rsid w:val="15CE1A08"/>
    <w:rsid w:val="15D64DE0"/>
    <w:rsid w:val="15D87D38"/>
    <w:rsid w:val="15DC3D8A"/>
    <w:rsid w:val="15E47F68"/>
    <w:rsid w:val="15E528AD"/>
    <w:rsid w:val="15F20367"/>
    <w:rsid w:val="15F2611B"/>
    <w:rsid w:val="15F553C2"/>
    <w:rsid w:val="15F7693B"/>
    <w:rsid w:val="15FF6EEC"/>
    <w:rsid w:val="1601561E"/>
    <w:rsid w:val="16041E01"/>
    <w:rsid w:val="160B7445"/>
    <w:rsid w:val="160F3919"/>
    <w:rsid w:val="16111742"/>
    <w:rsid w:val="16175D54"/>
    <w:rsid w:val="16232CF9"/>
    <w:rsid w:val="16262029"/>
    <w:rsid w:val="16377194"/>
    <w:rsid w:val="16397749"/>
    <w:rsid w:val="163A0198"/>
    <w:rsid w:val="16406CEA"/>
    <w:rsid w:val="164F6FA2"/>
    <w:rsid w:val="16512693"/>
    <w:rsid w:val="16562259"/>
    <w:rsid w:val="165649D8"/>
    <w:rsid w:val="165B3324"/>
    <w:rsid w:val="166532CF"/>
    <w:rsid w:val="16764951"/>
    <w:rsid w:val="167A273E"/>
    <w:rsid w:val="16857815"/>
    <w:rsid w:val="16915513"/>
    <w:rsid w:val="16A61F0D"/>
    <w:rsid w:val="16AA643D"/>
    <w:rsid w:val="16AC5F02"/>
    <w:rsid w:val="16AE7695"/>
    <w:rsid w:val="16B27F4D"/>
    <w:rsid w:val="16C33CD0"/>
    <w:rsid w:val="16C379B9"/>
    <w:rsid w:val="16C71AAA"/>
    <w:rsid w:val="16C77FE5"/>
    <w:rsid w:val="16D0666A"/>
    <w:rsid w:val="16F47E57"/>
    <w:rsid w:val="16F53AB0"/>
    <w:rsid w:val="16F90D5A"/>
    <w:rsid w:val="16FC3736"/>
    <w:rsid w:val="170C6706"/>
    <w:rsid w:val="1715505C"/>
    <w:rsid w:val="17220FF1"/>
    <w:rsid w:val="17320F2E"/>
    <w:rsid w:val="17326590"/>
    <w:rsid w:val="173A7896"/>
    <w:rsid w:val="173D342E"/>
    <w:rsid w:val="17430272"/>
    <w:rsid w:val="1750464D"/>
    <w:rsid w:val="17586D33"/>
    <w:rsid w:val="175E5ABA"/>
    <w:rsid w:val="17613E3F"/>
    <w:rsid w:val="17664D13"/>
    <w:rsid w:val="1766777C"/>
    <w:rsid w:val="17676E2A"/>
    <w:rsid w:val="176D41EE"/>
    <w:rsid w:val="177249E0"/>
    <w:rsid w:val="1774709D"/>
    <w:rsid w:val="17794D70"/>
    <w:rsid w:val="1780422F"/>
    <w:rsid w:val="178D44B2"/>
    <w:rsid w:val="178E1F33"/>
    <w:rsid w:val="179928AA"/>
    <w:rsid w:val="17A75F25"/>
    <w:rsid w:val="17BB6C45"/>
    <w:rsid w:val="17BD6AB4"/>
    <w:rsid w:val="17C023C9"/>
    <w:rsid w:val="17C266BB"/>
    <w:rsid w:val="17C35408"/>
    <w:rsid w:val="17CD0F56"/>
    <w:rsid w:val="17CE1D62"/>
    <w:rsid w:val="17D81425"/>
    <w:rsid w:val="17EC7D4E"/>
    <w:rsid w:val="17EF5DD9"/>
    <w:rsid w:val="17F6044A"/>
    <w:rsid w:val="17F70216"/>
    <w:rsid w:val="17FB0244"/>
    <w:rsid w:val="18000F6D"/>
    <w:rsid w:val="180453F5"/>
    <w:rsid w:val="18084FBB"/>
    <w:rsid w:val="1818083E"/>
    <w:rsid w:val="18361447"/>
    <w:rsid w:val="18375738"/>
    <w:rsid w:val="18400F11"/>
    <w:rsid w:val="184253B9"/>
    <w:rsid w:val="18434C37"/>
    <w:rsid w:val="185457E1"/>
    <w:rsid w:val="186202E0"/>
    <w:rsid w:val="18655B8E"/>
    <w:rsid w:val="186E43F1"/>
    <w:rsid w:val="18721A3A"/>
    <w:rsid w:val="18875C71"/>
    <w:rsid w:val="188A619A"/>
    <w:rsid w:val="18A361F8"/>
    <w:rsid w:val="18AD238B"/>
    <w:rsid w:val="18B80BCE"/>
    <w:rsid w:val="18C06461"/>
    <w:rsid w:val="18C66922"/>
    <w:rsid w:val="18CF62D0"/>
    <w:rsid w:val="18D15598"/>
    <w:rsid w:val="18DC5CEB"/>
    <w:rsid w:val="18E62FBE"/>
    <w:rsid w:val="18EA4862"/>
    <w:rsid w:val="18EB43EE"/>
    <w:rsid w:val="18EE7258"/>
    <w:rsid w:val="18FC5343"/>
    <w:rsid w:val="18FC7448"/>
    <w:rsid w:val="18FE1842"/>
    <w:rsid w:val="19000F5A"/>
    <w:rsid w:val="190C7DED"/>
    <w:rsid w:val="19147F1C"/>
    <w:rsid w:val="191C2E55"/>
    <w:rsid w:val="19200D09"/>
    <w:rsid w:val="19270D53"/>
    <w:rsid w:val="192769FC"/>
    <w:rsid w:val="193337BA"/>
    <w:rsid w:val="19402796"/>
    <w:rsid w:val="19407B9F"/>
    <w:rsid w:val="19420475"/>
    <w:rsid w:val="19505417"/>
    <w:rsid w:val="195254FA"/>
    <w:rsid w:val="195919BF"/>
    <w:rsid w:val="196717B9"/>
    <w:rsid w:val="19677C6A"/>
    <w:rsid w:val="19733859"/>
    <w:rsid w:val="197F7061"/>
    <w:rsid w:val="198A4DC2"/>
    <w:rsid w:val="198D747A"/>
    <w:rsid w:val="199750ED"/>
    <w:rsid w:val="19A13BF5"/>
    <w:rsid w:val="19A24FDC"/>
    <w:rsid w:val="19A57045"/>
    <w:rsid w:val="19AC0EF2"/>
    <w:rsid w:val="19B57275"/>
    <w:rsid w:val="19BE3E90"/>
    <w:rsid w:val="19C11AC9"/>
    <w:rsid w:val="19C37E45"/>
    <w:rsid w:val="19CF40F7"/>
    <w:rsid w:val="19DE0F8F"/>
    <w:rsid w:val="19EC1A12"/>
    <w:rsid w:val="19ED0EB9"/>
    <w:rsid w:val="19F21F24"/>
    <w:rsid w:val="1A00617E"/>
    <w:rsid w:val="1A062396"/>
    <w:rsid w:val="1A134094"/>
    <w:rsid w:val="1A155013"/>
    <w:rsid w:val="1A1C2BAB"/>
    <w:rsid w:val="1A1F124B"/>
    <w:rsid w:val="1A210F06"/>
    <w:rsid w:val="1A230ABD"/>
    <w:rsid w:val="1A251079"/>
    <w:rsid w:val="1A28484F"/>
    <w:rsid w:val="1A33768F"/>
    <w:rsid w:val="1A3573C0"/>
    <w:rsid w:val="1A555F58"/>
    <w:rsid w:val="1A58762F"/>
    <w:rsid w:val="1A5A6FF6"/>
    <w:rsid w:val="1A670D8E"/>
    <w:rsid w:val="1A6D533B"/>
    <w:rsid w:val="1A727457"/>
    <w:rsid w:val="1A7806FD"/>
    <w:rsid w:val="1A7E3F9C"/>
    <w:rsid w:val="1A89243D"/>
    <w:rsid w:val="1A991D03"/>
    <w:rsid w:val="1A9D156F"/>
    <w:rsid w:val="1AA80D9B"/>
    <w:rsid w:val="1AA84175"/>
    <w:rsid w:val="1AA847EC"/>
    <w:rsid w:val="1AAD0BB3"/>
    <w:rsid w:val="1AAE6CE1"/>
    <w:rsid w:val="1AAF2DD5"/>
    <w:rsid w:val="1ABD6321"/>
    <w:rsid w:val="1AC5139F"/>
    <w:rsid w:val="1ACC5A15"/>
    <w:rsid w:val="1AD01EB8"/>
    <w:rsid w:val="1AD03E52"/>
    <w:rsid w:val="1AD875EC"/>
    <w:rsid w:val="1ADB0222"/>
    <w:rsid w:val="1AE26A3D"/>
    <w:rsid w:val="1AE727A2"/>
    <w:rsid w:val="1AE84845"/>
    <w:rsid w:val="1AF475AD"/>
    <w:rsid w:val="1AF92EDF"/>
    <w:rsid w:val="1AFD70F0"/>
    <w:rsid w:val="1B0270FF"/>
    <w:rsid w:val="1B165C7C"/>
    <w:rsid w:val="1B181DD9"/>
    <w:rsid w:val="1B2F477F"/>
    <w:rsid w:val="1B3E0F2E"/>
    <w:rsid w:val="1B4B64D7"/>
    <w:rsid w:val="1B6C3B7D"/>
    <w:rsid w:val="1B79449A"/>
    <w:rsid w:val="1B7F0ABE"/>
    <w:rsid w:val="1B834589"/>
    <w:rsid w:val="1B8617B4"/>
    <w:rsid w:val="1B865037"/>
    <w:rsid w:val="1B950C9D"/>
    <w:rsid w:val="1B950F86"/>
    <w:rsid w:val="1B957ED3"/>
    <w:rsid w:val="1BA75872"/>
    <w:rsid w:val="1BAB396E"/>
    <w:rsid w:val="1BAB3DFB"/>
    <w:rsid w:val="1BB07C7C"/>
    <w:rsid w:val="1BB35280"/>
    <w:rsid w:val="1BBB692B"/>
    <w:rsid w:val="1BBF0E19"/>
    <w:rsid w:val="1BC47469"/>
    <w:rsid w:val="1BCD692F"/>
    <w:rsid w:val="1BD5648E"/>
    <w:rsid w:val="1BDB2542"/>
    <w:rsid w:val="1BE23EBD"/>
    <w:rsid w:val="1BFB1528"/>
    <w:rsid w:val="1C053387"/>
    <w:rsid w:val="1C164908"/>
    <w:rsid w:val="1C2E6201"/>
    <w:rsid w:val="1C302928"/>
    <w:rsid w:val="1C52178E"/>
    <w:rsid w:val="1C5D74C0"/>
    <w:rsid w:val="1C5E4E6C"/>
    <w:rsid w:val="1C6723A0"/>
    <w:rsid w:val="1C68632B"/>
    <w:rsid w:val="1C6C044E"/>
    <w:rsid w:val="1C763213"/>
    <w:rsid w:val="1C8D76F3"/>
    <w:rsid w:val="1C9D2600"/>
    <w:rsid w:val="1C9F1651"/>
    <w:rsid w:val="1CBC50B4"/>
    <w:rsid w:val="1CC400CA"/>
    <w:rsid w:val="1CC96948"/>
    <w:rsid w:val="1CDD55E8"/>
    <w:rsid w:val="1CE05D7D"/>
    <w:rsid w:val="1CE25E06"/>
    <w:rsid w:val="1CEB0CE2"/>
    <w:rsid w:val="1CEB46F7"/>
    <w:rsid w:val="1CEC3C83"/>
    <w:rsid w:val="1CF92D7C"/>
    <w:rsid w:val="1D057D11"/>
    <w:rsid w:val="1D1F1D81"/>
    <w:rsid w:val="1D23735C"/>
    <w:rsid w:val="1D310A93"/>
    <w:rsid w:val="1D394498"/>
    <w:rsid w:val="1D54071F"/>
    <w:rsid w:val="1D5C3938"/>
    <w:rsid w:val="1D6451C6"/>
    <w:rsid w:val="1D654C9F"/>
    <w:rsid w:val="1D69417C"/>
    <w:rsid w:val="1D715A06"/>
    <w:rsid w:val="1D756A60"/>
    <w:rsid w:val="1D807289"/>
    <w:rsid w:val="1D8160F6"/>
    <w:rsid w:val="1D817501"/>
    <w:rsid w:val="1D8E233B"/>
    <w:rsid w:val="1D975DF7"/>
    <w:rsid w:val="1D9B123D"/>
    <w:rsid w:val="1D9E12E8"/>
    <w:rsid w:val="1DA24CEE"/>
    <w:rsid w:val="1DAC49BC"/>
    <w:rsid w:val="1DAF5941"/>
    <w:rsid w:val="1DB5784A"/>
    <w:rsid w:val="1DC02928"/>
    <w:rsid w:val="1DC3022C"/>
    <w:rsid w:val="1DCB4927"/>
    <w:rsid w:val="1DCF3C77"/>
    <w:rsid w:val="1DD62AB9"/>
    <w:rsid w:val="1DD6405C"/>
    <w:rsid w:val="1DDC29DC"/>
    <w:rsid w:val="1DDD3571"/>
    <w:rsid w:val="1DDE75EB"/>
    <w:rsid w:val="1DED76A1"/>
    <w:rsid w:val="1E06634F"/>
    <w:rsid w:val="1E16799A"/>
    <w:rsid w:val="1E190463"/>
    <w:rsid w:val="1E24668A"/>
    <w:rsid w:val="1E2A27A6"/>
    <w:rsid w:val="1E3D142B"/>
    <w:rsid w:val="1E3E516A"/>
    <w:rsid w:val="1E4B2FD7"/>
    <w:rsid w:val="1E5270E4"/>
    <w:rsid w:val="1E5D5021"/>
    <w:rsid w:val="1E62625A"/>
    <w:rsid w:val="1E63196B"/>
    <w:rsid w:val="1E645EBF"/>
    <w:rsid w:val="1E7911C9"/>
    <w:rsid w:val="1E795C5B"/>
    <w:rsid w:val="1E7B335B"/>
    <w:rsid w:val="1E7F0598"/>
    <w:rsid w:val="1E80686E"/>
    <w:rsid w:val="1E8A5FA4"/>
    <w:rsid w:val="1E8D194D"/>
    <w:rsid w:val="1E9E304B"/>
    <w:rsid w:val="1EA50F33"/>
    <w:rsid w:val="1EB95DF3"/>
    <w:rsid w:val="1ED503FA"/>
    <w:rsid w:val="1EDD3569"/>
    <w:rsid w:val="1EDF5E7D"/>
    <w:rsid w:val="1EE724BA"/>
    <w:rsid w:val="1EED664D"/>
    <w:rsid w:val="1EF84037"/>
    <w:rsid w:val="1EFF6434"/>
    <w:rsid w:val="1F037161"/>
    <w:rsid w:val="1F061775"/>
    <w:rsid w:val="1F1D248B"/>
    <w:rsid w:val="1F311F17"/>
    <w:rsid w:val="1F395F69"/>
    <w:rsid w:val="1F3A0011"/>
    <w:rsid w:val="1F3A5F92"/>
    <w:rsid w:val="1F3C1C4F"/>
    <w:rsid w:val="1F4160D7"/>
    <w:rsid w:val="1F55784C"/>
    <w:rsid w:val="1F57347E"/>
    <w:rsid w:val="1F574E9B"/>
    <w:rsid w:val="1F701095"/>
    <w:rsid w:val="1F923DE6"/>
    <w:rsid w:val="1F983263"/>
    <w:rsid w:val="1FA03424"/>
    <w:rsid w:val="1FA42D75"/>
    <w:rsid w:val="1FA610B9"/>
    <w:rsid w:val="1FA80624"/>
    <w:rsid w:val="1FB0418D"/>
    <w:rsid w:val="1FB566B1"/>
    <w:rsid w:val="1FBC33D9"/>
    <w:rsid w:val="1FD024AA"/>
    <w:rsid w:val="1FDC54C4"/>
    <w:rsid w:val="1FEE4C5C"/>
    <w:rsid w:val="1FF012A4"/>
    <w:rsid w:val="1FF22678"/>
    <w:rsid w:val="1FF23EC9"/>
    <w:rsid w:val="20017730"/>
    <w:rsid w:val="20040834"/>
    <w:rsid w:val="20190666"/>
    <w:rsid w:val="201D0F3D"/>
    <w:rsid w:val="202033BF"/>
    <w:rsid w:val="202B44DE"/>
    <w:rsid w:val="202C1885"/>
    <w:rsid w:val="203B574B"/>
    <w:rsid w:val="203D386D"/>
    <w:rsid w:val="204A7C68"/>
    <w:rsid w:val="205149BC"/>
    <w:rsid w:val="2053493C"/>
    <w:rsid w:val="205A295E"/>
    <w:rsid w:val="205B14C4"/>
    <w:rsid w:val="205B279C"/>
    <w:rsid w:val="205E4038"/>
    <w:rsid w:val="206656B9"/>
    <w:rsid w:val="2075093F"/>
    <w:rsid w:val="20786BA2"/>
    <w:rsid w:val="207F447D"/>
    <w:rsid w:val="20834165"/>
    <w:rsid w:val="20884263"/>
    <w:rsid w:val="209D6390"/>
    <w:rsid w:val="209F7DAC"/>
    <w:rsid w:val="20A160B2"/>
    <w:rsid w:val="20AB72FF"/>
    <w:rsid w:val="20BE0AC7"/>
    <w:rsid w:val="20D105CB"/>
    <w:rsid w:val="20D16460"/>
    <w:rsid w:val="20D17AE7"/>
    <w:rsid w:val="20DC0077"/>
    <w:rsid w:val="20DD7F39"/>
    <w:rsid w:val="20E24774"/>
    <w:rsid w:val="20EF3514"/>
    <w:rsid w:val="20F25221"/>
    <w:rsid w:val="211401D1"/>
    <w:rsid w:val="21145BE0"/>
    <w:rsid w:val="2124499F"/>
    <w:rsid w:val="21263390"/>
    <w:rsid w:val="214005BB"/>
    <w:rsid w:val="21440678"/>
    <w:rsid w:val="21590CC5"/>
    <w:rsid w:val="215E2BCE"/>
    <w:rsid w:val="216365D8"/>
    <w:rsid w:val="2165140C"/>
    <w:rsid w:val="21691F88"/>
    <w:rsid w:val="21756F70"/>
    <w:rsid w:val="217A36BF"/>
    <w:rsid w:val="217C68FB"/>
    <w:rsid w:val="218470E6"/>
    <w:rsid w:val="2187182E"/>
    <w:rsid w:val="218A070F"/>
    <w:rsid w:val="21957939"/>
    <w:rsid w:val="21B26DD5"/>
    <w:rsid w:val="21C1624C"/>
    <w:rsid w:val="21CE439D"/>
    <w:rsid w:val="21D32B8D"/>
    <w:rsid w:val="21D36724"/>
    <w:rsid w:val="21D44D8B"/>
    <w:rsid w:val="21D956E4"/>
    <w:rsid w:val="21E26EA0"/>
    <w:rsid w:val="21E3664F"/>
    <w:rsid w:val="21E81795"/>
    <w:rsid w:val="21F34D45"/>
    <w:rsid w:val="21F950CF"/>
    <w:rsid w:val="22045432"/>
    <w:rsid w:val="220C28FC"/>
    <w:rsid w:val="2214507F"/>
    <w:rsid w:val="221A0D83"/>
    <w:rsid w:val="222206F4"/>
    <w:rsid w:val="22287087"/>
    <w:rsid w:val="222A3C9E"/>
    <w:rsid w:val="22350E1C"/>
    <w:rsid w:val="22396FF8"/>
    <w:rsid w:val="22431035"/>
    <w:rsid w:val="225C0846"/>
    <w:rsid w:val="22760013"/>
    <w:rsid w:val="2296218F"/>
    <w:rsid w:val="229703ED"/>
    <w:rsid w:val="229F0FDC"/>
    <w:rsid w:val="22B0252A"/>
    <w:rsid w:val="22B343FA"/>
    <w:rsid w:val="22C55ABE"/>
    <w:rsid w:val="22CB2FC3"/>
    <w:rsid w:val="22D357B1"/>
    <w:rsid w:val="22D75BB2"/>
    <w:rsid w:val="22E819D8"/>
    <w:rsid w:val="22F0294D"/>
    <w:rsid w:val="22F0425E"/>
    <w:rsid w:val="22F52D07"/>
    <w:rsid w:val="22F57E73"/>
    <w:rsid w:val="23017BFF"/>
    <w:rsid w:val="23021DF6"/>
    <w:rsid w:val="23143199"/>
    <w:rsid w:val="231523F7"/>
    <w:rsid w:val="23403D59"/>
    <w:rsid w:val="234B605E"/>
    <w:rsid w:val="234F5CFB"/>
    <w:rsid w:val="235133E3"/>
    <w:rsid w:val="23560A29"/>
    <w:rsid w:val="235A5E8C"/>
    <w:rsid w:val="235D2694"/>
    <w:rsid w:val="235F59AB"/>
    <w:rsid w:val="23675E06"/>
    <w:rsid w:val="236F1AA3"/>
    <w:rsid w:val="23716142"/>
    <w:rsid w:val="237B54CB"/>
    <w:rsid w:val="23815D4C"/>
    <w:rsid w:val="238A3A61"/>
    <w:rsid w:val="238A4219"/>
    <w:rsid w:val="239051E5"/>
    <w:rsid w:val="23987B60"/>
    <w:rsid w:val="239D13E8"/>
    <w:rsid w:val="239F6D5D"/>
    <w:rsid w:val="239F7F68"/>
    <w:rsid w:val="23B12FBF"/>
    <w:rsid w:val="23ED0F94"/>
    <w:rsid w:val="23F36B11"/>
    <w:rsid w:val="23FA7F94"/>
    <w:rsid w:val="23FC3011"/>
    <w:rsid w:val="240D18BD"/>
    <w:rsid w:val="240E6C34"/>
    <w:rsid w:val="24140FFA"/>
    <w:rsid w:val="24163917"/>
    <w:rsid w:val="245221DB"/>
    <w:rsid w:val="24537CA2"/>
    <w:rsid w:val="24657643"/>
    <w:rsid w:val="246E404E"/>
    <w:rsid w:val="246F474F"/>
    <w:rsid w:val="247343DA"/>
    <w:rsid w:val="247F538E"/>
    <w:rsid w:val="248114CC"/>
    <w:rsid w:val="24A3249E"/>
    <w:rsid w:val="24A62D02"/>
    <w:rsid w:val="24AD1976"/>
    <w:rsid w:val="24AD730D"/>
    <w:rsid w:val="24AF069B"/>
    <w:rsid w:val="24AF1929"/>
    <w:rsid w:val="24B63D40"/>
    <w:rsid w:val="24C674E1"/>
    <w:rsid w:val="24C81CA8"/>
    <w:rsid w:val="24C8317D"/>
    <w:rsid w:val="24CE7073"/>
    <w:rsid w:val="24E02810"/>
    <w:rsid w:val="24E35BFC"/>
    <w:rsid w:val="24F674E5"/>
    <w:rsid w:val="24F91FD7"/>
    <w:rsid w:val="24FA0B67"/>
    <w:rsid w:val="25082A0B"/>
    <w:rsid w:val="251351C1"/>
    <w:rsid w:val="251B268E"/>
    <w:rsid w:val="252427BC"/>
    <w:rsid w:val="253379F4"/>
    <w:rsid w:val="25350230"/>
    <w:rsid w:val="25417958"/>
    <w:rsid w:val="254369E7"/>
    <w:rsid w:val="25494E1D"/>
    <w:rsid w:val="254D295A"/>
    <w:rsid w:val="254D3444"/>
    <w:rsid w:val="256E39C8"/>
    <w:rsid w:val="2576130C"/>
    <w:rsid w:val="25770926"/>
    <w:rsid w:val="257A74F9"/>
    <w:rsid w:val="25895A3D"/>
    <w:rsid w:val="258D735D"/>
    <w:rsid w:val="25963238"/>
    <w:rsid w:val="259A68BC"/>
    <w:rsid w:val="259E4E53"/>
    <w:rsid w:val="25A14900"/>
    <w:rsid w:val="25A719F1"/>
    <w:rsid w:val="25A90795"/>
    <w:rsid w:val="25B4606C"/>
    <w:rsid w:val="25B5026A"/>
    <w:rsid w:val="25BD311A"/>
    <w:rsid w:val="25CB59E7"/>
    <w:rsid w:val="25D14317"/>
    <w:rsid w:val="25D1716B"/>
    <w:rsid w:val="25D3309D"/>
    <w:rsid w:val="25DF6A97"/>
    <w:rsid w:val="25E27C61"/>
    <w:rsid w:val="25E6024A"/>
    <w:rsid w:val="25E71D3E"/>
    <w:rsid w:val="25EA0F86"/>
    <w:rsid w:val="26212585"/>
    <w:rsid w:val="26230F52"/>
    <w:rsid w:val="26282ED7"/>
    <w:rsid w:val="262D3107"/>
    <w:rsid w:val="26316757"/>
    <w:rsid w:val="263316CB"/>
    <w:rsid w:val="263D1448"/>
    <w:rsid w:val="26562782"/>
    <w:rsid w:val="265B6DE8"/>
    <w:rsid w:val="265E0957"/>
    <w:rsid w:val="265F04C1"/>
    <w:rsid w:val="26606184"/>
    <w:rsid w:val="266B1CBF"/>
    <w:rsid w:val="266B4004"/>
    <w:rsid w:val="2670099D"/>
    <w:rsid w:val="267440C5"/>
    <w:rsid w:val="26756FE9"/>
    <w:rsid w:val="26811FF9"/>
    <w:rsid w:val="268C256C"/>
    <w:rsid w:val="26922965"/>
    <w:rsid w:val="269772A2"/>
    <w:rsid w:val="269F48BD"/>
    <w:rsid w:val="26A7223A"/>
    <w:rsid w:val="26AC4F7F"/>
    <w:rsid w:val="26B008DD"/>
    <w:rsid w:val="26B45C0E"/>
    <w:rsid w:val="26BA46D5"/>
    <w:rsid w:val="26C22C59"/>
    <w:rsid w:val="26D07ABD"/>
    <w:rsid w:val="26D8294B"/>
    <w:rsid w:val="26E154C3"/>
    <w:rsid w:val="26F23979"/>
    <w:rsid w:val="26F642B6"/>
    <w:rsid w:val="26FB6383"/>
    <w:rsid w:val="26FD427F"/>
    <w:rsid w:val="27090B41"/>
    <w:rsid w:val="27135B8A"/>
    <w:rsid w:val="271933B4"/>
    <w:rsid w:val="27252DB6"/>
    <w:rsid w:val="27280C17"/>
    <w:rsid w:val="272A1178"/>
    <w:rsid w:val="272A2BE1"/>
    <w:rsid w:val="27370319"/>
    <w:rsid w:val="2738348F"/>
    <w:rsid w:val="274604BA"/>
    <w:rsid w:val="27530B85"/>
    <w:rsid w:val="27537ACC"/>
    <w:rsid w:val="27580973"/>
    <w:rsid w:val="27643D47"/>
    <w:rsid w:val="2765234A"/>
    <w:rsid w:val="276C2A3C"/>
    <w:rsid w:val="27743788"/>
    <w:rsid w:val="277B261F"/>
    <w:rsid w:val="277B619E"/>
    <w:rsid w:val="277D341D"/>
    <w:rsid w:val="2787368D"/>
    <w:rsid w:val="278F0E5E"/>
    <w:rsid w:val="2791259C"/>
    <w:rsid w:val="27960C42"/>
    <w:rsid w:val="27962ACA"/>
    <w:rsid w:val="279B5A93"/>
    <w:rsid w:val="27A35CC1"/>
    <w:rsid w:val="27B200B0"/>
    <w:rsid w:val="27B22553"/>
    <w:rsid w:val="27BB09BF"/>
    <w:rsid w:val="27BE3579"/>
    <w:rsid w:val="27C634CD"/>
    <w:rsid w:val="27CD3A94"/>
    <w:rsid w:val="27E635A6"/>
    <w:rsid w:val="27E916BA"/>
    <w:rsid w:val="27F10483"/>
    <w:rsid w:val="27FD55EF"/>
    <w:rsid w:val="27FE272D"/>
    <w:rsid w:val="28022D32"/>
    <w:rsid w:val="28032DD3"/>
    <w:rsid w:val="28042F1D"/>
    <w:rsid w:val="280821E0"/>
    <w:rsid w:val="280D4F46"/>
    <w:rsid w:val="28153567"/>
    <w:rsid w:val="281954D5"/>
    <w:rsid w:val="28223BE7"/>
    <w:rsid w:val="28252031"/>
    <w:rsid w:val="28277CEC"/>
    <w:rsid w:val="28290FF3"/>
    <w:rsid w:val="283803E8"/>
    <w:rsid w:val="284302F9"/>
    <w:rsid w:val="2846765D"/>
    <w:rsid w:val="284A2EB1"/>
    <w:rsid w:val="28594A6E"/>
    <w:rsid w:val="285B196C"/>
    <w:rsid w:val="286B5520"/>
    <w:rsid w:val="286C0B15"/>
    <w:rsid w:val="287D3F8A"/>
    <w:rsid w:val="2884317E"/>
    <w:rsid w:val="288706AE"/>
    <w:rsid w:val="28870747"/>
    <w:rsid w:val="288E5631"/>
    <w:rsid w:val="28923331"/>
    <w:rsid w:val="28AE5ECB"/>
    <w:rsid w:val="28C01A4F"/>
    <w:rsid w:val="28C32DF1"/>
    <w:rsid w:val="28C534E8"/>
    <w:rsid w:val="28D02103"/>
    <w:rsid w:val="28DE781D"/>
    <w:rsid w:val="28E43EE5"/>
    <w:rsid w:val="28EC6D65"/>
    <w:rsid w:val="28FA3D43"/>
    <w:rsid w:val="29095837"/>
    <w:rsid w:val="29354FA0"/>
    <w:rsid w:val="293734A8"/>
    <w:rsid w:val="2937715F"/>
    <w:rsid w:val="294E0AA4"/>
    <w:rsid w:val="29506857"/>
    <w:rsid w:val="295209D2"/>
    <w:rsid w:val="295C266A"/>
    <w:rsid w:val="295E6AC6"/>
    <w:rsid w:val="29627583"/>
    <w:rsid w:val="29652B4F"/>
    <w:rsid w:val="29665177"/>
    <w:rsid w:val="296735A6"/>
    <w:rsid w:val="296D7E15"/>
    <w:rsid w:val="297152B8"/>
    <w:rsid w:val="297269F4"/>
    <w:rsid w:val="297277BF"/>
    <w:rsid w:val="297C3C21"/>
    <w:rsid w:val="29884C1E"/>
    <w:rsid w:val="29933BAF"/>
    <w:rsid w:val="29962D19"/>
    <w:rsid w:val="2998113A"/>
    <w:rsid w:val="29A65F61"/>
    <w:rsid w:val="29A9794B"/>
    <w:rsid w:val="29AB614E"/>
    <w:rsid w:val="29AD3BB2"/>
    <w:rsid w:val="29B367A0"/>
    <w:rsid w:val="29B4309C"/>
    <w:rsid w:val="29BB2193"/>
    <w:rsid w:val="29C30BAC"/>
    <w:rsid w:val="29C66496"/>
    <w:rsid w:val="29C94000"/>
    <w:rsid w:val="29CC55DD"/>
    <w:rsid w:val="29CD7458"/>
    <w:rsid w:val="29D15596"/>
    <w:rsid w:val="29D41AE8"/>
    <w:rsid w:val="29D9048F"/>
    <w:rsid w:val="29DB12E7"/>
    <w:rsid w:val="29EF70CC"/>
    <w:rsid w:val="29F050DC"/>
    <w:rsid w:val="2A034813"/>
    <w:rsid w:val="2A06729D"/>
    <w:rsid w:val="2A0D0D54"/>
    <w:rsid w:val="2A123C6E"/>
    <w:rsid w:val="2A1450C6"/>
    <w:rsid w:val="2A1C62F4"/>
    <w:rsid w:val="2A1D6EA4"/>
    <w:rsid w:val="2A4123EC"/>
    <w:rsid w:val="2A5A6D09"/>
    <w:rsid w:val="2A5F0A9A"/>
    <w:rsid w:val="2A671649"/>
    <w:rsid w:val="2A71608A"/>
    <w:rsid w:val="2A7C0543"/>
    <w:rsid w:val="2A802A87"/>
    <w:rsid w:val="2A824AC9"/>
    <w:rsid w:val="2A840EB7"/>
    <w:rsid w:val="2A931BB9"/>
    <w:rsid w:val="2A9951C0"/>
    <w:rsid w:val="2A997AF3"/>
    <w:rsid w:val="2A9C4C35"/>
    <w:rsid w:val="2A9D346A"/>
    <w:rsid w:val="2AAE24A7"/>
    <w:rsid w:val="2AAF783F"/>
    <w:rsid w:val="2AB1519A"/>
    <w:rsid w:val="2AB51A38"/>
    <w:rsid w:val="2AB903D8"/>
    <w:rsid w:val="2ABA4B08"/>
    <w:rsid w:val="2ABE680B"/>
    <w:rsid w:val="2AC61A8F"/>
    <w:rsid w:val="2ACD6CCC"/>
    <w:rsid w:val="2AD204FB"/>
    <w:rsid w:val="2ADF720A"/>
    <w:rsid w:val="2AE34015"/>
    <w:rsid w:val="2AE952F3"/>
    <w:rsid w:val="2AEE4512"/>
    <w:rsid w:val="2B08286F"/>
    <w:rsid w:val="2B307F8B"/>
    <w:rsid w:val="2B326508"/>
    <w:rsid w:val="2B341240"/>
    <w:rsid w:val="2B34584A"/>
    <w:rsid w:val="2B3648C8"/>
    <w:rsid w:val="2B475678"/>
    <w:rsid w:val="2B64015F"/>
    <w:rsid w:val="2B644948"/>
    <w:rsid w:val="2B6C58CD"/>
    <w:rsid w:val="2B773C5E"/>
    <w:rsid w:val="2B7816DF"/>
    <w:rsid w:val="2B7A1C2B"/>
    <w:rsid w:val="2B7B1DC1"/>
    <w:rsid w:val="2B7C6921"/>
    <w:rsid w:val="2B803D17"/>
    <w:rsid w:val="2B8C252B"/>
    <w:rsid w:val="2B8E3883"/>
    <w:rsid w:val="2B987A16"/>
    <w:rsid w:val="2B9C4F86"/>
    <w:rsid w:val="2B9D609C"/>
    <w:rsid w:val="2BB806B3"/>
    <w:rsid w:val="2BC01AD4"/>
    <w:rsid w:val="2BCA23E3"/>
    <w:rsid w:val="2BCC3368"/>
    <w:rsid w:val="2BD12419"/>
    <w:rsid w:val="2BE00F59"/>
    <w:rsid w:val="2BE123B4"/>
    <w:rsid w:val="2BF31029"/>
    <w:rsid w:val="2BF56F61"/>
    <w:rsid w:val="2BFE1EDB"/>
    <w:rsid w:val="2C0F4464"/>
    <w:rsid w:val="2C122C6D"/>
    <w:rsid w:val="2C127758"/>
    <w:rsid w:val="2C133ADC"/>
    <w:rsid w:val="2C1A4265"/>
    <w:rsid w:val="2C1F32E8"/>
    <w:rsid w:val="2C1F3A83"/>
    <w:rsid w:val="2C2326B1"/>
    <w:rsid w:val="2C26626A"/>
    <w:rsid w:val="2C275841"/>
    <w:rsid w:val="2C320643"/>
    <w:rsid w:val="2C383405"/>
    <w:rsid w:val="2C3E2651"/>
    <w:rsid w:val="2C451946"/>
    <w:rsid w:val="2C4630F8"/>
    <w:rsid w:val="2C512054"/>
    <w:rsid w:val="2C5B070C"/>
    <w:rsid w:val="2C636708"/>
    <w:rsid w:val="2C68059F"/>
    <w:rsid w:val="2C6917E7"/>
    <w:rsid w:val="2C6D0CF3"/>
    <w:rsid w:val="2C6E4915"/>
    <w:rsid w:val="2C756800"/>
    <w:rsid w:val="2C7F1E9E"/>
    <w:rsid w:val="2C890A05"/>
    <w:rsid w:val="2C8A4A20"/>
    <w:rsid w:val="2C923581"/>
    <w:rsid w:val="2C9A125F"/>
    <w:rsid w:val="2CA3554E"/>
    <w:rsid w:val="2CA44AD4"/>
    <w:rsid w:val="2CAA51C0"/>
    <w:rsid w:val="2CBC0FFA"/>
    <w:rsid w:val="2CBE0F03"/>
    <w:rsid w:val="2CC23437"/>
    <w:rsid w:val="2CC27AB8"/>
    <w:rsid w:val="2CC379B0"/>
    <w:rsid w:val="2CE55464"/>
    <w:rsid w:val="2CEF3C54"/>
    <w:rsid w:val="2CF23870"/>
    <w:rsid w:val="2D006219"/>
    <w:rsid w:val="2D05566F"/>
    <w:rsid w:val="2D11170D"/>
    <w:rsid w:val="2D1144F2"/>
    <w:rsid w:val="2D125BD8"/>
    <w:rsid w:val="2D13298D"/>
    <w:rsid w:val="2D1B758C"/>
    <w:rsid w:val="2D221D5D"/>
    <w:rsid w:val="2D2A0414"/>
    <w:rsid w:val="2D36293A"/>
    <w:rsid w:val="2D383726"/>
    <w:rsid w:val="2D384209"/>
    <w:rsid w:val="2D386439"/>
    <w:rsid w:val="2D431C50"/>
    <w:rsid w:val="2D591BF5"/>
    <w:rsid w:val="2D5A4622"/>
    <w:rsid w:val="2D5C59D6"/>
    <w:rsid w:val="2D682673"/>
    <w:rsid w:val="2D72614A"/>
    <w:rsid w:val="2D7365A8"/>
    <w:rsid w:val="2D76477A"/>
    <w:rsid w:val="2D7B766B"/>
    <w:rsid w:val="2D7F6825"/>
    <w:rsid w:val="2D9379FB"/>
    <w:rsid w:val="2D9E7CAE"/>
    <w:rsid w:val="2DA160BB"/>
    <w:rsid w:val="2DA73EF2"/>
    <w:rsid w:val="2DBA7FBA"/>
    <w:rsid w:val="2DBD1919"/>
    <w:rsid w:val="2DBE1024"/>
    <w:rsid w:val="2DC6390A"/>
    <w:rsid w:val="2DD119B3"/>
    <w:rsid w:val="2DD91849"/>
    <w:rsid w:val="2DE16ECB"/>
    <w:rsid w:val="2DE2223D"/>
    <w:rsid w:val="2DE40DD4"/>
    <w:rsid w:val="2DF559A1"/>
    <w:rsid w:val="2E0F2EDB"/>
    <w:rsid w:val="2E145E1D"/>
    <w:rsid w:val="2E18318C"/>
    <w:rsid w:val="2E223E47"/>
    <w:rsid w:val="2E270A97"/>
    <w:rsid w:val="2E337EFB"/>
    <w:rsid w:val="2E3C24D3"/>
    <w:rsid w:val="2E3F4045"/>
    <w:rsid w:val="2E406C0B"/>
    <w:rsid w:val="2E4430FB"/>
    <w:rsid w:val="2E4A213E"/>
    <w:rsid w:val="2E4F5FC9"/>
    <w:rsid w:val="2E5D5B7E"/>
    <w:rsid w:val="2E606CE4"/>
    <w:rsid w:val="2E6A7B7E"/>
    <w:rsid w:val="2E6B4F35"/>
    <w:rsid w:val="2E74677F"/>
    <w:rsid w:val="2E7C0A53"/>
    <w:rsid w:val="2E852ACB"/>
    <w:rsid w:val="2E852BFA"/>
    <w:rsid w:val="2E96142D"/>
    <w:rsid w:val="2EAE4D1A"/>
    <w:rsid w:val="2EB72D84"/>
    <w:rsid w:val="2EBB79E4"/>
    <w:rsid w:val="2ED17BBE"/>
    <w:rsid w:val="2ED21461"/>
    <w:rsid w:val="2ED965C4"/>
    <w:rsid w:val="2EDD7F11"/>
    <w:rsid w:val="2EE359E2"/>
    <w:rsid w:val="2EEC1574"/>
    <w:rsid w:val="2EF156DA"/>
    <w:rsid w:val="2EFA62B4"/>
    <w:rsid w:val="2F0A1F67"/>
    <w:rsid w:val="2F0D0720"/>
    <w:rsid w:val="2F196353"/>
    <w:rsid w:val="2F1B43C7"/>
    <w:rsid w:val="2F1F25DE"/>
    <w:rsid w:val="2F2B50C0"/>
    <w:rsid w:val="2F540BF7"/>
    <w:rsid w:val="2F5604CA"/>
    <w:rsid w:val="2F592F8F"/>
    <w:rsid w:val="2F5E7918"/>
    <w:rsid w:val="2F6275F4"/>
    <w:rsid w:val="2F653689"/>
    <w:rsid w:val="2F955C78"/>
    <w:rsid w:val="2F983EA3"/>
    <w:rsid w:val="2F9C38B6"/>
    <w:rsid w:val="2FA36E63"/>
    <w:rsid w:val="2FA539B8"/>
    <w:rsid w:val="2FA95C42"/>
    <w:rsid w:val="2FB20741"/>
    <w:rsid w:val="2FB5460E"/>
    <w:rsid w:val="2FB63264"/>
    <w:rsid w:val="2FB95B57"/>
    <w:rsid w:val="2FBC6E61"/>
    <w:rsid w:val="2FBD4238"/>
    <w:rsid w:val="2FC33170"/>
    <w:rsid w:val="2FD352CF"/>
    <w:rsid w:val="2FD66838"/>
    <w:rsid w:val="2FDB72F7"/>
    <w:rsid w:val="2FE079BA"/>
    <w:rsid w:val="2FED0B26"/>
    <w:rsid w:val="2FF81399"/>
    <w:rsid w:val="2FFE5A1F"/>
    <w:rsid w:val="300E7DD2"/>
    <w:rsid w:val="301612A7"/>
    <w:rsid w:val="301C704F"/>
    <w:rsid w:val="301F5880"/>
    <w:rsid w:val="30226805"/>
    <w:rsid w:val="3025300D"/>
    <w:rsid w:val="30270DB5"/>
    <w:rsid w:val="30297A00"/>
    <w:rsid w:val="3038011D"/>
    <w:rsid w:val="303C0D37"/>
    <w:rsid w:val="303C3120"/>
    <w:rsid w:val="304A77F3"/>
    <w:rsid w:val="30647F44"/>
    <w:rsid w:val="30661EC0"/>
    <w:rsid w:val="306B7CC5"/>
    <w:rsid w:val="30705633"/>
    <w:rsid w:val="30814B77"/>
    <w:rsid w:val="308645E8"/>
    <w:rsid w:val="309767C4"/>
    <w:rsid w:val="309E3BD0"/>
    <w:rsid w:val="30A474FE"/>
    <w:rsid w:val="30A87D63"/>
    <w:rsid w:val="30AD41EB"/>
    <w:rsid w:val="30AE0AAC"/>
    <w:rsid w:val="30AF3ABD"/>
    <w:rsid w:val="30B36B23"/>
    <w:rsid w:val="30BA5542"/>
    <w:rsid w:val="30C65728"/>
    <w:rsid w:val="30CC5260"/>
    <w:rsid w:val="30CD10F6"/>
    <w:rsid w:val="30D14AFA"/>
    <w:rsid w:val="30D7731D"/>
    <w:rsid w:val="30DE2356"/>
    <w:rsid w:val="30E14993"/>
    <w:rsid w:val="30E206FC"/>
    <w:rsid w:val="30E75DEF"/>
    <w:rsid w:val="30EF21BA"/>
    <w:rsid w:val="30EF472A"/>
    <w:rsid w:val="30EF5DD7"/>
    <w:rsid w:val="30FA5F5C"/>
    <w:rsid w:val="30FB65D1"/>
    <w:rsid w:val="30FC5A3F"/>
    <w:rsid w:val="310151A9"/>
    <w:rsid w:val="31052214"/>
    <w:rsid w:val="31062265"/>
    <w:rsid w:val="310640B8"/>
    <w:rsid w:val="311059C1"/>
    <w:rsid w:val="311D1BD8"/>
    <w:rsid w:val="3125512E"/>
    <w:rsid w:val="3136571E"/>
    <w:rsid w:val="313D27D5"/>
    <w:rsid w:val="314E7A79"/>
    <w:rsid w:val="31530BE6"/>
    <w:rsid w:val="31551FAD"/>
    <w:rsid w:val="315B29C1"/>
    <w:rsid w:val="31644472"/>
    <w:rsid w:val="31645690"/>
    <w:rsid w:val="316D5BBF"/>
    <w:rsid w:val="316E2FA4"/>
    <w:rsid w:val="3170139F"/>
    <w:rsid w:val="317213BC"/>
    <w:rsid w:val="317D02F3"/>
    <w:rsid w:val="31821D14"/>
    <w:rsid w:val="319567AC"/>
    <w:rsid w:val="31970B92"/>
    <w:rsid w:val="31980D50"/>
    <w:rsid w:val="319D5866"/>
    <w:rsid w:val="31AC3F23"/>
    <w:rsid w:val="31AF06BF"/>
    <w:rsid w:val="31CA5142"/>
    <w:rsid w:val="31D94323"/>
    <w:rsid w:val="31DF7DE0"/>
    <w:rsid w:val="31EF007A"/>
    <w:rsid w:val="31F34041"/>
    <w:rsid w:val="31F43EF2"/>
    <w:rsid w:val="31FF2950"/>
    <w:rsid w:val="320F656E"/>
    <w:rsid w:val="3229313A"/>
    <w:rsid w:val="322A09EC"/>
    <w:rsid w:val="322C1583"/>
    <w:rsid w:val="322E6D47"/>
    <w:rsid w:val="32343227"/>
    <w:rsid w:val="323E367C"/>
    <w:rsid w:val="323E79CE"/>
    <w:rsid w:val="324748F5"/>
    <w:rsid w:val="324F1302"/>
    <w:rsid w:val="326336E2"/>
    <w:rsid w:val="32792DC0"/>
    <w:rsid w:val="327945B0"/>
    <w:rsid w:val="32807969"/>
    <w:rsid w:val="328E57E0"/>
    <w:rsid w:val="32904380"/>
    <w:rsid w:val="32987720"/>
    <w:rsid w:val="329D378B"/>
    <w:rsid w:val="329F4D04"/>
    <w:rsid w:val="32AD5AEA"/>
    <w:rsid w:val="32AE251D"/>
    <w:rsid w:val="32BE1DF7"/>
    <w:rsid w:val="32C11A89"/>
    <w:rsid w:val="32C3640C"/>
    <w:rsid w:val="32C47E69"/>
    <w:rsid w:val="32C91062"/>
    <w:rsid w:val="32CF5741"/>
    <w:rsid w:val="32D41F8A"/>
    <w:rsid w:val="32DF4B9C"/>
    <w:rsid w:val="32E67DB7"/>
    <w:rsid w:val="32EE5E66"/>
    <w:rsid w:val="32F511C3"/>
    <w:rsid w:val="32F707FF"/>
    <w:rsid w:val="32FE7982"/>
    <w:rsid w:val="33047BC2"/>
    <w:rsid w:val="330D52B8"/>
    <w:rsid w:val="331A7AA9"/>
    <w:rsid w:val="331E1C54"/>
    <w:rsid w:val="33234BF4"/>
    <w:rsid w:val="3333036C"/>
    <w:rsid w:val="3334255C"/>
    <w:rsid w:val="33367EDC"/>
    <w:rsid w:val="333B7BFB"/>
    <w:rsid w:val="334C5DB8"/>
    <w:rsid w:val="334E7670"/>
    <w:rsid w:val="335A2666"/>
    <w:rsid w:val="336023C0"/>
    <w:rsid w:val="336054FE"/>
    <w:rsid w:val="336458B3"/>
    <w:rsid w:val="33666803"/>
    <w:rsid w:val="336E3E55"/>
    <w:rsid w:val="338344B6"/>
    <w:rsid w:val="338703EF"/>
    <w:rsid w:val="33871402"/>
    <w:rsid w:val="338A0060"/>
    <w:rsid w:val="338B2639"/>
    <w:rsid w:val="338C018A"/>
    <w:rsid w:val="338C598B"/>
    <w:rsid w:val="33901C94"/>
    <w:rsid w:val="33992634"/>
    <w:rsid w:val="33A045C6"/>
    <w:rsid w:val="33A2226D"/>
    <w:rsid w:val="33A655BD"/>
    <w:rsid w:val="33AF50D7"/>
    <w:rsid w:val="33B45472"/>
    <w:rsid w:val="33C2279E"/>
    <w:rsid w:val="33E26E4B"/>
    <w:rsid w:val="33E6404A"/>
    <w:rsid w:val="33E74A64"/>
    <w:rsid w:val="33E87421"/>
    <w:rsid w:val="34052E84"/>
    <w:rsid w:val="340706E9"/>
    <w:rsid w:val="340C4B71"/>
    <w:rsid w:val="340D3DB8"/>
    <w:rsid w:val="34195765"/>
    <w:rsid w:val="3422185A"/>
    <w:rsid w:val="3435099A"/>
    <w:rsid w:val="343B5578"/>
    <w:rsid w:val="34431811"/>
    <w:rsid w:val="34510B5E"/>
    <w:rsid w:val="3455626A"/>
    <w:rsid w:val="3465056A"/>
    <w:rsid w:val="346866A1"/>
    <w:rsid w:val="346C42A4"/>
    <w:rsid w:val="34700522"/>
    <w:rsid w:val="34806C8E"/>
    <w:rsid w:val="348167F0"/>
    <w:rsid w:val="34830033"/>
    <w:rsid w:val="34866D0C"/>
    <w:rsid w:val="34921598"/>
    <w:rsid w:val="349A1C0D"/>
    <w:rsid w:val="34A75868"/>
    <w:rsid w:val="34A83FD4"/>
    <w:rsid w:val="34B326E0"/>
    <w:rsid w:val="34BC7ADD"/>
    <w:rsid w:val="34C804C4"/>
    <w:rsid w:val="34C97E6C"/>
    <w:rsid w:val="34CA77B1"/>
    <w:rsid w:val="34D1002C"/>
    <w:rsid w:val="34DC1D0C"/>
    <w:rsid w:val="34E261D0"/>
    <w:rsid w:val="34E3740B"/>
    <w:rsid w:val="34EC41DF"/>
    <w:rsid w:val="34ED71D7"/>
    <w:rsid w:val="34F05A65"/>
    <w:rsid w:val="34F65DF3"/>
    <w:rsid w:val="350C5A51"/>
    <w:rsid w:val="350D2053"/>
    <w:rsid w:val="350D51A0"/>
    <w:rsid w:val="350F0F1C"/>
    <w:rsid w:val="352046B0"/>
    <w:rsid w:val="35286BF7"/>
    <w:rsid w:val="353E2A70"/>
    <w:rsid w:val="35417A3C"/>
    <w:rsid w:val="35417A73"/>
    <w:rsid w:val="35522321"/>
    <w:rsid w:val="355D53D4"/>
    <w:rsid w:val="35753453"/>
    <w:rsid w:val="35962A23"/>
    <w:rsid w:val="3599429E"/>
    <w:rsid w:val="35A73257"/>
    <w:rsid w:val="35B12F84"/>
    <w:rsid w:val="35B57875"/>
    <w:rsid w:val="35C828C9"/>
    <w:rsid w:val="35D1751A"/>
    <w:rsid w:val="35F75996"/>
    <w:rsid w:val="36033A12"/>
    <w:rsid w:val="362F0086"/>
    <w:rsid w:val="36302FF7"/>
    <w:rsid w:val="363C0D2A"/>
    <w:rsid w:val="363D403E"/>
    <w:rsid w:val="364B5DC6"/>
    <w:rsid w:val="365B4010"/>
    <w:rsid w:val="36653A4C"/>
    <w:rsid w:val="366D3CBC"/>
    <w:rsid w:val="366E242B"/>
    <w:rsid w:val="36704443"/>
    <w:rsid w:val="36732D61"/>
    <w:rsid w:val="36750E50"/>
    <w:rsid w:val="367C01BA"/>
    <w:rsid w:val="369B33E0"/>
    <w:rsid w:val="369C290D"/>
    <w:rsid w:val="369E499C"/>
    <w:rsid w:val="36AC2A9D"/>
    <w:rsid w:val="36B77EB7"/>
    <w:rsid w:val="36BC50FA"/>
    <w:rsid w:val="36DB6184"/>
    <w:rsid w:val="36DE7BD3"/>
    <w:rsid w:val="36E302E1"/>
    <w:rsid w:val="36EA2024"/>
    <w:rsid w:val="36F210B1"/>
    <w:rsid w:val="36FD7B52"/>
    <w:rsid w:val="36FE2945"/>
    <w:rsid w:val="36FF76AE"/>
    <w:rsid w:val="370C1C5B"/>
    <w:rsid w:val="370F0532"/>
    <w:rsid w:val="371D3482"/>
    <w:rsid w:val="372F61E0"/>
    <w:rsid w:val="374F22A6"/>
    <w:rsid w:val="37592FE4"/>
    <w:rsid w:val="375E20CF"/>
    <w:rsid w:val="376215AD"/>
    <w:rsid w:val="377336AC"/>
    <w:rsid w:val="377C1015"/>
    <w:rsid w:val="377F502A"/>
    <w:rsid w:val="37804449"/>
    <w:rsid w:val="378A028C"/>
    <w:rsid w:val="379362EF"/>
    <w:rsid w:val="37A07F50"/>
    <w:rsid w:val="37A30ED5"/>
    <w:rsid w:val="37B77B75"/>
    <w:rsid w:val="37BC42C1"/>
    <w:rsid w:val="37BC5BB5"/>
    <w:rsid w:val="37C6490D"/>
    <w:rsid w:val="37C702A9"/>
    <w:rsid w:val="37CA1388"/>
    <w:rsid w:val="37CC6ED3"/>
    <w:rsid w:val="37E823A6"/>
    <w:rsid w:val="37F94643"/>
    <w:rsid w:val="37FB24F6"/>
    <w:rsid w:val="3806724C"/>
    <w:rsid w:val="380F6006"/>
    <w:rsid w:val="38167D96"/>
    <w:rsid w:val="38260B47"/>
    <w:rsid w:val="38292EF5"/>
    <w:rsid w:val="38305180"/>
    <w:rsid w:val="38337A8F"/>
    <w:rsid w:val="383504E6"/>
    <w:rsid w:val="383B2625"/>
    <w:rsid w:val="3840605A"/>
    <w:rsid w:val="38433C45"/>
    <w:rsid w:val="3850158A"/>
    <w:rsid w:val="38504F55"/>
    <w:rsid w:val="385A1714"/>
    <w:rsid w:val="385C1B7F"/>
    <w:rsid w:val="38610D05"/>
    <w:rsid w:val="387305DE"/>
    <w:rsid w:val="387415AD"/>
    <w:rsid w:val="38747024"/>
    <w:rsid w:val="38892362"/>
    <w:rsid w:val="388E7BD9"/>
    <w:rsid w:val="388F49F5"/>
    <w:rsid w:val="3896773F"/>
    <w:rsid w:val="38AB3C78"/>
    <w:rsid w:val="38C70885"/>
    <w:rsid w:val="38DB4964"/>
    <w:rsid w:val="38E15005"/>
    <w:rsid w:val="38E956EF"/>
    <w:rsid w:val="38FA192C"/>
    <w:rsid w:val="38FB4BD9"/>
    <w:rsid w:val="39072D1B"/>
    <w:rsid w:val="39076C11"/>
    <w:rsid w:val="391F2580"/>
    <w:rsid w:val="39221703"/>
    <w:rsid w:val="39235ECE"/>
    <w:rsid w:val="39262192"/>
    <w:rsid w:val="39283EEC"/>
    <w:rsid w:val="392D67AC"/>
    <w:rsid w:val="392D67DD"/>
    <w:rsid w:val="3930488C"/>
    <w:rsid w:val="39401394"/>
    <w:rsid w:val="39421A95"/>
    <w:rsid w:val="394E2921"/>
    <w:rsid w:val="39507C97"/>
    <w:rsid w:val="396673B2"/>
    <w:rsid w:val="3968060E"/>
    <w:rsid w:val="397273BD"/>
    <w:rsid w:val="397B41D5"/>
    <w:rsid w:val="398473E8"/>
    <w:rsid w:val="399B0CD4"/>
    <w:rsid w:val="39A0637B"/>
    <w:rsid w:val="39A36C79"/>
    <w:rsid w:val="39A644DA"/>
    <w:rsid w:val="39C45E2D"/>
    <w:rsid w:val="39C531C8"/>
    <w:rsid w:val="39E23259"/>
    <w:rsid w:val="39E45F74"/>
    <w:rsid w:val="39EA289E"/>
    <w:rsid w:val="39FF3B21"/>
    <w:rsid w:val="3A0606BF"/>
    <w:rsid w:val="3A070F03"/>
    <w:rsid w:val="3A0B2C87"/>
    <w:rsid w:val="3A0E4E62"/>
    <w:rsid w:val="3A0F0F43"/>
    <w:rsid w:val="3A1E08FF"/>
    <w:rsid w:val="3A2140D2"/>
    <w:rsid w:val="3A2322A5"/>
    <w:rsid w:val="3A2617F6"/>
    <w:rsid w:val="3A2A230A"/>
    <w:rsid w:val="3A2B6F44"/>
    <w:rsid w:val="3A380799"/>
    <w:rsid w:val="3A3B3117"/>
    <w:rsid w:val="3A4407FC"/>
    <w:rsid w:val="3A476B5E"/>
    <w:rsid w:val="3A4B0E8F"/>
    <w:rsid w:val="3A515F62"/>
    <w:rsid w:val="3A5C7287"/>
    <w:rsid w:val="3A711825"/>
    <w:rsid w:val="3A786FF1"/>
    <w:rsid w:val="3A7C018D"/>
    <w:rsid w:val="3A931991"/>
    <w:rsid w:val="3A9B37BE"/>
    <w:rsid w:val="3AA82CF8"/>
    <w:rsid w:val="3AAC5B36"/>
    <w:rsid w:val="3AB704E3"/>
    <w:rsid w:val="3ACD0488"/>
    <w:rsid w:val="3AD06974"/>
    <w:rsid w:val="3AD34FAD"/>
    <w:rsid w:val="3AD57AD7"/>
    <w:rsid w:val="3ADA42A0"/>
    <w:rsid w:val="3AE17B99"/>
    <w:rsid w:val="3AE41190"/>
    <w:rsid w:val="3AED2DDA"/>
    <w:rsid w:val="3AED7D56"/>
    <w:rsid w:val="3AF1226A"/>
    <w:rsid w:val="3AF21E9B"/>
    <w:rsid w:val="3AFD31D5"/>
    <w:rsid w:val="3AFF66D9"/>
    <w:rsid w:val="3B0A7A50"/>
    <w:rsid w:val="3B0E6168"/>
    <w:rsid w:val="3B105BA8"/>
    <w:rsid w:val="3B166EA8"/>
    <w:rsid w:val="3B1D3B4F"/>
    <w:rsid w:val="3B2414E4"/>
    <w:rsid w:val="3B277374"/>
    <w:rsid w:val="3B344321"/>
    <w:rsid w:val="3B3500CB"/>
    <w:rsid w:val="3B3B45D5"/>
    <w:rsid w:val="3B45524B"/>
    <w:rsid w:val="3B4F35F9"/>
    <w:rsid w:val="3B50783E"/>
    <w:rsid w:val="3B5576EF"/>
    <w:rsid w:val="3B6A281B"/>
    <w:rsid w:val="3B6E0271"/>
    <w:rsid w:val="3B896874"/>
    <w:rsid w:val="3B8D358A"/>
    <w:rsid w:val="3B9D4373"/>
    <w:rsid w:val="3BA55A3E"/>
    <w:rsid w:val="3BA92EC6"/>
    <w:rsid w:val="3BB663C6"/>
    <w:rsid w:val="3BB94D10"/>
    <w:rsid w:val="3BC76121"/>
    <w:rsid w:val="3BDE416C"/>
    <w:rsid w:val="3BE70BEC"/>
    <w:rsid w:val="3C0435A9"/>
    <w:rsid w:val="3C147E29"/>
    <w:rsid w:val="3C2B34B5"/>
    <w:rsid w:val="3C3158BF"/>
    <w:rsid w:val="3C356755"/>
    <w:rsid w:val="3C3657CA"/>
    <w:rsid w:val="3C471EF3"/>
    <w:rsid w:val="3C4F32E9"/>
    <w:rsid w:val="3C512C6A"/>
    <w:rsid w:val="3C516E85"/>
    <w:rsid w:val="3C5E6096"/>
    <w:rsid w:val="3C65475F"/>
    <w:rsid w:val="3C6B63F3"/>
    <w:rsid w:val="3C6C20DA"/>
    <w:rsid w:val="3C6D0AA3"/>
    <w:rsid w:val="3C7D446D"/>
    <w:rsid w:val="3C810DD3"/>
    <w:rsid w:val="3C8805E4"/>
    <w:rsid w:val="3C8D7564"/>
    <w:rsid w:val="3C903856"/>
    <w:rsid w:val="3C9C3B7B"/>
    <w:rsid w:val="3CA32DC2"/>
    <w:rsid w:val="3CB00A96"/>
    <w:rsid w:val="3CB05E10"/>
    <w:rsid w:val="3CB46AF1"/>
    <w:rsid w:val="3CBF3D07"/>
    <w:rsid w:val="3CCB65C1"/>
    <w:rsid w:val="3CDC23E6"/>
    <w:rsid w:val="3CDE7B9F"/>
    <w:rsid w:val="3CDF7D60"/>
    <w:rsid w:val="3CE242F0"/>
    <w:rsid w:val="3CE90D4D"/>
    <w:rsid w:val="3CEC1737"/>
    <w:rsid w:val="3CEC5BD9"/>
    <w:rsid w:val="3CF7310E"/>
    <w:rsid w:val="3CFA0B96"/>
    <w:rsid w:val="3CFF5E1E"/>
    <w:rsid w:val="3D0A2A8A"/>
    <w:rsid w:val="3D0D553D"/>
    <w:rsid w:val="3D12272E"/>
    <w:rsid w:val="3D1C31D0"/>
    <w:rsid w:val="3D275BDD"/>
    <w:rsid w:val="3D2C7BB0"/>
    <w:rsid w:val="3D321FA1"/>
    <w:rsid w:val="3D420661"/>
    <w:rsid w:val="3D440651"/>
    <w:rsid w:val="3D441282"/>
    <w:rsid w:val="3D4C7108"/>
    <w:rsid w:val="3D5C306C"/>
    <w:rsid w:val="3D664EAE"/>
    <w:rsid w:val="3D6A3EE4"/>
    <w:rsid w:val="3D6B3871"/>
    <w:rsid w:val="3D6E15B5"/>
    <w:rsid w:val="3D6E546B"/>
    <w:rsid w:val="3D7D1F70"/>
    <w:rsid w:val="3D8160E3"/>
    <w:rsid w:val="3D816BC1"/>
    <w:rsid w:val="3D8762BD"/>
    <w:rsid w:val="3D941FD0"/>
    <w:rsid w:val="3D992C23"/>
    <w:rsid w:val="3DA75BB4"/>
    <w:rsid w:val="3DAA794B"/>
    <w:rsid w:val="3DB73788"/>
    <w:rsid w:val="3DBE7888"/>
    <w:rsid w:val="3DC72FAC"/>
    <w:rsid w:val="3DCF7FC2"/>
    <w:rsid w:val="3DD4640D"/>
    <w:rsid w:val="3DDE6D75"/>
    <w:rsid w:val="3DE32EC6"/>
    <w:rsid w:val="3DE7136C"/>
    <w:rsid w:val="3DE84532"/>
    <w:rsid w:val="3DF17FF3"/>
    <w:rsid w:val="3DF830A2"/>
    <w:rsid w:val="3E00648E"/>
    <w:rsid w:val="3E05231B"/>
    <w:rsid w:val="3E097ED6"/>
    <w:rsid w:val="3E0F619F"/>
    <w:rsid w:val="3E130FD6"/>
    <w:rsid w:val="3E255837"/>
    <w:rsid w:val="3E29379B"/>
    <w:rsid w:val="3E2C07D2"/>
    <w:rsid w:val="3E3B796C"/>
    <w:rsid w:val="3E4B1EC4"/>
    <w:rsid w:val="3E4C5C7B"/>
    <w:rsid w:val="3E4F06BE"/>
    <w:rsid w:val="3E5636F5"/>
    <w:rsid w:val="3E60232E"/>
    <w:rsid w:val="3E6966CC"/>
    <w:rsid w:val="3E6F6349"/>
    <w:rsid w:val="3E7001DF"/>
    <w:rsid w:val="3E815E9D"/>
    <w:rsid w:val="3E83181D"/>
    <w:rsid w:val="3E8F04CD"/>
    <w:rsid w:val="3E937378"/>
    <w:rsid w:val="3E994F65"/>
    <w:rsid w:val="3EA37326"/>
    <w:rsid w:val="3EA4334C"/>
    <w:rsid w:val="3EAC4BE0"/>
    <w:rsid w:val="3EC21710"/>
    <w:rsid w:val="3EC85974"/>
    <w:rsid w:val="3ECB1DC0"/>
    <w:rsid w:val="3ED07B39"/>
    <w:rsid w:val="3ED82673"/>
    <w:rsid w:val="3EEE4BA8"/>
    <w:rsid w:val="3EF065CE"/>
    <w:rsid w:val="3F09723D"/>
    <w:rsid w:val="3F0F602F"/>
    <w:rsid w:val="3F141719"/>
    <w:rsid w:val="3F227ECC"/>
    <w:rsid w:val="3F2A1510"/>
    <w:rsid w:val="3F2A7F57"/>
    <w:rsid w:val="3F323523"/>
    <w:rsid w:val="3F382246"/>
    <w:rsid w:val="3F426552"/>
    <w:rsid w:val="3F433E5A"/>
    <w:rsid w:val="3F4924E0"/>
    <w:rsid w:val="3F4B2A51"/>
    <w:rsid w:val="3F4B7BEF"/>
    <w:rsid w:val="3F4F4696"/>
    <w:rsid w:val="3F577277"/>
    <w:rsid w:val="3F59407A"/>
    <w:rsid w:val="3F655A88"/>
    <w:rsid w:val="3F682D95"/>
    <w:rsid w:val="3F83115D"/>
    <w:rsid w:val="3F850146"/>
    <w:rsid w:val="3F867C48"/>
    <w:rsid w:val="3F9524D1"/>
    <w:rsid w:val="3F963935"/>
    <w:rsid w:val="3F971B4B"/>
    <w:rsid w:val="3F9C7D6C"/>
    <w:rsid w:val="3FA7520A"/>
    <w:rsid w:val="3FB14C5B"/>
    <w:rsid w:val="3FBD7ADB"/>
    <w:rsid w:val="3FC165DA"/>
    <w:rsid w:val="3FCD5396"/>
    <w:rsid w:val="3FD91DCF"/>
    <w:rsid w:val="3FDA74C6"/>
    <w:rsid w:val="3FDE5C0F"/>
    <w:rsid w:val="3FDF5A49"/>
    <w:rsid w:val="3FDF6208"/>
    <w:rsid w:val="3FED10C4"/>
    <w:rsid w:val="3FF8067D"/>
    <w:rsid w:val="3FF86E00"/>
    <w:rsid w:val="3FFD69BE"/>
    <w:rsid w:val="4008198D"/>
    <w:rsid w:val="40093CF1"/>
    <w:rsid w:val="400C257F"/>
    <w:rsid w:val="40115867"/>
    <w:rsid w:val="40115E5D"/>
    <w:rsid w:val="40142B28"/>
    <w:rsid w:val="402278BF"/>
    <w:rsid w:val="402551CC"/>
    <w:rsid w:val="403F7575"/>
    <w:rsid w:val="40425ADD"/>
    <w:rsid w:val="404A6495"/>
    <w:rsid w:val="404C0EDB"/>
    <w:rsid w:val="405A7340"/>
    <w:rsid w:val="406563D6"/>
    <w:rsid w:val="406B7B27"/>
    <w:rsid w:val="406D2642"/>
    <w:rsid w:val="406E3006"/>
    <w:rsid w:val="4072272B"/>
    <w:rsid w:val="408077B7"/>
    <w:rsid w:val="4093153B"/>
    <w:rsid w:val="40A1164F"/>
    <w:rsid w:val="40A44D18"/>
    <w:rsid w:val="40AD7C5B"/>
    <w:rsid w:val="40C441AC"/>
    <w:rsid w:val="40CD5F0B"/>
    <w:rsid w:val="40DD12C2"/>
    <w:rsid w:val="40DD4729"/>
    <w:rsid w:val="40E47D03"/>
    <w:rsid w:val="40EB7E0B"/>
    <w:rsid w:val="40FF5B53"/>
    <w:rsid w:val="411A01DD"/>
    <w:rsid w:val="411E2BE4"/>
    <w:rsid w:val="412A6EF0"/>
    <w:rsid w:val="41382CD2"/>
    <w:rsid w:val="413A144A"/>
    <w:rsid w:val="414313A1"/>
    <w:rsid w:val="41432C93"/>
    <w:rsid w:val="41494E4C"/>
    <w:rsid w:val="41536A1C"/>
    <w:rsid w:val="41694287"/>
    <w:rsid w:val="416B194D"/>
    <w:rsid w:val="41702038"/>
    <w:rsid w:val="417C0FC6"/>
    <w:rsid w:val="41AE4D04"/>
    <w:rsid w:val="41B35408"/>
    <w:rsid w:val="41BE3E52"/>
    <w:rsid w:val="41C276F1"/>
    <w:rsid w:val="41C3503D"/>
    <w:rsid w:val="41C36A02"/>
    <w:rsid w:val="41D23F1B"/>
    <w:rsid w:val="41D8445C"/>
    <w:rsid w:val="41E6662C"/>
    <w:rsid w:val="41E73B64"/>
    <w:rsid w:val="41F2243E"/>
    <w:rsid w:val="41F85D27"/>
    <w:rsid w:val="420E2A1A"/>
    <w:rsid w:val="42117470"/>
    <w:rsid w:val="422931DB"/>
    <w:rsid w:val="422D580E"/>
    <w:rsid w:val="422E5E40"/>
    <w:rsid w:val="4233451A"/>
    <w:rsid w:val="4237497C"/>
    <w:rsid w:val="424D68DB"/>
    <w:rsid w:val="424F796B"/>
    <w:rsid w:val="42522235"/>
    <w:rsid w:val="42565FD0"/>
    <w:rsid w:val="42596CCD"/>
    <w:rsid w:val="425B1E6E"/>
    <w:rsid w:val="425E5FDE"/>
    <w:rsid w:val="427F350F"/>
    <w:rsid w:val="42914340"/>
    <w:rsid w:val="42916AC5"/>
    <w:rsid w:val="429E1D4C"/>
    <w:rsid w:val="42AE68ED"/>
    <w:rsid w:val="42AF1A12"/>
    <w:rsid w:val="42B008AC"/>
    <w:rsid w:val="42B03AF6"/>
    <w:rsid w:val="42B20943"/>
    <w:rsid w:val="42B41EBB"/>
    <w:rsid w:val="42C97B42"/>
    <w:rsid w:val="42D739B6"/>
    <w:rsid w:val="42E23051"/>
    <w:rsid w:val="42F21FE1"/>
    <w:rsid w:val="42F454E4"/>
    <w:rsid w:val="43127FA0"/>
    <w:rsid w:val="431D66E9"/>
    <w:rsid w:val="43283F91"/>
    <w:rsid w:val="43303976"/>
    <w:rsid w:val="433B30A3"/>
    <w:rsid w:val="4340181D"/>
    <w:rsid w:val="434150E2"/>
    <w:rsid w:val="43547FC2"/>
    <w:rsid w:val="43587C29"/>
    <w:rsid w:val="435C6176"/>
    <w:rsid w:val="43616901"/>
    <w:rsid w:val="43677A21"/>
    <w:rsid w:val="436A6992"/>
    <w:rsid w:val="436B1258"/>
    <w:rsid w:val="436D4ECF"/>
    <w:rsid w:val="43791B5A"/>
    <w:rsid w:val="437A73AE"/>
    <w:rsid w:val="43806B74"/>
    <w:rsid w:val="438E56E3"/>
    <w:rsid w:val="43902568"/>
    <w:rsid w:val="43922D90"/>
    <w:rsid w:val="439E00F9"/>
    <w:rsid w:val="43A300C5"/>
    <w:rsid w:val="43A7408E"/>
    <w:rsid w:val="43AA1790"/>
    <w:rsid w:val="43AE7B31"/>
    <w:rsid w:val="43B14BBF"/>
    <w:rsid w:val="43B24CCF"/>
    <w:rsid w:val="43B43752"/>
    <w:rsid w:val="43BE0F70"/>
    <w:rsid w:val="43D14618"/>
    <w:rsid w:val="43D46454"/>
    <w:rsid w:val="43D60064"/>
    <w:rsid w:val="43E63027"/>
    <w:rsid w:val="43EF4482"/>
    <w:rsid w:val="43F362FE"/>
    <w:rsid w:val="43F669C3"/>
    <w:rsid w:val="43FA4727"/>
    <w:rsid w:val="44036A07"/>
    <w:rsid w:val="44205D19"/>
    <w:rsid w:val="44266B5B"/>
    <w:rsid w:val="442C10DA"/>
    <w:rsid w:val="44314B0E"/>
    <w:rsid w:val="4432296D"/>
    <w:rsid w:val="445E2A97"/>
    <w:rsid w:val="44697238"/>
    <w:rsid w:val="446B48FC"/>
    <w:rsid w:val="446B6541"/>
    <w:rsid w:val="446F0748"/>
    <w:rsid w:val="447557A6"/>
    <w:rsid w:val="44785AEE"/>
    <w:rsid w:val="447D493F"/>
    <w:rsid w:val="44827275"/>
    <w:rsid w:val="44832A4B"/>
    <w:rsid w:val="44843CC9"/>
    <w:rsid w:val="44880967"/>
    <w:rsid w:val="44895B34"/>
    <w:rsid w:val="449B3DB9"/>
    <w:rsid w:val="449E2C16"/>
    <w:rsid w:val="44A665F1"/>
    <w:rsid w:val="44A717DB"/>
    <w:rsid w:val="44A827BF"/>
    <w:rsid w:val="44AE35BC"/>
    <w:rsid w:val="44B673AA"/>
    <w:rsid w:val="44BC28D1"/>
    <w:rsid w:val="44BF5F67"/>
    <w:rsid w:val="44CA6955"/>
    <w:rsid w:val="44D24A75"/>
    <w:rsid w:val="44D26E80"/>
    <w:rsid w:val="44DB773A"/>
    <w:rsid w:val="44E336B8"/>
    <w:rsid w:val="44F14784"/>
    <w:rsid w:val="450039C1"/>
    <w:rsid w:val="45157AFD"/>
    <w:rsid w:val="451A32B1"/>
    <w:rsid w:val="451E341B"/>
    <w:rsid w:val="452611BF"/>
    <w:rsid w:val="45275A63"/>
    <w:rsid w:val="452D6C34"/>
    <w:rsid w:val="453A7EC8"/>
    <w:rsid w:val="454D00BA"/>
    <w:rsid w:val="455A14D6"/>
    <w:rsid w:val="455E73BA"/>
    <w:rsid w:val="45644B1A"/>
    <w:rsid w:val="456951DA"/>
    <w:rsid w:val="4580730D"/>
    <w:rsid w:val="45973AD6"/>
    <w:rsid w:val="45987603"/>
    <w:rsid w:val="459E5857"/>
    <w:rsid w:val="45A52B1C"/>
    <w:rsid w:val="45AA0617"/>
    <w:rsid w:val="45AC4CF4"/>
    <w:rsid w:val="45AD524F"/>
    <w:rsid w:val="45AE36B8"/>
    <w:rsid w:val="45BD148D"/>
    <w:rsid w:val="45CA0AA2"/>
    <w:rsid w:val="45CF7FBC"/>
    <w:rsid w:val="45D1041B"/>
    <w:rsid w:val="45D35BB2"/>
    <w:rsid w:val="45D63259"/>
    <w:rsid w:val="45DE6424"/>
    <w:rsid w:val="45F01A26"/>
    <w:rsid w:val="45F35C5E"/>
    <w:rsid w:val="45FB3756"/>
    <w:rsid w:val="45FC6AE1"/>
    <w:rsid w:val="461B1594"/>
    <w:rsid w:val="461E68D1"/>
    <w:rsid w:val="461E7E71"/>
    <w:rsid w:val="46203691"/>
    <w:rsid w:val="4621349D"/>
    <w:rsid w:val="46256620"/>
    <w:rsid w:val="46400CA9"/>
    <w:rsid w:val="46406C53"/>
    <w:rsid w:val="464B4343"/>
    <w:rsid w:val="465A4FCD"/>
    <w:rsid w:val="465B230D"/>
    <w:rsid w:val="465D5881"/>
    <w:rsid w:val="4662285A"/>
    <w:rsid w:val="466B3AEF"/>
    <w:rsid w:val="467208A3"/>
    <w:rsid w:val="46810023"/>
    <w:rsid w:val="4681678B"/>
    <w:rsid w:val="468354F8"/>
    <w:rsid w:val="46836109"/>
    <w:rsid w:val="468377A8"/>
    <w:rsid w:val="46853ACF"/>
    <w:rsid w:val="468B0189"/>
    <w:rsid w:val="46992B3D"/>
    <w:rsid w:val="46995FD1"/>
    <w:rsid w:val="46A97A1A"/>
    <w:rsid w:val="46AE4E1D"/>
    <w:rsid w:val="46B06667"/>
    <w:rsid w:val="46BA097B"/>
    <w:rsid w:val="46C155A5"/>
    <w:rsid w:val="46C35907"/>
    <w:rsid w:val="46F53662"/>
    <w:rsid w:val="46F76979"/>
    <w:rsid w:val="47032B85"/>
    <w:rsid w:val="47111705"/>
    <w:rsid w:val="4719625B"/>
    <w:rsid w:val="472C0755"/>
    <w:rsid w:val="473E02B7"/>
    <w:rsid w:val="4745188E"/>
    <w:rsid w:val="47456C05"/>
    <w:rsid w:val="475315B5"/>
    <w:rsid w:val="47543990"/>
    <w:rsid w:val="475E2EA5"/>
    <w:rsid w:val="476361F9"/>
    <w:rsid w:val="476A6742"/>
    <w:rsid w:val="476D2EF2"/>
    <w:rsid w:val="476E7A2B"/>
    <w:rsid w:val="4773751C"/>
    <w:rsid w:val="477A07F4"/>
    <w:rsid w:val="47812160"/>
    <w:rsid w:val="478B4F45"/>
    <w:rsid w:val="47916B77"/>
    <w:rsid w:val="47994140"/>
    <w:rsid w:val="47A47517"/>
    <w:rsid w:val="47AE1A1A"/>
    <w:rsid w:val="47B425AF"/>
    <w:rsid w:val="47B54AA8"/>
    <w:rsid w:val="47BD13B2"/>
    <w:rsid w:val="47BF5406"/>
    <w:rsid w:val="47C073E7"/>
    <w:rsid w:val="47C43C50"/>
    <w:rsid w:val="47C621A4"/>
    <w:rsid w:val="47CF18FB"/>
    <w:rsid w:val="47DD67B3"/>
    <w:rsid w:val="47DE197A"/>
    <w:rsid w:val="47F04F1C"/>
    <w:rsid w:val="47F261EE"/>
    <w:rsid w:val="47FE172A"/>
    <w:rsid w:val="4801327C"/>
    <w:rsid w:val="480F301E"/>
    <w:rsid w:val="4820558B"/>
    <w:rsid w:val="48341C04"/>
    <w:rsid w:val="4843441C"/>
    <w:rsid w:val="484F3A0B"/>
    <w:rsid w:val="484F4E45"/>
    <w:rsid w:val="485559BC"/>
    <w:rsid w:val="485E0800"/>
    <w:rsid w:val="485F6B32"/>
    <w:rsid w:val="48624741"/>
    <w:rsid w:val="486401D4"/>
    <w:rsid w:val="48641732"/>
    <w:rsid w:val="48671159"/>
    <w:rsid w:val="48713429"/>
    <w:rsid w:val="487B29C9"/>
    <w:rsid w:val="487B3B0A"/>
    <w:rsid w:val="488341D3"/>
    <w:rsid w:val="4891605D"/>
    <w:rsid w:val="4894769F"/>
    <w:rsid w:val="48A40B02"/>
    <w:rsid w:val="48B03CBE"/>
    <w:rsid w:val="48D173C6"/>
    <w:rsid w:val="48D24F85"/>
    <w:rsid w:val="48D357E6"/>
    <w:rsid w:val="48DA5C15"/>
    <w:rsid w:val="48DD01C8"/>
    <w:rsid w:val="48DF33D4"/>
    <w:rsid w:val="48E02F78"/>
    <w:rsid w:val="48E17F50"/>
    <w:rsid w:val="48E70017"/>
    <w:rsid w:val="48E76F84"/>
    <w:rsid w:val="48F00546"/>
    <w:rsid w:val="48F82C53"/>
    <w:rsid w:val="49052769"/>
    <w:rsid w:val="4906501C"/>
    <w:rsid w:val="49132398"/>
    <w:rsid w:val="49197392"/>
    <w:rsid w:val="491B5B23"/>
    <w:rsid w:val="49305088"/>
    <w:rsid w:val="493B491E"/>
    <w:rsid w:val="49400E3C"/>
    <w:rsid w:val="494305AE"/>
    <w:rsid w:val="49550F29"/>
    <w:rsid w:val="495C70E7"/>
    <w:rsid w:val="498E5DDA"/>
    <w:rsid w:val="499A319C"/>
    <w:rsid w:val="499F31C8"/>
    <w:rsid w:val="49A3785C"/>
    <w:rsid w:val="49A75100"/>
    <w:rsid w:val="49AB5C8C"/>
    <w:rsid w:val="49B6483C"/>
    <w:rsid w:val="49B66680"/>
    <w:rsid w:val="49C33FF5"/>
    <w:rsid w:val="49C75CA3"/>
    <w:rsid w:val="49C810C7"/>
    <w:rsid w:val="49CD3F23"/>
    <w:rsid w:val="49D145CB"/>
    <w:rsid w:val="49D77CBD"/>
    <w:rsid w:val="49E56673"/>
    <w:rsid w:val="49E64E4D"/>
    <w:rsid w:val="49EE703D"/>
    <w:rsid w:val="49F61864"/>
    <w:rsid w:val="4A096C92"/>
    <w:rsid w:val="4A0F6E1A"/>
    <w:rsid w:val="4A125A83"/>
    <w:rsid w:val="4A171DB0"/>
    <w:rsid w:val="4A2057D8"/>
    <w:rsid w:val="4A284B3F"/>
    <w:rsid w:val="4A35566D"/>
    <w:rsid w:val="4A3E4206"/>
    <w:rsid w:val="4A451D7A"/>
    <w:rsid w:val="4A55265D"/>
    <w:rsid w:val="4A5A35C4"/>
    <w:rsid w:val="4A6F2547"/>
    <w:rsid w:val="4A807CE1"/>
    <w:rsid w:val="4A861680"/>
    <w:rsid w:val="4A8764D3"/>
    <w:rsid w:val="4A980B3E"/>
    <w:rsid w:val="4A9A2FE3"/>
    <w:rsid w:val="4A9A3140"/>
    <w:rsid w:val="4AA25E62"/>
    <w:rsid w:val="4AA9182F"/>
    <w:rsid w:val="4AB42F1C"/>
    <w:rsid w:val="4AC77F8B"/>
    <w:rsid w:val="4AC91B47"/>
    <w:rsid w:val="4AD74EF4"/>
    <w:rsid w:val="4ADB1B7B"/>
    <w:rsid w:val="4AF95C0F"/>
    <w:rsid w:val="4AFF253A"/>
    <w:rsid w:val="4B037864"/>
    <w:rsid w:val="4B151DD8"/>
    <w:rsid w:val="4B1D284D"/>
    <w:rsid w:val="4B2F5A69"/>
    <w:rsid w:val="4B4A4B77"/>
    <w:rsid w:val="4B4E6CCD"/>
    <w:rsid w:val="4B5C1BDE"/>
    <w:rsid w:val="4B600DBB"/>
    <w:rsid w:val="4B740186"/>
    <w:rsid w:val="4B7467CA"/>
    <w:rsid w:val="4B8464B3"/>
    <w:rsid w:val="4B9020FB"/>
    <w:rsid w:val="4B93258A"/>
    <w:rsid w:val="4B96469A"/>
    <w:rsid w:val="4B966D92"/>
    <w:rsid w:val="4B97572B"/>
    <w:rsid w:val="4B9B2052"/>
    <w:rsid w:val="4B9C5862"/>
    <w:rsid w:val="4BAF0B9A"/>
    <w:rsid w:val="4BD2790E"/>
    <w:rsid w:val="4BD47B3A"/>
    <w:rsid w:val="4BE60345"/>
    <w:rsid w:val="4BF61A49"/>
    <w:rsid w:val="4BFA345C"/>
    <w:rsid w:val="4BFD254C"/>
    <w:rsid w:val="4BFD2BB9"/>
    <w:rsid w:val="4C007D9B"/>
    <w:rsid w:val="4C097E52"/>
    <w:rsid w:val="4C0A34CE"/>
    <w:rsid w:val="4C0B0F4F"/>
    <w:rsid w:val="4C16022B"/>
    <w:rsid w:val="4C1A4760"/>
    <w:rsid w:val="4C201254"/>
    <w:rsid w:val="4C251632"/>
    <w:rsid w:val="4C266DAF"/>
    <w:rsid w:val="4C3C7997"/>
    <w:rsid w:val="4C3E2B07"/>
    <w:rsid w:val="4C423D11"/>
    <w:rsid w:val="4C4277B1"/>
    <w:rsid w:val="4C46543A"/>
    <w:rsid w:val="4C4A7111"/>
    <w:rsid w:val="4C4D55FF"/>
    <w:rsid w:val="4C5216C4"/>
    <w:rsid w:val="4C575977"/>
    <w:rsid w:val="4C5A3E2C"/>
    <w:rsid w:val="4C5B05A9"/>
    <w:rsid w:val="4C5B091A"/>
    <w:rsid w:val="4C6B30E2"/>
    <w:rsid w:val="4C94584A"/>
    <w:rsid w:val="4C952AAB"/>
    <w:rsid w:val="4C980962"/>
    <w:rsid w:val="4C99661C"/>
    <w:rsid w:val="4C9A635E"/>
    <w:rsid w:val="4CA52D98"/>
    <w:rsid w:val="4CA860AF"/>
    <w:rsid w:val="4CB66E36"/>
    <w:rsid w:val="4CCD37D3"/>
    <w:rsid w:val="4CCF22AA"/>
    <w:rsid w:val="4CD04687"/>
    <w:rsid w:val="4CEE1E37"/>
    <w:rsid w:val="4D0954CF"/>
    <w:rsid w:val="4D09681B"/>
    <w:rsid w:val="4D136C63"/>
    <w:rsid w:val="4D141D04"/>
    <w:rsid w:val="4D14626B"/>
    <w:rsid w:val="4D162706"/>
    <w:rsid w:val="4D1A6222"/>
    <w:rsid w:val="4D1F45CA"/>
    <w:rsid w:val="4D2166E2"/>
    <w:rsid w:val="4D2B1C5F"/>
    <w:rsid w:val="4D2C6166"/>
    <w:rsid w:val="4D2E64BA"/>
    <w:rsid w:val="4D30066A"/>
    <w:rsid w:val="4D303E1E"/>
    <w:rsid w:val="4D316971"/>
    <w:rsid w:val="4D3737C5"/>
    <w:rsid w:val="4D405120"/>
    <w:rsid w:val="4D4062CD"/>
    <w:rsid w:val="4D423028"/>
    <w:rsid w:val="4D4756ED"/>
    <w:rsid w:val="4D581632"/>
    <w:rsid w:val="4D6473B4"/>
    <w:rsid w:val="4D655D09"/>
    <w:rsid w:val="4D692C32"/>
    <w:rsid w:val="4D6E3CCE"/>
    <w:rsid w:val="4D7901E4"/>
    <w:rsid w:val="4D805757"/>
    <w:rsid w:val="4D825DF2"/>
    <w:rsid w:val="4D875B29"/>
    <w:rsid w:val="4D887B74"/>
    <w:rsid w:val="4D8C185A"/>
    <w:rsid w:val="4D903FFE"/>
    <w:rsid w:val="4D933355"/>
    <w:rsid w:val="4D962288"/>
    <w:rsid w:val="4D9F1272"/>
    <w:rsid w:val="4DA475A9"/>
    <w:rsid w:val="4DCB0227"/>
    <w:rsid w:val="4DCC69B2"/>
    <w:rsid w:val="4DCF155E"/>
    <w:rsid w:val="4DD11AEE"/>
    <w:rsid w:val="4DD72ACC"/>
    <w:rsid w:val="4DDD6C4C"/>
    <w:rsid w:val="4DE22B61"/>
    <w:rsid w:val="4DED0D83"/>
    <w:rsid w:val="4DF740D0"/>
    <w:rsid w:val="4DF94E97"/>
    <w:rsid w:val="4DFD487E"/>
    <w:rsid w:val="4E00194B"/>
    <w:rsid w:val="4E071018"/>
    <w:rsid w:val="4E081A05"/>
    <w:rsid w:val="4E0C3478"/>
    <w:rsid w:val="4E16084F"/>
    <w:rsid w:val="4E1E35A8"/>
    <w:rsid w:val="4E1F5137"/>
    <w:rsid w:val="4E41200E"/>
    <w:rsid w:val="4E4A36DE"/>
    <w:rsid w:val="4E4B1237"/>
    <w:rsid w:val="4E5B2D9E"/>
    <w:rsid w:val="4E5E3241"/>
    <w:rsid w:val="4E685D9D"/>
    <w:rsid w:val="4E7500C4"/>
    <w:rsid w:val="4E826DA3"/>
    <w:rsid w:val="4E865878"/>
    <w:rsid w:val="4E997F39"/>
    <w:rsid w:val="4E9C0F54"/>
    <w:rsid w:val="4EA45038"/>
    <w:rsid w:val="4EA535EA"/>
    <w:rsid w:val="4EA81EF4"/>
    <w:rsid w:val="4EAB7555"/>
    <w:rsid w:val="4EB16F4D"/>
    <w:rsid w:val="4EBE17BD"/>
    <w:rsid w:val="4EC21909"/>
    <w:rsid w:val="4EC251D8"/>
    <w:rsid w:val="4ECF6625"/>
    <w:rsid w:val="4ED37A9C"/>
    <w:rsid w:val="4EDE0A69"/>
    <w:rsid w:val="4EF438A7"/>
    <w:rsid w:val="4EF52034"/>
    <w:rsid w:val="4EF74679"/>
    <w:rsid w:val="4EFA358B"/>
    <w:rsid w:val="4F053AD4"/>
    <w:rsid w:val="4F1D5313"/>
    <w:rsid w:val="4F264456"/>
    <w:rsid w:val="4F2946F0"/>
    <w:rsid w:val="4F391107"/>
    <w:rsid w:val="4F3B460A"/>
    <w:rsid w:val="4F4D5BA9"/>
    <w:rsid w:val="4F4F7C97"/>
    <w:rsid w:val="4F586DFE"/>
    <w:rsid w:val="4F5D25C0"/>
    <w:rsid w:val="4F79167E"/>
    <w:rsid w:val="4F7F3425"/>
    <w:rsid w:val="4F802315"/>
    <w:rsid w:val="4F890EBD"/>
    <w:rsid w:val="4F8F0DE8"/>
    <w:rsid w:val="4F951D60"/>
    <w:rsid w:val="4F985765"/>
    <w:rsid w:val="4F9C5C94"/>
    <w:rsid w:val="4FA07BB2"/>
    <w:rsid w:val="4FA9337C"/>
    <w:rsid w:val="4FAB27E4"/>
    <w:rsid w:val="4FAD4336"/>
    <w:rsid w:val="4FB819D5"/>
    <w:rsid w:val="4FB94ED8"/>
    <w:rsid w:val="4FC13A16"/>
    <w:rsid w:val="4FC33E68"/>
    <w:rsid w:val="4FE1061B"/>
    <w:rsid w:val="4FE129A1"/>
    <w:rsid w:val="4FE92D8A"/>
    <w:rsid w:val="4FEA66FB"/>
    <w:rsid w:val="50000326"/>
    <w:rsid w:val="5012456C"/>
    <w:rsid w:val="50194ECE"/>
    <w:rsid w:val="501B0160"/>
    <w:rsid w:val="5028413A"/>
    <w:rsid w:val="5034185C"/>
    <w:rsid w:val="50394C31"/>
    <w:rsid w:val="50465DC1"/>
    <w:rsid w:val="504771A6"/>
    <w:rsid w:val="504A3E65"/>
    <w:rsid w:val="50651490"/>
    <w:rsid w:val="50662285"/>
    <w:rsid w:val="508640C4"/>
    <w:rsid w:val="508C494C"/>
    <w:rsid w:val="50906750"/>
    <w:rsid w:val="50935D58"/>
    <w:rsid w:val="509473B7"/>
    <w:rsid w:val="50A970CD"/>
    <w:rsid w:val="50AA7C6B"/>
    <w:rsid w:val="50B04A39"/>
    <w:rsid w:val="50BA42F9"/>
    <w:rsid w:val="50BD1283"/>
    <w:rsid w:val="50C85002"/>
    <w:rsid w:val="50D3250E"/>
    <w:rsid w:val="50D565E3"/>
    <w:rsid w:val="50F37BC5"/>
    <w:rsid w:val="50F60680"/>
    <w:rsid w:val="511B692C"/>
    <w:rsid w:val="51251091"/>
    <w:rsid w:val="512A3E35"/>
    <w:rsid w:val="512B4D4B"/>
    <w:rsid w:val="51351C9B"/>
    <w:rsid w:val="51392590"/>
    <w:rsid w:val="513A46DB"/>
    <w:rsid w:val="513D3709"/>
    <w:rsid w:val="514214DC"/>
    <w:rsid w:val="51502B40"/>
    <w:rsid w:val="515110B9"/>
    <w:rsid w:val="515323AC"/>
    <w:rsid w:val="515911D2"/>
    <w:rsid w:val="5159308A"/>
    <w:rsid w:val="51636223"/>
    <w:rsid w:val="51650C33"/>
    <w:rsid w:val="51665649"/>
    <w:rsid w:val="517462FF"/>
    <w:rsid w:val="51971803"/>
    <w:rsid w:val="51996C1B"/>
    <w:rsid w:val="51A56DF6"/>
    <w:rsid w:val="51AB46BA"/>
    <w:rsid w:val="51CB2291"/>
    <w:rsid w:val="51CD11C5"/>
    <w:rsid w:val="51D254DA"/>
    <w:rsid w:val="51D67559"/>
    <w:rsid w:val="51DF2711"/>
    <w:rsid w:val="51EB7348"/>
    <w:rsid w:val="51F20232"/>
    <w:rsid w:val="52014309"/>
    <w:rsid w:val="520143AC"/>
    <w:rsid w:val="520C36C1"/>
    <w:rsid w:val="520E771E"/>
    <w:rsid w:val="52121413"/>
    <w:rsid w:val="52171AFB"/>
    <w:rsid w:val="52185CBC"/>
    <w:rsid w:val="521B0538"/>
    <w:rsid w:val="521C578C"/>
    <w:rsid w:val="522D3771"/>
    <w:rsid w:val="522D4979"/>
    <w:rsid w:val="52326B54"/>
    <w:rsid w:val="523456B6"/>
    <w:rsid w:val="5235465D"/>
    <w:rsid w:val="52367473"/>
    <w:rsid w:val="52387698"/>
    <w:rsid w:val="523E15D7"/>
    <w:rsid w:val="5249313E"/>
    <w:rsid w:val="5251726B"/>
    <w:rsid w:val="52527419"/>
    <w:rsid w:val="52545EA1"/>
    <w:rsid w:val="525A1FA9"/>
    <w:rsid w:val="525A4669"/>
    <w:rsid w:val="525B22C4"/>
    <w:rsid w:val="525B7A2A"/>
    <w:rsid w:val="525F6430"/>
    <w:rsid w:val="526018C0"/>
    <w:rsid w:val="527B22F1"/>
    <w:rsid w:val="52841F28"/>
    <w:rsid w:val="52916095"/>
    <w:rsid w:val="52AD06F5"/>
    <w:rsid w:val="52AD3126"/>
    <w:rsid w:val="52AF0E01"/>
    <w:rsid w:val="52BE0F28"/>
    <w:rsid w:val="52CA4FCD"/>
    <w:rsid w:val="52CE6C9A"/>
    <w:rsid w:val="52D32108"/>
    <w:rsid w:val="52D6356D"/>
    <w:rsid w:val="52F77D67"/>
    <w:rsid w:val="52F836E3"/>
    <w:rsid w:val="53194965"/>
    <w:rsid w:val="531E6325"/>
    <w:rsid w:val="531F0A9B"/>
    <w:rsid w:val="5325232B"/>
    <w:rsid w:val="532F7394"/>
    <w:rsid w:val="53310054"/>
    <w:rsid w:val="53385FAE"/>
    <w:rsid w:val="534E489F"/>
    <w:rsid w:val="53526EF0"/>
    <w:rsid w:val="53570BC7"/>
    <w:rsid w:val="536E730E"/>
    <w:rsid w:val="537C2BD7"/>
    <w:rsid w:val="537D468A"/>
    <w:rsid w:val="538163CA"/>
    <w:rsid w:val="53971E29"/>
    <w:rsid w:val="53987EBC"/>
    <w:rsid w:val="53A35F99"/>
    <w:rsid w:val="53AA295E"/>
    <w:rsid w:val="53CC110B"/>
    <w:rsid w:val="53D01EF5"/>
    <w:rsid w:val="53D43DC1"/>
    <w:rsid w:val="53D948F7"/>
    <w:rsid w:val="53E25B60"/>
    <w:rsid w:val="53E6334F"/>
    <w:rsid w:val="53EC2E48"/>
    <w:rsid w:val="53F03117"/>
    <w:rsid w:val="53F11E25"/>
    <w:rsid w:val="53FB17FA"/>
    <w:rsid w:val="54060DDF"/>
    <w:rsid w:val="541862F0"/>
    <w:rsid w:val="54276E3E"/>
    <w:rsid w:val="542A3A4D"/>
    <w:rsid w:val="544143C8"/>
    <w:rsid w:val="54426862"/>
    <w:rsid w:val="54671693"/>
    <w:rsid w:val="546A6559"/>
    <w:rsid w:val="546F0B91"/>
    <w:rsid w:val="5475533D"/>
    <w:rsid w:val="54791FA3"/>
    <w:rsid w:val="547935AC"/>
    <w:rsid w:val="54984FF7"/>
    <w:rsid w:val="549B4C02"/>
    <w:rsid w:val="54A541E1"/>
    <w:rsid w:val="54AA6632"/>
    <w:rsid w:val="54B23129"/>
    <w:rsid w:val="54B2533F"/>
    <w:rsid w:val="54B70A61"/>
    <w:rsid w:val="54B779B5"/>
    <w:rsid w:val="54CE2D32"/>
    <w:rsid w:val="54D25371"/>
    <w:rsid w:val="54DF359E"/>
    <w:rsid w:val="54EA3421"/>
    <w:rsid w:val="54EC1FC6"/>
    <w:rsid w:val="54EC416F"/>
    <w:rsid w:val="551A5E48"/>
    <w:rsid w:val="552C68B9"/>
    <w:rsid w:val="55335647"/>
    <w:rsid w:val="5538682D"/>
    <w:rsid w:val="553A7E63"/>
    <w:rsid w:val="554064E9"/>
    <w:rsid w:val="55476094"/>
    <w:rsid w:val="554A06ED"/>
    <w:rsid w:val="554A487A"/>
    <w:rsid w:val="554D1BF6"/>
    <w:rsid w:val="5552614F"/>
    <w:rsid w:val="55530973"/>
    <w:rsid w:val="55560E04"/>
    <w:rsid w:val="55666B45"/>
    <w:rsid w:val="55684366"/>
    <w:rsid w:val="556D6645"/>
    <w:rsid w:val="556E15B6"/>
    <w:rsid w:val="55722092"/>
    <w:rsid w:val="557C381D"/>
    <w:rsid w:val="5583167D"/>
    <w:rsid w:val="558318CB"/>
    <w:rsid w:val="55995FB7"/>
    <w:rsid w:val="55A156DD"/>
    <w:rsid w:val="55A212E2"/>
    <w:rsid w:val="55B13035"/>
    <w:rsid w:val="55BD15CA"/>
    <w:rsid w:val="55C10548"/>
    <w:rsid w:val="55C244BC"/>
    <w:rsid w:val="55C708F6"/>
    <w:rsid w:val="55D6790C"/>
    <w:rsid w:val="55E37FE2"/>
    <w:rsid w:val="55E502FC"/>
    <w:rsid w:val="55F42B14"/>
    <w:rsid w:val="55F942A7"/>
    <w:rsid w:val="55FB22A7"/>
    <w:rsid w:val="55FD211F"/>
    <w:rsid w:val="56015FD4"/>
    <w:rsid w:val="56023C3F"/>
    <w:rsid w:val="5608328C"/>
    <w:rsid w:val="560E6068"/>
    <w:rsid w:val="5610313A"/>
    <w:rsid w:val="56107A43"/>
    <w:rsid w:val="56176CD0"/>
    <w:rsid w:val="56195188"/>
    <w:rsid w:val="561A57E6"/>
    <w:rsid w:val="561C5613"/>
    <w:rsid w:val="562E4782"/>
    <w:rsid w:val="56327C9C"/>
    <w:rsid w:val="5639508E"/>
    <w:rsid w:val="563C7ECB"/>
    <w:rsid w:val="56426087"/>
    <w:rsid w:val="56446C4A"/>
    <w:rsid w:val="56534D2A"/>
    <w:rsid w:val="5659691E"/>
    <w:rsid w:val="565C123F"/>
    <w:rsid w:val="566043C2"/>
    <w:rsid w:val="56635FA9"/>
    <w:rsid w:val="566F245E"/>
    <w:rsid w:val="566F703B"/>
    <w:rsid w:val="56737273"/>
    <w:rsid w:val="56773C48"/>
    <w:rsid w:val="56A60A67"/>
    <w:rsid w:val="56AE5BF6"/>
    <w:rsid w:val="56BB5794"/>
    <w:rsid w:val="56C16A07"/>
    <w:rsid w:val="56C56026"/>
    <w:rsid w:val="56C721C1"/>
    <w:rsid w:val="56C75E65"/>
    <w:rsid w:val="56E55706"/>
    <w:rsid w:val="56ED49AC"/>
    <w:rsid w:val="56FF736A"/>
    <w:rsid w:val="57037964"/>
    <w:rsid w:val="570C3D0F"/>
    <w:rsid w:val="570D1D86"/>
    <w:rsid w:val="570E1422"/>
    <w:rsid w:val="571019F7"/>
    <w:rsid w:val="571A7074"/>
    <w:rsid w:val="573F549A"/>
    <w:rsid w:val="57491B3F"/>
    <w:rsid w:val="57553D3F"/>
    <w:rsid w:val="57703672"/>
    <w:rsid w:val="5773534B"/>
    <w:rsid w:val="57780B7F"/>
    <w:rsid w:val="577E261B"/>
    <w:rsid w:val="5780017C"/>
    <w:rsid w:val="57856672"/>
    <w:rsid w:val="578C265D"/>
    <w:rsid w:val="579A2E45"/>
    <w:rsid w:val="579D25BA"/>
    <w:rsid w:val="579F72CD"/>
    <w:rsid w:val="57B248A4"/>
    <w:rsid w:val="57B9331D"/>
    <w:rsid w:val="57B975D7"/>
    <w:rsid w:val="57BA2E06"/>
    <w:rsid w:val="57BB6757"/>
    <w:rsid w:val="57C82DD9"/>
    <w:rsid w:val="57E22D38"/>
    <w:rsid w:val="57E73B91"/>
    <w:rsid w:val="57EB5D67"/>
    <w:rsid w:val="57F45188"/>
    <w:rsid w:val="57F51B75"/>
    <w:rsid w:val="57F81A83"/>
    <w:rsid w:val="57FA61B1"/>
    <w:rsid w:val="57FE4856"/>
    <w:rsid w:val="58014D75"/>
    <w:rsid w:val="58032997"/>
    <w:rsid w:val="58084289"/>
    <w:rsid w:val="58132276"/>
    <w:rsid w:val="58194A18"/>
    <w:rsid w:val="581D6018"/>
    <w:rsid w:val="58215EFA"/>
    <w:rsid w:val="583F1055"/>
    <w:rsid w:val="5842577D"/>
    <w:rsid w:val="58441188"/>
    <w:rsid w:val="584667E1"/>
    <w:rsid w:val="58477459"/>
    <w:rsid w:val="58494A10"/>
    <w:rsid w:val="584B2FF5"/>
    <w:rsid w:val="58532F19"/>
    <w:rsid w:val="58560FFA"/>
    <w:rsid w:val="585A018E"/>
    <w:rsid w:val="585B0937"/>
    <w:rsid w:val="585B2F03"/>
    <w:rsid w:val="585E0241"/>
    <w:rsid w:val="5863030F"/>
    <w:rsid w:val="58744829"/>
    <w:rsid w:val="587673AC"/>
    <w:rsid w:val="588440C7"/>
    <w:rsid w:val="588562E3"/>
    <w:rsid w:val="58876E0A"/>
    <w:rsid w:val="5891595B"/>
    <w:rsid w:val="5891642E"/>
    <w:rsid w:val="58944362"/>
    <w:rsid w:val="5898522B"/>
    <w:rsid w:val="58A03E85"/>
    <w:rsid w:val="58A045EF"/>
    <w:rsid w:val="58A810C4"/>
    <w:rsid w:val="58AE0C9D"/>
    <w:rsid w:val="58AE2D0D"/>
    <w:rsid w:val="58B6026E"/>
    <w:rsid w:val="58BD3A38"/>
    <w:rsid w:val="58C52932"/>
    <w:rsid w:val="58D52BCD"/>
    <w:rsid w:val="58DC744B"/>
    <w:rsid w:val="58E34256"/>
    <w:rsid w:val="58E67490"/>
    <w:rsid w:val="58F609E4"/>
    <w:rsid w:val="58FB67BC"/>
    <w:rsid w:val="590B1029"/>
    <w:rsid w:val="591271AE"/>
    <w:rsid w:val="59222295"/>
    <w:rsid w:val="59233F27"/>
    <w:rsid w:val="5930657D"/>
    <w:rsid w:val="59327DEB"/>
    <w:rsid w:val="59341153"/>
    <w:rsid w:val="59392E42"/>
    <w:rsid w:val="593B5B55"/>
    <w:rsid w:val="593D19BE"/>
    <w:rsid w:val="59427198"/>
    <w:rsid w:val="594C6872"/>
    <w:rsid w:val="594D095F"/>
    <w:rsid w:val="59505C28"/>
    <w:rsid w:val="59523FB7"/>
    <w:rsid w:val="595B71B8"/>
    <w:rsid w:val="596C716B"/>
    <w:rsid w:val="597931D9"/>
    <w:rsid w:val="597D137C"/>
    <w:rsid w:val="597E175D"/>
    <w:rsid w:val="59910D81"/>
    <w:rsid w:val="59965209"/>
    <w:rsid w:val="599D01FE"/>
    <w:rsid w:val="59A07D9A"/>
    <w:rsid w:val="59AA28E5"/>
    <w:rsid w:val="59AF4353"/>
    <w:rsid w:val="59B51D65"/>
    <w:rsid w:val="59BD1846"/>
    <w:rsid w:val="59BD50C9"/>
    <w:rsid w:val="59C21C88"/>
    <w:rsid w:val="59CB134C"/>
    <w:rsid w:val="59CB43DE"/>
    <w:rsid w:val="59CE22C7"/>
    <w:rsid w:val="59D13042"/>
    <w:rsid w:val="59D440D5"/>
    <w:rsid w:val="59E37BAC"/>
    <w:rsid w:val="59EA60A6"/>
    <w:rsid w:val="59EA652F"/>
    <w:rsid w:val="59EC2395"/>
    <w:rsid w:val="59F018BF"/>
    <w:rsid w:val="59F236CB"/>
    <w:rsid w:val="59F91C8C"/>
    <w:rsid w:val="59FD262F"/>
    <w:rsid w:val="5A0133DC"/>
    <w:rsid w:val="5A0B5EAF"/>
    <w:rsid w:val="5A0E3BCE"/>
    <w:rsid w:val="5A1E2154"/>
    <w:rsid w:val="5A23186C"/>
    <w:rsid w:val="5A35600C"/>
    <w:rsid w:val="5A3B234C"/>
    <w:rsid w:val="5A3C0CDA"/>
    <w:rsid w:val="5A3F6176"/>
    <w:rsid w:val="5A5419CE"/>
    <w:rsid w:val="5A587AE0"/>
    <w:rsid w:val="5A5A38F1"/>
    <w:rsid w:val="5A5F250D"/>
    <w:rsid w:val="5A64295C"/>
    <w:rsid w:val="5A6566CA"/>
    <w:rsid w:val="5A7629B7"/>
    <w:rsid w:val="5A7E3EBC"/>
    <w:rsid w:val="5A83298E"/>
    <w:rsid w:val="5A84337E"/>
    <w:rsid w:val="5A887340"/>
    <w:rsid w:val="5A891BB6"/>
    <w:rsid w:val="5A8D03AD"/>
    <w:rsid w:val="5A99361F"/>
    <w:rsid w:val="5AA34E07"/>
    <w:rsid w:val="5AA47B19"/>
    <w:rsid w:val="5AB92C27"/>
    <w:rsid w:val="5ABF6D03"/>
    <w:rsid w:val="5AC20C8C"/>
    <w:rsid w:val="5AC25A4B"/>
    <w:rsid w:val="5AD75815"/>
    <w:rsid w:val="5AD937F3"/>
    <w:rsid w:val="5ADB5FCA"/>
    <w:rsid w:val="5AE30663"/>
    <w:rsid w:val="5AE36AFC"/>
    <w:rsid w:val="5AE47198"/>
    <w:rsid w:val="5AE4776E"/>
    <w:rsid w:val="5AEF3CA7"/>
    <w:rsid w:val="5AF50649"/>
    <w:rsid w:val="5AFB0199"/>
    <w:rsid w:val="5AFD252D"/>
    <w:rsid w:val="5B0001EA"/>
    <w:rsid w:val="5B0C6070"/>
    <w:rsid w:val="5B102015"/>
    <w:rsid w:val="5B127639"/>
    <w:rsid w:val="5B2D4307"/>
    <w:rsid w:val="5B4655DD"/>
    <w:rsid w:val="5B5041D6"/>
    <w:rsid w:val="5B540662"/>
    <w:rsid w:val="5B554FD4"/>
    <w:rsid w:val="5B6B25D0"/>
    <w:rsid w:val="5B6B4549"/>
    <w:rsid w:val="5B822955"/>
    <w:rsid w:val="5B8A693E"/>
    <w:rsid w:val="5B8E6998"/>
    <w:rsid w:val="5B914038"/>
    <w:rsid w:val="5B931092"/>
    <w:rsid w:val="5BAD031C"/>
    <w:rsid w:val="5BB36D0A"/>
    <w:rsid w:val="5BC15C99"/>
    <w:rsid w:val="5BCA7A8F"/>
    <w:rsid w:val="5BD03C5A"/>
    <w:rsid w:val="5BD33975"/>
    <w:rsid w:val="5BDA775F"/>
    <w:rsid w:val="5BE21088"/>
    <w:rsid w:val="5BEA7806"/>
    <w:rsid w:val="5BED1355"/>
    <w:rsid w:val="5C035D5C"/>
    <w:rsid w:val="5C037EDF"/>
    <w:rsid w:val="5C054372"/>
    <w:rsid w:val="5C0B1081"/>
    <w:rsid w:val="5C20150B"/>
    <w:rsid w:val="5C27423E"/>
    <w:rsid w:val="5C2C7E37"/>
    <w:rsid w:val="5C2E76F3"/>
    <w:rsid w:val="5C3A263A"/>
    <w:rsid w:val="5C472574"/>
    <w:rsid w:val="5C510905"/>
    <w:rsid w:val="5C531DAC"/>
    <w:rsid w:val="5C5F19A2"/>
    <w:rsid w:val="5C626621"/>
    <w:rsid w:val="5C6742FC"/>
    <w:rsid w:val="5C6C5DD1"/>
    <w:rsid w:val="5C7870C9"/>
    <w:rsid w:val="5C793AF2"/>
    <w:rsid w:val="5C885120"/>
    <w:rsid w:val="5C8D094F"/>
    <w:rsid w:val="5C9664F6"/>
    <w:rsid w:val="5C996885"/>
    <w:rsid w:val="5CA47B0F"/>
    <w:rsid w:val="5CA51281"/>
    <w:rsid w:val="5CA83399"/>
    <w:rsid w:val="5CAA3CDC"/>
    <w:rsid w:val="5CAA49A3"/>
    <w:rsid w:val="5CB70498"/>
    <w:rsid w:val="5CC002A4"/>
    <w:rsid w:val="5CC14996"/>
    <w:rsid w:val="5CC444F3"/>
    <w:rsid w:val="5CCD3803"/>
    <w:rsid w:val="5CCF273B"/>
    <w:rsid w:val="5CDA72D3"/>
    <w:rsid w:val="5CDB13F1"/>
    <w:rsid w:val="5CE06096"/>
    <w:rsid w:val="5CE42BFC"/>
    <w:rsid w:val="5CF75FB5"/>
    <w:rsid w:val="5CFC551B"/>
    <w:rsid w:val="5D032927"/>
    <w:rsid w:val="5D08718A"/>
    <w:rsid w:val="5D2231DC"/>
    <w:rsid w:val="5D2A4D65"/>
    <w:rsid w:val="5D33075C"/>
    <w:rsid w:val="5D334DCC"/>
    <w:rsid w:val="5D346979"/>
    <w:rsid w:val="5D38401E"/>
    <w:rsid w:val="5D3A5EB7"/>
    <w:rsid w:val="5D3F03B0"/>
    <w:rsid w:val="5D42131E"/>
    <w:rsid w:val="5D4B0C7E"/>
    <w:rsid w:val="5D4C659F"/>
    <w:rsid w:val="5D5B47AD"/>
    <w:rsid w:val="5D65772A"/>
    <w:rsid w:val="5D6823D9"/>
    <w:rsid w:val="5D6D4F7F"/>
    <w:rsid w:val="5D787E7B"/>
    <w:rsid w:val="5D8579FD"/>
    <w:rsid w:val="5D8B7CAC"/>
    <w:rsid w:val="5D9D7BB3"/>
    <w:rsid w:val="5DA30012"/>
    <w:rsid w:val="5DB47954"/>
    <w:rsid w:val="5DBA0DD1"/>
    <w:rsid w:val="5DBB622A"/>
    <w:rsid w:val="5DC93120"/>
    <w:rsid w:val="5DD230AF"/>
    <w:rsid w:val="5DD50E01"/>
    <w:rsid w:val="5DDA6F3B"/>
    <w:rsid w:val="5DDB5F91"/>
    <w:rsid w:val="5DED177F"/>
    <w:rsid w:val="5DF60DB8"/>
    <w:rsid w:val="5E103D5E"/>
    <w:rsid w:val="5E282729"/>
    <w:rsid w:val="5E2C3252"/>
    <w:rsid w:val="5E332504"/>
    <w:rsid w:val="5E39000D"/>
    <w:rsid w:val="5E3E26AF"/>
    <w:rsid w:val="5E5007AD"/>
    <w:rsid w:val="5E5025C9"/>
    <w:rsid w:val="5E5126D4"/>
    <w:rsid w:val="5E575A00"/>
    <w:rsid w:val="5E5B33A6"/>
    <w:rsid w:val="5E762809"/>
    <w:rsid w:val="5E7F5082"/>
    <w:rsid w:val="5E843D1D"/>
    <w:rsid w:val="5EA165BA"/>
    <w:rsid w:val="5ECF1B47"/>
    <w:rsid w:val="5ED44DA1"/>
    <w:rsid w:val="5EEC29C3"/>
    <w:rsid w:val="5EF43590"/>
    <w:rsid w:val="5EF527AD"/>
    <w:rsid w:val="5EF671A8"/>
    <w:rsid w:val="5EFA0EA7"/>
    <w:rsid w:val="5F0241A8"/>
    <w:rsid w:val="5F031737"/>
    <w:rsid w:val="5F1863C2"/>
    <w:rsid w:val="5F1A1471"/>
    <w:rsid w:val="5F1B42D9"/>
    <w:rsid w:val="5F1B570F"/>
    <w:rsid w:val="5F2C3231"/>
    <w:rsid w:val="5F2E6A0B"/>
    <w:rsid w:val="5F4013BA"/>
    <w:rsid w:val="5F4121EE"/>
    <w:rsid w:val="5F515252"/>
    <w:rsid w:val="5F535130"/>
    <w:rsid w:val="5F583596"/>
    <w:rsid w:val="5F5A6D0B"/>
    <w:rsid w:val="5F5C1C62"/>
    <w:rsid w:val="5F6F6BEE"/>
    <w:rsid w:val="5F7B6833"/>
    <w:rsid w:val="5F7B7EE2"/>
    <w:rsid w:val="5F882D2B"/>
    <w:rsid w:val="5F8E562C"/>
    <w:rsid w:val="5FAC2886"/>
    <w:rsid w:val="5FC605B3"/>
    <w:rsid w:val="5FC907CD"/>
    <w:rsid w:val="5FC9541B"/>
    <w:rsid w:val="5FD025CB"/>
    <w:rsid w:val="5FD41E39"/>
    <w:rsid w:val="5FD61463"/>
    <w:rsid w:val="5FDC496F"/>
    <w:rsid w:val="5FDF108A"/>
    <w:rsid w:val="5FE01A64"/>
    <w:rsid w:val="5FE550F4"/>
    <w:rsid w:val="5FE84C69"/>
    <w:rsid w:val="5FEA0E05"/>
    <w:rsid w:val="5FEA1BFF"/>
    <w:rsid w:val="5FF57214"/>
    <w:rsid w:val="5FF94A51"/>
    <w:rsid w:val="5FFA2F3B"/>
    <w:rsid w:val="5FFF554A"/>
    <w:rsid w:val="600D47EB"/>
    <w:rsid w:val="6012078B"/>
    <w:rsid w:val="60240F4A"/>
    <w:rsid w:val="602A2F0C"/>
    <w:rsid w:val="602E3D10"/>
    <w:rsid w:val="602F3018"/>
    <w:rsid w:val="602F33AA"/>
    <w:rsid w:val="603C64FA"/>
    <w:rsid w:val="60504F8E"/>
    <w:rsid w:val="60511ABB"/>
    <w:rsid w:val="60541735"/>
    <w:rsid w:val="605E48C7"/>
    <w:rsid w:val="606A7181"/>
    <w:rsid w:val="606D6708"/>
    <w:rsid w:val="60761EAE"/>
    <w:rsid w:val="60841264"/>
    <w:rsid w:val="60872409"/>
    <w:rsid w:val="608A69F1"/>
    <w:rsid w:val="608D0DC2"/>
    <w:rsid w:val="609867B0"/>
    <w:rsid w:val="60AC022A"/>
    <w:rsid w:val="60AD5CAC"/>
    <w:rsid w:val="60AF3938"/>
    <w:rsid w:val="60B02A72"/>
    <w:rsid w:val="60B455AA"/>
    <w:rsid w:val="60CC64DC"/>
    <w:rsid w:val="60CF4513"/>
    <w:rsid w:val="60D87E5D"/>
    <w:rsid w:val="60F00936"/>
    <w:rsid w:val="60F668B8"/>
    <w:rsid w:val="60FC46B7"/>
    <w:rsid w:val="60FC629F"/>
    <w:rsid w:val="60FE43B8"/>
    <w:rsid w:val="60FF5FCB"/>
    <w:rsid w:val="61002168"/>
    <w:rsid w:val="61172DD5"/>
    <w:rsid w:val="61185510"/>
    <w:rsid w:val="612358EA"/>
    <w:rsid w:val="612977F3"/>
    <w:rsid w:val="612A5A76"/>
    <w:rsid w:val="61343606"/>
    <w:rsid w:val="6138206E"/>
    <w:rsid w:val="615164ED"/>
    <w:rsid w:val="61550501"/>
    <w:rsid w:val="616270EF"/>
    <w:rsid w:val="61706EDF"/>
    <w:rsid w:val="61836EC1"/>
    <w:rsid w:val="619B1498"/>
    <w:rsid w:val="619B3BCB"/>
    <w:rsid w:val="61C379F2"/>
    <w:rsid w:val="61C5760F"/>
    <w:rsid w:val="61CB09F2"/>
    <w:rsid w:val="61D04B09"/>
    <w:rsid w:val="61DC7C04"/>
    <w:rsid w:val="61F34165"/>
    <w:rsid w:val="61FB33CF"/>
    <w:rsid w:val="62023B22"/>
    <w:rsid w:val="62053AEE"/>
    <w:rsid w:val="622D74E2"/>
    <w:rsid w:val="62364303"/>
    <w:rsid w:val="62426D4A"/>
    <w:rsid w:val="62441245"/>
    <w:rsid w:val="624B0BD0"/>
    <w:rsid w:val="624C1C13"/>
    <w:rsid w:val="624C7F24"/>
    <w:rsid w:val="625E6C7A"/>
    <w:rsid w:val="62665841"/>
    <w:rsid w:val="627114D5"/>
    <w:rsid w:val="627836EA"/>
    <w:rsid w:val="62842199"/>
    <w:rsid w:val="62904A5E"/>
    <w:rsid w:val="629D5157"/>
    <w:rsid w:val="629E620F"/>
    <w:rsid w:val="62A847ED"/>
    <w:rsid w:val="62B372FA"/>
    <w:rsid w:val="62B6346C"/>
    <w:rsid w:val="62C4291E"/>
    <w:rsid w:val="62C65CEC"/>
    <w:rsid w:val="62CF1501"/>
    <w:rsid w:val="62CF3DC3"/>
    <w:rsid w:val="62D2496B"/>
    <w:rsid w:val="62E54CE2"/>
    <w:rsid w:val="62E66850"/>
    <w:rsid w:val="62F27D6D"/>
    <w:rsid w:val="630B0550"/>
    <w:rsid w:val="630D670F"/>
    <w:rsid w:val="63107694"/>
    <w:rsid w:val="631814C9"/>
    <w:rsid w:val="63253DB6"/>
    <w:rsid w:val="63265921"/>
    <w:rsid w:val="6327307F"/>
    <w:rsid w:val="632D72AE"/>
    <w:rsid w:val="632F7DE7"/>
    <w:rsid w:val="63317BC9"/>
    <w:rsid w:val="63470962"/>
    <w:rsid w:val="6347606A"/>
    <w:rsid w:val="63531402"/>
    <w:rsid w:val="6359673E"/>
    <w:rsid w:val="635E620F"/>
    <w:rsid w:val="6368049F"/>
    <w:rsid w:val="636A3EC3"/>
    <w:rsid w:val="636A6F4B"/>
    <w:rsid w:val="637109B2"/>
    <w:rsid w:val="63793000"/>
    <w:rsid w:val="638E5D64"/>
    <w:rsid w:val="63A13DD1"/>
    <w:rsid w:val="63A8789F"/>
    <w:rsid w:val="63A94A31"/>
    <w:rsid w:val="63AC1EAC"/>
    <w:rsid w:val="63BF5B3F"/>
    <w:rsid w:val="63C354C5"/>
    <w:rsid w:val="63C90B49"/>
    <w:rsid w:val="63C910E5"/>
    <w:rsid w:val="63CC75B9"/>
    <w:rsid w:val="63E30C41"/>
    <w:rsid w:val="63EA067C"/>
    <w:rsid w:val="63FA0AFB"/>
    <w:rsid w:val="63FE1629"/>
    <w:rsid w:val="640673D9"/>
    <w:rsid w:val="64070F22"/>
    <w:rsid w:val="641E6EE2"/>
    <w:rsid w:val="64275148"/>
    <w:rsid w:val="64326B19"/>
    <w:rsid w:val="64361EE4"/>
    <w:rsid w:val="6444420E"/>
    <w:rsid w:val="64481FC9"/>
    <w:rsid w:val="644A5489"/>
    <w:rsid w:val="645214CF"/>
    <w:rsid w:val="645371E5"/>
    <w:rsid w:val="645A610D"/>
    <w:rsid w:val="64605131"/>
    <w:rsid w:val="6487530B"/>
    <w:rsid w:val="648D5ADF"/>
    <w:rsid w:val="64A245A7"/>
    <w:rsid w:val="64A83B9A"/>
    <w:rsid w:val="64AC38E6"/>
    <w:rsid w:val="64BA39D7"/>
    <w:rsid w:val="64CF3CAA"/>
    <w:rsid w:val="64D03DF2"/>
    <w:rsid w:val="64D1709D"/>
    <w:rsid w:val="64D53AFD"/>
    <w:rsid w:val="64D96235"/>
    <w:rsid w:val="64DB2183"/>
    <w:rsid w:val="64DF4840"/>
    <w:rsid w:val="64FC2E4F"/>
    <w:rsid w:val="64FE6EBF"/>
    <w:rsid w:val="650F5FAC"/>
    <w:rsid w:val="651200DE"/>
    <w:rsid w:val="651D0773"/>
    <w:rsid w:val="65204E75"/>
    <w:rsid w:val="65240177"/>
    <w:rsid w:val="652D2807"/>
    <w:rsid w:val="6534689A"/>
    <w:rsid w:val="654E7F43"/>
    <w:rsid w:val="656033A2"/>
    <w:rsid w:val="6565189F"/>
    <w:rsid w:val="657471F6"/>
    <w:rsid w:val="65815AA0"/>
    <w:rsid w:val="658855D4"/>
    <w:rsid w:val="658867B3"/>
    <w:rsid w:val="659B42A0"/>
    <w:rsid w:val="65A8095A"/>
    <w:rsid w:val="65AB285B"/>
    <w:rsid w:val="65B11292"/>
    <w:rsid w:val="65B53D84"/>
    <w:rsid w:val="65C50411"/>
    <w:rsid w:val="65CA38DD"/>
    <w:rsid w:val="65D70A64"/>
    <w:rsid w:val="65E53E2A"/>
    <w:rsid w:val="65F1238A"/>
    <w:rsid w:val="65F35604"/>
    <w:rsid w:val="65F56F54"/>
    <w:rsid w:val="65FF3198"/>
    <w:rsid w:val="660345CE"/>
    <w:rsid w:val="66174109"/>
    <w:rsid w:val="66182BEF"/>
    <w:rsid w:val="66334AB2"/>
    <w:rsid w:val="663414BA"/>
    <w:rsid w:val="663958EF"/>
    <w:rsid w:val="663B062F"/>
    <w:rsid w:val="663E0BF4"/>
    <w:rsid w:val="663E4EF3"/>
    <w:rsid w:val="6645639C"/>
    <w:rsid w:val="66471F83"/>
    <w:rsid w:val="664A52F9"/>
    <w:rsid w:val="665803F5"/>
    <w:rsid w:val="665A01D2"/>
    <w:rsid w:val="665E2C03"/>
    <w:rsid w:val="666F5E1C"/>
    <w:rsid w:val="6672630C"/>
    <w:rsid w:val="6674242A"/>
    <w:rsid w:val="66775427"/>
    <w:rsid w:val="66873338"/>
    <w:rsid w:val="6688533A"/>
    <w:rsid w:val="668E5880"/>
    <w:rsid w:val="668F6351"/>
    <w:rsid w:val="66910EE1"/>
    <w:rsid w:val="66911854"/>
    <w:rsid w:val="6695146C"/>
    <w:rsid w:val="66A76486"/>
    <w:rsid w:val="66BB2698"/>
    <w:rsid w:val="66BB442F"/>
    <w:rsid w:val="66D02521"/>
    <w:rsid w:val="66D86229"/>
    <w:rsid w:val="66D94BF1"/>
    <w:rsid w:val="66DB2FD4"/>
    <w:rsid w:val="66DF7510"/>
    <w:rsid w:val="66E32558"/>
    <w:rsid w:val="66EF071B"/>
    <w:rsid w:val="67053D91"/>
    <w:rsid w:val="67097AAB"/>
    <w:rsid w:val="670C3488"/>
    <w:rsid w:val="67223D80"/>
    <w:rsid w:val="672E09CF"/>
    <w:rsid w:val="67365DB5"/>
    <w:rsid w:val="673B7955"/>
    <w:rsid w:val="67433876"/>
    <w:rsid w:val="67456D79"/>
    <w:rsid w:val="6746007E"/>
    <w:rsid w:val="674A6A84"/>
    <w:rsid w:val="674B0C82"/>
    <w:rsid w:val="674D0433"/>
    <w:rsid w:val="675B29A9"/>
    <w:rsid w:val="675B44A0"/>
    <w:rsid w:val="675F565F"/>
    <w:rsid w:val="67613F48"/>
    <w:rsid w:val="67694A84"/>
    <w:rsid w:val="677507BF"/>
    <w:rsid w:val="6778433B"/>
    <w:rsid w:val="679113F7"/>
    <w:rsid w:val="6792126C"/>
    <w:rsid w:val="67944038"/>
    <w:rsid w:val="67980A72"/>
    <w:rsid w:val="679B0D99"/>
    <w:rsid w:val="67A97CFB"/>
    <w:rsid w:val="67B131D2"/>
    <w:rsid w:val="67B36445"/>
    <w:rsid w:val="67CC5D59"/>
    <w:rsid w:val="67CE34E3"/>
    <w:rsid w:val="67D010B7"/>
    <w:rsid w:val="67D853EE"/>
    <w:rsid w:val="67DA135C"/>
    <w:rsid w:val="67E25CFE"/>
    <w:rsid w:val="67EB7F24"/>
    <w:rsid w:val="67EC006A"/>
    <w:rsid w:val="680328B7"/>
    <w:rsid w:val="680539C6"/>
    <w:rsid w:val="680D5EE5"/>
    <w:rsid w:val="68107593"/>
    <w:rsid w:val="682E590A"/>
    <w:rsid w:val="6839418E"/>
    <w:rsid w:val="684145EE"/>
    <w:rsid w:val="684D1BE5"/>
    <w:rsid w:val="68651677"/>
    <w:rsid w:val="686F261C"/>
    <w:rsid w:val="687A7176"/>
    <w:rsid w:val="687E1273"/>
    <w:rsid w:val="687E3602"/>
    <w:rsid w:val="68807A84"/>
    <w:rsid w:val="688F77C3"/>
    <w:rsid w:val="68A9751A"/>
    <w:rsid w:val="68AC366C"/>
    <w:rsid w:val="68B329E9"/>
    <w:rsid w:val="68D07B85"/>
    <w:rsid w:val="68D9452A"/>
    <w:rsid w:val="68EC3DDA"/>
    <w:rsid w:val="69030906"/>
    <w:rsid w:val="69040E94"/>
    <w:rsid w:val="6912317D"/>
    <w:rsid w:val="691C0536"/>
    <w:rsid w:val="69225E0D"/>
    <w:rsid w:val="69291B11"/>
    <w:rsid w:val="692C4F44"/>
    <w:rsid w:val="69326C25"/>
    <w:rsid w:val="6933482B"/>
    <w:rsid w:val="693B7234"/>
    <w:rsid w:val="694D64DE"/>
    <w:rsid w:val="695E3DD0"/>
    <w:rsid w:val="697D4944"/>
    <w:rsid w:val="697E2DEE"/>
    <w:rsid w:val="69860ECD"/>
    <w:rsid w:val="69955974"/>
    <w:rsid w:val="699917CC"/>
    <w:rsid w:val="699B3DF9"/>
    <w:rsid w:val="69E10DC4"/>
    <w:rsid w:val="69E1523E"/>
    <w:rsid w:val="69E25EDE"/>
    <w:rsid w:val="69EF0EF7"/>
    <w:rsid w:val="69FB2C0A"/>
    <w:rsid w:val="69FC1871"/>
    <w:rsid w:val="6A0A2652"/>
    <w:rsid w:val="6A13249A"/>
    <w:rsid w:val="6A1552BD"/>
    <w:rsid w:val="6A1F41D8"/>
    <w:rsid w:val="6A2E7952"/>
    <w:rsid w:val="6A377133"/>
    <w:rsid w:val="6A3802AF"/>
    <w:rsid w:val="6A382142"/>
    <w:rsid w:val="6A40325F"/>
    <w:rsid w:val="6A4341E3"/>
    <w:rsid w:val="6A4E7EC9"/>
    <w:rsid w:val="6A53447E"/>
    <w:rsid w:val="6A5E3E96"/>
    <w:rsid w:val="6A650E8F"/>
    <w:rsid w:val="6A7D7D3F"/>
    <w:rsid w:val="6A7F0672"/>
    <w:rsid w:val="6A8243F3"/>
    <w:rsid w:val="6A8B7E5B"/>
    <w:rsid w:val="6A9362EF"/>
    <w:rsid w:val="6AA25847"/>
    <w:rsid w:val="6AAA269C"/>
    <w:rsid w:val="6AAC0321"/>
    <w:rsid w:val="6AAE7116"/>
    <w:rsid w:val="6ADE4B51"/>
    <w:rsid w:val="6AEB550E"/>
    <w:rsid w:val="6AF47AD0"/>
    <w:rsid w:val="6B034621"/>
    <w:rsid w:val="6B090119"/>
    <w:rsid w:val="6B0B7792"/>
    <w:rsid w:val="6B18387B"/>
    <w:rsid w:val="6B1D3AAC"/>
    <w:rsid w:val="6B213C7A"/>
    <w:rsid w:val="6B223E85"/>
    <w:rsid w:val="6B2726B5"/>
    <w:rsid w:val="6B276BE5"/>
    <w:rsid w:val="6B280EB1"/>
    <w:rsid w:val="6B367134"/>
    <w:rsid w:val="6B3D4519"/>
    <w:rsid w:val="6B47278C"/>
    <w:rsid w:val="6B483A91"/>
    <w:rsid w:val="6B4943C4"/>
    <w:rsid w:val="6B557B0C"/>
    <w:rsid w:val="6B5760AD"/>
    <w:rsid w:val="6B6356A7"/>
    <w:rsid w:val="6B6F75D9"/>
    <w:rsid w:val="6B7753BB"/>
    <w:rsid w:val="6B7A6C48"/>
    <w:rsid w:val="6B7F265D"/>
    <w:rsid w:val="6B8223B8"/>
    <w:rsid w:val="6B876DF9"/>
    <w:rsid w:val="6BA303EE"/>
    <w:rsid w:val="6BAB07C4"/>
    <w:rsid w:val="6BAE0D7C"/>
    <w:rsid w:val="6BB77A32"/>
    <w:rsid w:val="6BBF5B31"/>
    <w:rsid w:val="6BC2013C"/>
    <w:rsid w:val="6BC51FA8"/>
    <w:rsid w:val="6BC56893"/>
    <w:rsid w:val="6BCA3451"/>
    <w:rsid w:val="6BD52E17"/>
    <w:rsid w:val="6BD57A1A"/>
    <w:rsid w:val="6BE00F11"/>
    <w:rsid w:val="6BE52340"/>
    <w:rsid w:val="6BEA317F"/>
    <w:rsid w:val="6C0079BC"/>
    <w:rsid w:val="6C077B7C"/>
    <w:rsid w:val="6C193A9F"/>
    <w:rsid w:val="6C2B39EB"/>
    <w:rsid w:val="6C2B555E"/>
    <w:rsid w:val="6C3128FB"/>
    <w:rsid w:val="6C337114"/>
    <w:rsid w:val="6C4504B1"/>
    <w:rsid w:val="6C4F59F7"/>
    <w:rsid w:val="6C6C4AF3"/>
    <w:rsid w:val="6C89469E"/>
    <w:rsid w:val="6C904BA3"/>
    <w:rsid w:val="6C93673A"/>
    <w:rsid w:val="6C9559EA"/>
    <w:rsid w:val="6C991B9A"/>
    <w:rsid w:val="6C997F3B"/>
    <w:rsid w:val="6CA43D4D"/>
    <w:rsid w:val="6CB35FBD"/>
    <w:rsid w:val="6CBB305B"/>
    <w:rsid w:val="6CC206BF"/>
    <w:rsid w:val="6CC30C66"/>
    <w:rsid w:val="6CDD0CB1"/>
    <w:rsid w:val="6CE419F3"/>
    <w:rsid w:val="6CE93DEC"/>
    <w:rsid w:val="6CEA21C3"/>
    <w:rsid w:val="6CED41BB"/>
    <w:rsid w:val="6CF01C29"/>
    <w:rsid w:val="6D0A6F75"/>
    <w:rsid w:val="6D0B2DED"/>
    <w:rsid w:val="6D1B5985"/>
    <w:rsid w:val="6D1D2712"/>
    <w:rsid w:val="6D206CFF"/>
    <w:rsid w:val="6D225A73"/>
    <w:rsid w:val="6D277A3F"/>
    <w:rsid w:val="6D340B0B"/>
    <w:rsid w:val="6D382F3C"/>
    <w:rsid w:val="6D4B705D"/>
    <w:rsid w:val="6D5E1997"/>
    <w:rsid w:val="6D625405"/>
    <w:rsid w:val="6D6A32DA"/>
    <w:rsid w:val="6D711A3E"/>
    <w:rsid w:val="6D85303B"/>
    <w:rsid w:val="6D87653E"/>
    <w:rsid w:val="6D8D0D90"/>
    <w:rsid w:val="6D96046C"/>
    <w:rsid w:val="6D9E357A"/>
    <w:rsid w:val="6DA427F5"/>
    <w:rsid w:val="6DAE4200"/>
    <w:rsid w:val="6DAF7BAF"/>
    <w:rsid w:val="6DB55F87"/>
    <w:rsid w:val="6DBD1B60"/>
    <w:rsid w:val="6DBE53FE"/>
    <w:rsid w:val="6DBF5CEB"/>
    <w:rsid w:val="6DC335C4"/>
    <w:rsid w:val="6DC91D5B"/>
    <w:rsid w:val="6DD0121F"/>
    <w:rsid w:val="6DD50561"/>
    <w:rsid w:val="6DD95830"/>
    <w:rsid w:val="6DDD147B"/>
    <w:rsid w:val="6DF021A3"/>
    <w:rsid w:val="6E1153A3"/>
    <w:rsid w:val="6E124286"/>
    <w:rsid w:val="6E134309"/>
    <w:rsid w:val="6E1A1F69"/>
    <w:rsid w:val="6E23350D"/>
    <w:rsid w:val="6E2B0E52"/>
    <w:rsid w:val="6E3B5323"/>
    <w:rsid w:val="6E4459F8"/>
    <w:rsid w:val="6E4F38F8"/>
    <w:rsid w:val="6E5A612E"/>
    <w:rsid w:val="6E624923"/>
    <w:rsid w:val="6E6E6E51"/>
    <w:rsid w:val="6E70623E"/>
    <w:rsid w:val="6E772CA8"/>
    <w:rsid w:val="6E793023"/>
    <w:rsid w:val="6E7F7AFB"/>
    <w:rsid w:val="6E943B85"/>
    <w:rsid w:val="6E95424B"/>
    <w:rsid w:val="6EA965B2"/>
    <w:rsid w:val="6EB770BA"/>
    <w:rsid w:val="6EB96505"/>
    <w:rsid w:val="6EBA5637"/>
    <w:rsid w:val="6ECC302C"/>
    <w:rsid w:val="6ECD1C89"/>
    <w:rsid w:val="6ED43ACF"/>
    <w:rsid w:val="6ED829E8"/>
    <w:rsid w:val="6EDF1CCE"/>
    <w:rsid w:val="6EEA71F0"/>
    <w:rsid w:val="6EEF2CA6"/>
    <w:rsid w:val="6EF06C9C"/>
    <w:rsid w:val="6EF250FD"/>
    <w:rsid w:val="6F1005C4"/>
    <w:rsid w:val="6F1475C7"/>
    <w:rsid w:val="6F21311C"/>
    <w:rsid w:val="6F2B434D"/>
    <w:rsid w:val="6F2C5B46"/>
    <w:rsid w:val="6F2D78EE"/>
    <w:rsid w:val="6F4E71A8"/>
    <w:rsid w:val="6F51652A"/>
    <w:rsid w:val="6F5867BA"/>
    <w:rsid w:val="6F70301C"/>
    <w:rsid w:val="6F723416"/>
    <w:rsid w:val="6F781F55"/>
    <w:rsid w:val="6F7C0F78"/>
    <w:rsid w:val="6F7C562E"/>
    <w:rsid w:val="6F8E0454"/>
    <w:rsid w:val="6F9F112C"/>
    <w:rsid w:val="6FA568B9"/>
    <w:rsid w:val="6FAC06C3"/>
    <w:rsid w:val="6FB93CAC"/>
    <w:rsid w:val="6FB95193"/>
    <w:rsid w:val="6FE60D34"/>
    <w:rsid w:val="6FEE7F40"/>
    <w:rsid w:val="6FF8691F"/>
    <w:rsid w:val="6FF915B1"/>
    <w:rsid w:val="70015EAC"/>
    <w:rsid w:val="700532A9"/>
    <w:rsid w:val="70093C44"/>
    <w:rsid w:val="7013025E"/>
    <w:rsid w:val="70150176"/>
    <w:rsid w:val="703130BD"/>
    <w:rsid w:val="703959C3"/>
    <w:rsid w:val="704A7047"/>
    <w:rsid w:val="704F6D52"/>
    <w:rsid w:val="70544A2A"/>
    <w:rsid w:val="70550B9D"/>
    <w:rsid w:val="705648FA"/>
    <w:rsid w:val="70595930"/>
    <w:rsid w:val="705B2B64"/>
    <w:rsid w:val="706A4129"/>
    <w:rsid w:val="70747A02"/>
    <w:rsid w:val="7076111A"/>
    <w:rsid w:val="7078413F"/>
    <w:rsid w:val="708C3333"/>
    <w:rsid w:val="7093337E"/>
    <w:rsid w:val="709D2969"/>
    <w:rsid w:val="709D7A8D"/>
    <w:rsid w:val="70B00070"/>
    <w:rsid w:val="70B73E00"/>
    <w:rsid w:val="70F2796B"/>
    <w:rsid w:val="70FD48EC"/>
    <w:rsid w:val="710F1765"/>
    <w:rsid w:val="71102404"/>
    <w:rsid w:val="71167A14"/>
    <w:rsid w:val="71184DC4"/>
    <w:rsid w:val="711A1C30"/>
    <w:rsid w:val="711A5BAD"/>
    <w:rsid w:val="711D088F"/>
    <w:rsid w:val="711E6125"/>
    <w:rsid w:val="711E6ABB"/>
    <w:rsid w:val="712012B9"/>
    <w:rsid w:val="712E46AC"/>
    <w:rsid w:val="71400456"/>
    <w:rsid w:val="71411B5D"/>
    <w:rsid w:val="714760E0"/>
    <w:rsid w:val="714A38B9"/>
    <w:rsid w:val="714C2EBE"/>
    <w:rsid w:val="715C5154"/>
    <w:rsid w:val="71611C06"/>
    <w:rsid w:val="71636191"/>
    <w:rsid w:val="71686453"/>
    <w:rsid w:val="71695ED3"/>
    <w:rsid w:val="716A0721"/>
    <w:rsid w:val="716F74C0"/>
    <w:rsid w:val="7172232C"/>
    <w:rsid w:val="71797598"/>
    <w:rsid w:val="71814B45"/>
    <w:rsid w:val="71862CD7"/>
    <w:rsid w:val="71A01B77"/>
    <w:rsid w:val="71A14FC9"/>
    <w:rsid w:val="71A55FFE"/>
    <w:rsid w:val="71A63433"/>
    <w:rsid w:val="71A976A3"/>
    <w:rsid w:val="71AE13FF"/>
    <w:rsid w:val="71B83D73"/>
    <w:rsid w:val="71BF242C"/>
    <w:rsid w:val="71C94377"/>
    <w:rsid w:val="71D501FD"/>
    <w:rsid w:val="71D6159E"/>
    <w:rsid w:val="71D6274F"/>
    <w:rsid w:val="71DB17D2"/>
    <w:rsid w:val="71E50C92"/>
    <w:rsid w:val="71ED1C78"/>
    <w:rsid w:val="71F0647E"/>
    <w:rsid w:val="71FF7D8D"/>
    <w:rsid w:val="72033A39"/>
    <w:rsid w:val="7208043A"/>
    <w:rsid w:val="72231A1E"/>
    <w:rsid w:val="72324282"/>
    <w:rsid w:val="723C2FEB"/>
    <w:rsid w:val="72414BD6"/>
    <w:rsid w:val="72452668"/>
    <w:rsid w:val="724C7128"/>
    <w:rsid w:val="724E3F2F"/>
    <w:rsid w:val="725D57AD"/>
    <w:rsid w:val="72657B8A"/>
    <w:rsid w:val="726E4C9E"/>
    <w:rsid w:val="726F7E37"/>
    <w:rsid w:val="727A446C"/>
    <w:rsid w:val="72817B4E"/>
    <w:rsid w:val="7289516B"/>
    <w:rsid w:val="72902B04"/>
    <w:rsid w:val="729310B6"/>
    <w:rsid w:val="7295621B"/>
    <w:rsid w:val="729B6B8D"/>
    <w:rsid w:val="729E19CA"/>
    <w:rsid w:val="72A204A0"/>
    <w:rsid w:val="72A83B07"/>
    <w:rsid w:val="72AD20B4"/>
    <w:rsid w:val="72BF721A"/>
    <w:rsid w:val="72CB5DE1"/>
    <w:rsid w:val="72CD0489"/>
    <w:rsid w:val="72DB349B"/>
    <w:rsid w:val="72DB502D"/>
    <w:rsid w:val="72E10CF1"/>
    <w:rsid w:val="72E16E78"/>
    <w:rsid w:val="72E248FE"/>
    <w:rsid w:val="72EA15F7"/>
    <w:rsid w:val="72EC471E"/>
    <w:rsid w:val="72F36FA5"/>
    <w:rsid w:val="72F96E59"/>
    <w:rsid w:val="72FC1E33"/>
    <w:rsid w:val="73062CBE"/>
    <w:rsid w:val="73065FC6"/>
    <w:rsid w:val="730A49CC"/>
    <w:rsid w:val="73297EB2"/>
    <w:rsid w:val="732B3BA9"/>
    <w:rsid w:val="73357C00"/>
    <w:rsid w:val="73362A02"/>
    <w:rsid w:val="73497FD2"/>
    <w:rsid w:val="734A7BD6"/>
    <w:rsid w:val="734D720A"/>
    <w:rsid w:val="735765E8"/>
    <w:rsid w:val="735C22DC"/>
    <w:rsid w:val="73611BAF"/>
    <w:rsid w:val="7364571E"/>
    <w:rsid w:val="7368643D"/>
    <w:rsid w:val="736F5DF4"/>
    <w:rsid w:val="737F21B4"/>
    <w:rsid w:val="738A6877"/>
    <w:rsid w:val="739C4779"/>
    <w:rsid w:val="73A2442B"/>
    <w:rsid w:val="73A26C2C"/>
    <w:rsid w:val="73A51650"/>
    <w:rsid w:val="73A547E4"/>
    <w:rsid w:val="73AA6208"/>
    <w:rsid w:val="73C832AF"/>
    <w:rsid w:val="73D072B2"/>
    <w:rsid w:val="73E52982"/>
    <w:rsid w:val="73E752B4"/>
    <w:rsid w:val="73E94020"/>
    <w:rsid w:val="73EF2171"/>
    <w:rsid w:val="73FA0625"/>
    <w:rsid w:val="73FD7457"/>
    <w:rsid w:val="740238DF"/>
    <w:rsid w:val="74024A09"/>
    <w:rsid w:val="740759EF"/>
    <w:rsid w:val="740863C9"/>
    <w:rsid w:val="741C3C5E"/>
    <w:rsid w:val="7422148A"/>
    <w:rsid w:val="74226D3F"/>
    <w:rsid w:val="74271F57"/>
    <w:rsid w:val="742A611E"/>
    <w:rsid w:val="7435737E"/>
    <w:rsid w:val="74472CC7"/>
    <w:rsid w:val="7465110F"/>
    <w:rsid w:val="748330DD"/>
    <w:rsid w:val="74834995"/>
    <w:rsid w:val="7485747A"/>
    <w:rsid w:val="7487149B"/>
    <w:rsid w:val="748D3B91"/>
    <w:rsid w:val="749F02E6"/>
    <w:rsid w:val="74B71854"/>
    <w:rsid w:val="74BA308E"/>
    <w:rsid w:val="74CB60F3"/>
    <w:rsid w:val="74E06434"/>
    <w:rsid w:val="74E411C0"/>
    <w:rsid w:val="74ED7C16"/>
    <w:rsid w:val="74FD176E"/>
    <w:rsid w:val="7504000A"/>
    <w:rsid w:val="75087BBF"/>
    <w:rsid w:val="75095A79"/>
    <w:rsid w:val="75132281"/>
    <w:rsid w:val="751F40B7"/>
    <w:rsid w:val="754C1C51"/>
    <w:rsid w:val="75564988"/>
    <w:rsid w:val="755D76F9"/>
    <w:rsid w:val="755F4608"/>
    <w:rsid w:val="7564660F"/>
    <w:rsid w:val="7571106C"/>
    <w:rsid w:val="75711B41"/>
    <w:rsid w:val="75731C89"/>
    <w:rsid w:val="757918F4"/>
    <w:rsid w:val="757B6DFF"/>
    <w:rsid w:val="75815055"/>
    <w:rsid w:val="75830558"/>
    <w:rsid w:val="75886342"/>
    <w:rsid w:val="758A779D"/>
    <w:rsid w:val="758E7458"/>
    <w:rsid w:val="759E6B84"/>
    <w:rsid w:val="75A22359"/>
    <w:rsid w:val="75A93F0B"/>
    <w:rsid w:val="75B310A7"/>
    <w:rsid w:val="75B9274E"/>
    <w:rsid w:val="75BE4EBA"/>
    <w:rsid w:val="75CD3A2D"/>
    <w:rsid w:val="75D27E21"/>
    <w:rsid w:val="75F54C6B"/>
    <w:rsid w:val="75F8004A"/>
    <w:rsid w:val="75F83FB4"/>
    <w:rsid w:val="75F9318E"/>
    <w:rsid w:val="75FC2E47"/>
    <w:rsid w:val="76076131"/>
    <w:rsid w:val="760E47B2"/>
    <w:rsid w:val="760F5B5A"/>
    <w:rsid w:val="76102980"/>
    <w:rsid w:val="7646191B"/>
    <w:rsid w:val="76486B49"/>
    <w:rsid w:val="764D1A5E"/>
    <w:rsid w:val="765D38B1"/>
    <w:rsid w:val="76606C42"/>
    <w:rsid w:val="76631090"/>
    <w:rsid w:val="76692D81"/>
    <w:rsid w:val="76703988"/>
    <w:rsid w:val="7672217C"/>
    <w:rsid w:val="767374B1"/>
    <w:rsid w:val="7699044F"/>
    <w:rsid w:val="76A12DC3"/>
    <w:rsid w:val="76AB1C06"/>
    <w:rsid w:val="76D15B17"/>
    <w:rsid w:val="76D214FF"/>
    <w:rsid w:val="76D77C18"/>
    <w:rsid w:val="76DD5312"/>
    <w:rsid w:val="76F55676"/>
    <w:rsid w:val="77027AD0"/>
    <w:rsid w:val="77186B1E"/>
    <w:rsid w:val="77205AEE"/>
    <w:rsid w:val="77222583"/>
    <w:rsid w:val="77380EA3"/>
    <w:rsid w:val="77476F3F"/>
    <w:rsid w:val="77536215"/>
    <w:rsid w:val="77601CBF"/>
    <w:rsid w:val="77632FEC"/>
    <w:rsid w:val="77645C7D"/>
    <w:rsid w:val="776B75A3"/>
    <w:rsid w:val="776D5615"/>
    <w:rsid w:val="777439C1"/>
    <w:rsid w:val="777F59E2"/>
    <w:rsid w:val="77870DF7"/>
    <w:rsid w:val="778B1158"/>
    <w:rsid w:val="77961505"/>
    <w:rsid w:val="77A87927"/>
    <w:rsid w:val="77B15DF4"/>
    <w:rsid w:val="77B856B5"/>
    <w:rsid w:val="77CF39A0"/>
    <w:rsid w:val="77D16EA3"/>
    <w:rsid w:val="77D96092"/>
    <w:rsid w:val="77DB3F30"/>
    <w:rsid w:val="77E74187"/>
    <w:rsid w:val="77EE3D1B"/>
    <w:rsid w:val="77EF6453"/>
    <w:rsid w:val="78076895"/>
    <w:rsid w:val="78091695"/>
    <w:rsid w:val="780B1530"/>
    <w:rsid w:val="78151AE7"/>
    <w:rsid w:val="78182EDE"/>
    <w:rsid w:val="781D0ABF"/>
    <w:rsid w:val="78214ECC"/>
    <w:rsid w:val="78226FAB"/>
    <w:rsid w:val="782B5948"/>
    <w:rsid w:val="782C2A5C"/>
    <w:rsid w:val="7850664F"/>
    <w:rsid w:val="78531543"/>
    <w:rsid w:val="785971BD"/>
    <w:rsid w:val="785F3BA1"/>
    <w:rsid w:val="78602ABF"/>
    <w:rsid w:val="78665FE4"/>
    <w:rsid w:val="786E0FFE"/>
    <w:rsid w:val="78937C73"/>
    <w:rsid w:val="78A648FD"/>
    <w:rsid w:val="78A93133"/>
    <w:rsid w:val="78AD4288"/>
    <w:rsid w:val="78CF29C5"/>
    <w:rsid w:val="78D02FB6"/>
    <w:rsid w:val="78D11888"/>
    <w:rsid w:val="78E43768"/>
    <w:rsid w:val="78F36363"/>
    <w:rsid w:val="78FB2B4D"/>
    <w:rsid w:val="78FD3867"/>
    <w:rsid w:val="79025017"/>
    <w:rsid w:val="79060AA0"/>
    <w:rsid w:val="790B0378"/>
    <w:rsid w:val="790E28E1"/>
    <w:rsid w:val="79123F13"/>
    <w:rsid w:val="79155BE7"/>
    <w:rsid w:val="79214FA6"/>
    <w:rsid w:val="79322EE8"/>
    <w:rsid w:val="79344625"/>
    <w:rsid w:val="79367FB8"/>
    <w:rsid w:val="7938027C"/>
    <w:rsid w:val="79392A29"/>
    <w:rsid w:val="79472C05"/>
    <w:rsid w:val="794E3E11"/>
    <w:rsid w:val="79583AEC"/>
    <w:rsid w:val="795C7162"/>
    <w:rsid w:val="79681DB5"/>
    <w:rsid w:val="797812D7"/>
    <w:rsid w:val="79813367"/>
    <w:rsid w:val="798D4BFB"/>
    <w:rsid w:val="79990CC9"/>
    <w:rsid w:val="799B537D"/>
    <w:rsid w:val="799D7539"/>
    <w:rsid w:val="799F72C4"/>
    <w:rsid w:val="79A20557"/>
    <w:rsid w:val="79AB7A8E"/>
    <w:rsid w:val="79AC0207"/>
    <w:rsid w:val="79AD0119"/>
    <w:rsid w:val="79B666EC"/>
    <w:rsid w:val="79CB5BC6"/>
    <w:rsid w:val="79D0709A"/>
    <w:rsid w:val="79D07A75"/>
    <w:rsid w:val="79D10B67"/>
    <w:rsid w:val="79E033A0"/>
    <w:rsid w:val="79E554A8"/>
    <w:rsid w:val="79E85CDC"/>
    <w:rsid w:val="79F03230"/>
    <w:rsid w:val="79FD492D"/>
    <w:rsid w:val="7A050A77"/>
    <w:rsid w:val="7A073645"/>
    <w:rsid w:val="7A087CF7"/>
    <w:rsid w:val="7A13564A"/>
    <w:rsid w:val="7A1F725F"/>
    <w:rsid w:val="7A303322"/>
    <w:rsid w:val="7A373D8F"/>
    <w:rsid w:val="7A44485C"/>
    <w:rsid w:val="7A4D36C4"/>
    <w:rsid w:val="7A4F3378"/>
    <w:rsid w:val="7A54333F"/>
    <w:rsid w:val="7A622533"/>
    <w:rsid w:val="7A6A6FF7"/>
    <w:rsid w:val="7A7F6A39"/>
    <w:rsid w:val="7A854151"/>
    <w:rsid w:val="7A8A51BD"/>
    <w:rsid w:val="7A9A2995"/>
    <w:rsid w:val="7A9E37B9"/>
    <w:rsid w:val="7AA85A57"/>
    <w:rsid w:val="7AA97571"/>
    <w:rsid w:val="7ABF7350"/>
    <w:rsid w:val="7AD1328F"/>
    <w:rsid w:val="7AD44F12"/>
    <w:rsid w:val="7AE27BC9"/>
    <w:rsid w:val="7AE70BAE"/>
    <w:rsid w:val="7AF26D81"/>
    <w:rsid w:val="7AF27D45"/>
    <w:rsid w:val="7AF464E6"/>
    <w:rsid w:val="7AF6549D"/>
    <w:rsid w:val="7AF72185"/>
    <w:rsid w:val="7AF8333E"/>
    <w:rsid w:val="7B014170"/>
    <w:rsid w:val="7B036C9B"/>
    <w:rsid w:val="7B1633FD"/>
    <w:rsid w:val="7B1A5686"/>
    <w:rsid w:val="7B1E408D"/>
    <w:rsid w:val="7B225182"/>
    <w:rsid w:val="7B361733"/>
    <w:rsid w:val="7B49671C"/>
    <w:rsid w:val="7B546E6C"/>
    <w:rsid w:val="7B580171"/>
    <w:rsid w:val="7B5C1973"/>
    <w:rsid w:val="7B5C346C"/>
    <w:rsid w:val="7B5E5C27"/>
    <w:rsid w:val="7B652196"/>
    <w:rsid w:val="7B741218"/>
    <w:rsid w:val="7B754E9E"/>
    <w:rsid w:val="7B762D9E"/>
    <w:rsid w:val="7B77219D"/>
    <w:rsid w:val="7B784952"/>
    <w:rsid w:val="7B7A0F23"/>
    <w:rsid w:val="7B7C479D"/>
    <w:rsid w:val="7B7E15E7"/>
    <w:rsid w:val="7B7E21C6"/>
    <w:rsid w:val="7B920A5D"/>
    <w:rsid w:val="7B9707B2"/>
    <w:rsid w:val="7B9E3358"/>
    <w:rsid w:val="7BA1455F"/>
    <w:rsid w:val="7BA6332E"/>
    <w:rsid w:val="7BB340C8"/>
    <w:rsid w:val="7BB96A45"/>
    <w:rsid w:val="7BC01697"/>
    <w:rsid w:val="7BCC7A90"/>
    <w:rsid w:val="7BCF76DB"/>
    <w:rsid w:val="7BDA69BE"/>
    <w:rsid w:val="7BDC1294"/>
    <w:rsid w:val="7BDC6157"/>
    <w:rsid w:val="7BDE0C48"/>
    <w:rsid w:val="7BE975D0"/>
    <w:rsid w:val="7BEE0EE2"/>
    <w:rsid w:val="7BF2190A"/>
    <w:rsid w:val="7C010589"/>
    <w:rsid w:val="7C065E00"/>
    <w:rsid w:val="7C160D02"/>
    <w:rsid w:val="7C1637C1"/>
    <w:rsid w:val="7C1E537F"/>
    <w:rsid w:val="7C2A29F8"/>
    <w:rsid w:val="7C303B2C"/>
    <w:rsid w:val="7C365C2B"/>
    <w:rsid w:val="7C3847D9"/>
    <w:rsid w:val="7C4706AF"/>
    <w:rsid w:val="7C47395B"/>
    <w:rsid w:val="7C526D30"/>
    <w:rsid w:val="7C574088"/>
    <w:rsid w:val="7C5B6C2C"/>
    <w:rsid w:val="7C5D6386"/>
    <w:rsid w:val="7C607F1C"/>
    <w:rsid w:val="7C75184C"/>
    <w:rsid w:val="7C7F116C"/>
    <w:rsid w:val="7C854391"/>
    <w:rsid w:val="7C8F2529"/>
    <w:rsid w:val="7C921F5C"/>
    <w:rsid w:val="7C9D2374"/>
    <w:rsid w:val="7C9E2682"/>
    <w:rsid w:val="7CAC42FA"/>
    <w:rsid w:val="7CD97C96"/>
    <w:rsid w:val="7CEA2FFC"/>
    <w:rsid w:val="7CEA7F18"/>
    <w:rsid w:val="7CEC5E60"/>
    <w:rsid w:val="7CF328C9"/>
    <w:rsid w:val="7CF36D0A"/>
    <w:rsid w:val="7CFD68A1"/>
    <w:rsid w:val="7D004B90"/>
    <w:rsid w:val="7D09176A"/>
    <w:rsid w:val="7D0F7B6D"/>
    <w:rsid w:val="7D15262A"/>
    <w:rsid w:val="7D1612F9"/>
    <w:rsid w:val="7D21528B"/>
    <w:rsid w:val="7D257A97"/>
    <w:rsid w:val="7D295788"/>
    <w:rsid w:val="7D3702E5"/>
    <w:rsid w:val="7D431D8D"/>
    <w:rsid w:val="7D55172E"/>
    <w:rsid w:val="7D5A4DE9"/>
    <w:rsid w:val="7D700AD9"/>
    <w:rsid w:val="7D761C62"/>
    <w:rsid w:val="7D7D4F75"/>
    <w:rsid w:val="7D937F07"/>
    <w:rsid w:val="7D97157D"/>
    <w:rsid w:val="7DA008E1"/>
    <w:rsid w:val="7DAA286B"/>
    <w:rsid w:val="7DAD2640"/>
    <w:rsid w:val="7DB0182A"/>
    <w:rsid w:val="7DB954F6"/>
    <w:rsid w:val="7DC07247"/>
    <w:rsid w:val="7DC62F24"/>
    <w:rsid w:val="7DCA4DE2"/>
    <w:rsid w:val="7DD13D45"/>
    <w:rsid w:val="7DDA7250"/>
    <w:rsid w:val="7DDE5DE0"/>
    <w:rsid w:val="7DE35CCE"/>
    <w:rsid w:val="7DE93C91"/>
    <w:rsid w:val="7DF10E80"/>
    <w:rsid w:val="7DF77788"/>
    <w:rsid w:val="7DFC10B6"/>
    <w:rsid w:val="7DFE55BA"/>
    <w:rsid w:val="7DFE6E5E"/>
    <w:rsid w:val="7E0E7FD0"/>
    <w:rsid w:val="7E1B6002"/>
    <w:rsid w:val="7E1F4180"/>
    <w:rsid w:val="7E236173"/>
    <w:rsid w:val="7E2878B3"/>
    <w:rsid w:val="7E2A648D"/>
    <w:rsid w:val="7E317FCB"/>
    <w:rsid w:val="7E4251F7"/>
    <w:rsid w:val="7E433210"/>
    <w:rsid w:val="7E446E38"/>
    <w:rsid w:val="7E575AC2"/>
    <w:rsid w:val="7E580C80"/>
    <w:rsid w:val="7E68207B"/>
    <w:rsid w:val="7E6F1839"/>
    <w:rsid w:val="7E703748"/>
    <w:rsid w:val="7E704513"/>
    <w:rsid w:val="7E7D0743"/>
    <w:rsid w:val="7E8B6473"/>
    <w:rsid w:val="7E8B75AC"/>
    <w:rsid w:val="7E950FE9"/>
    <w:rsid w:val="7E970E40"/>
    <w:rsid w:val="7EA454D3"/>
    <w:rsid w:val="7EA90D5A"/>
    <w:rsid w:val="7EC009E8"/>
    <w:rsid w:val="7EC6610C"/>
    <w:rsid w:val="7ED16523"/>
    <w:rsid w:val="7ED72E9F"/>
    <w:rsid w:val="7ED800CA"/>
    <w:rsid w:val="7EE717EF"/>
    <w:rsid w:val="7EF96B1E"/>
    <w:rsid w:val="7EF97BE0"/>
    <w:rsid w:val="7F0175F6"/>
    <w:rsid w:val="7F0E1F5A"/>
    <w:rsid w:val="7F217700"/>
    <w:rsid w:val="7F3328D0"/>
    <w:rsid w:val="7F353C06"/>
    <w:rsid w:val="7F3A764D"/>
    <w:rsid w:val="7F410352"/>
    <w:rsid w:val="7F440F7A"/>
    <w:rsid w:val="7F487863"/>
    <w:rsid w:val="7F510226"/>
    <w:rsid w:val="7F5E5DAF"/>
    <w:rsid w:val="7F5F65D1"/>
    <w:rsid w:val="7F633EFB"/>
    <w:rsid w:val="7F634386"/>
    <w:rsid w:val="7F6531DB"/>
    <w:rsid w:val="7F672E6B"/>
    <w:rsid w:val="7F9D08FA"/>
    <w:rsid w:val="7FA772FF"/>
    <w:rsid w:val="7FAD5105"/>
    <w:rsid w:val="7FBB792C"/>
    <w:rsid w:val="7FBF3E86"/>
    <w:rsid w:val="7FCA7309"/>
    <w:rsid w:val="7FCE0093"/>
    <w:rsid w:val="7FD13457"/>
    <w:rsid w:val="7FD14040"/>
    <w:rsid w:val="7FD40F23"/>
    <w:rsid w:val="7FDC725C"/>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name="header"/>
    <w:lsdException w:qFormat="1" w:uiPriority="99" w:semiHidden="0"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9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Lines="50" w:after="160" w:afterLines="50" w:line="259" w:lineRule="auto"/>
      <w:jc w:val="both"/>
    </w:pPr>
    <w:rPr>
      <w:rFonts w:ascii="Times New Roman" w:hAnsi="Times New Roman" w:eastAsia="宋体" w:cs="Times New Roman"/>
      <w:kern w:val="2"/>
      <w:sz w:val="21"/>
      <w:lang w:val="en-US" w:eastAsia="zh-CN" w:bidi="ar-SA"/>
    </w:rPr>
  </w:style>
  <w:style w:type="paragraph" w:styleId="2">
    <w:name w:val="heading 1"/>
    <w:basedOn w:val="1"/>
    <w:next w:val="1"/>
    <w:link w:val="25"/>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link w:val="26"/>
    <w:qFormat/>
    <w:uiPriority w:val="0"/>
    <w:pPr>
      <w:numPr>
        <w:ilvl w:val="1"/>
      </w:numPr>
      <w:pBdr>
        <w:top w:val="none" w:color="auto" w:sz="0" w:space="0"/>
      </w:pBdr>
      <w:spacing w:before="50" w:after="50" w:line="260" w:lineRule="auto"/>
      <w:ind w:left="0"/>
      <w:outlineLvl w:val="1"/>
    </w:pPr>
    <w:rPr>
      <w:sz w:val="28"/>
    </w:rPr>
  </w:style>
  <w:style w:type="paragraph" w:styleId="4">
    <w:name w:val="heading 3"/>
    <w:basedOn w:val="3"/>
    <w:next w:val="1"/>
    <w:link w:val="23"/>
    <w:qFormat/>
    <w:uiPriority w:val="0"/>
    <w:pPr>
      <w:numPr>
        <w:ilvl w:val="2"/>
      </w:numPr>
      <w:spacing w:before="120"/>
      <w:outlineLvl w:val="2"/>
    </w:pPr>
    <w:rPr>
      <w:sz w:val="24"/>
    </w:rPr>
  </w:style>
  <w:style w:type="paragraph" w:styleId="5">
    <w:name w:val="heading 4"/>
    <w:basedOn w:val="1"/>
    <w:next w:val="1"/>
    <w:unhideWhenUsed/>
    <w:qFormat/>
    <w:uiPriority w:val="9"/>
    <w:pPr>
      <w:keepNext/>
      <w:keepLines/>
      <w:spacing w:beforeLines="0" w:afterLines="0" w:line="372" w:lineRule="auto"/>
      <w:outlineLvl w:val="3"/>
    </w:pPr>
    <w:rPr>
      <w:rFonts w:ascii="Arial" w:hAnsi="Arial" w:eastAsia="黑体"/>
      <w:b/>
      <w:sz w:val="28"/>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6">
    <w:name w:val="caption"/>
    <w:basedOn w:val="1"/>
    <w:next w:val="1"/>
    <w:unhideWhenUsed/>
    <w:qFormat/>
    <w:uiPriority w:val="99"/>
    <w:rPr>
      <w:rFonts w:ascii="Arial" w:hAnsi="Arial" w:eastAsia="黑体"/>
      <w:sz w:val="20"/>
    </w:rPr>
  </w:style>
  <w:style w:type="paragraph" w:styleId="7">
    <w:name w:val="Document Map"/>
    <w:basedOn w:val="1"/>
    <w:link w:val="45"/>
    <w:semiHidden/>
    <w:unhideWhenUsed/>
    <w:qFormat/>
    <w:uiPriority w:val="99"/>
    <w:rPr>
      <w:rFonts w:ascii="宋体"/>
      <w:sz w:val="18"/>
      <w:szCs w:val="18"/>
    </w:rPr>
  </w:style>
  <w:style w:type="paragraph" w:styleId="8">
    <w:name w:val="annotation text"/>
    <w:basedOn w:val="1"/>
    <w:link w:val="27"/>
    <w:qFormat/>
    <w:uiPriority w:val="0"/>
  </w:style>
  <w:style w:type="paragraph" w:styleId="9">
    <w:name w:val="Body Text"/>
    <w:basedOn w:val="1"/>
    <w:qFormat/>
    <w:uiPriority w:val="0"/>
    <w:pPr>
      <w:spacing w:after="120"/>
    </w:pPr>
    <w:rPr>
      <w:rFonts w:ascii="Times" w:hAnsi="Times"/>
      <w:szCs w:val="24"/>
    </w:rPr>
  </w:style>
  <w:style w:type="paragraph" w:styleId="10">
    <w:name w:val="Balloon Text"/>
    <w:basedOn w:val="1"/>
    <w:link w:val="24"/>
    <w:semiHidden/>
    <w:unhideWhenUsed/>
    <w:qFormat/>
    <w:uiPriority w:val="99"/>
    <w:rPr>
      <w:sz w:val="18"/>
      <w:szCs w:val="18"/>
    </w:rPr>
  </w:style>
  <w:style w:type="paragraph" w:styleId="11">
    <w:name w:val="footer"/>
    <w:basedOn w:val="1"/>
    <w:link w:val="28"/>
    <w:unhideWhenUsed/>
    <w:qFormat/>
    <w:uiPriority w:val="99"/>
    <w:pPr>
      <w:tabs>
        <w:tab w:val="center" w:pos="4153"/>
        <w:tab w:val="right" w:pos="8306"/>
      </w:tabs>
      <w:snapToGrid w:val="0"/>
      <w:jc w:val="left"/>
    </w:pPr>
    <w:rPr>
      <w:sz w:val="18"/>
      <w:szCs w:val="18"/>
    </w:rPr>
  </w:style>
  <w:style w:type="paragraph" w:styleId="12">
    <w:name w:val="header"/>
    <w:basedOn w:val="1"/>
    <w:link w:val="29"/>
    <w:semiHidden/>
    <w:qFormat/>
    <w:uiPriority w:val="0"/>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pPr>
      <w:tabs>
        <w:tab w:val="decimal" w:pos="0"/>
        <w:tab w:val="right" w:pos="9660"/>
      </w:tabs>
      <w:ind w:right="420" w:rightChars="200"/>
      <w:jc w:val="left"/>
    </w:pPr>
    <w:rPr>
      <w:b/>
      <w:bCs/>
      <w:i/>
      <w:iCs/>
      <w:sz w:val="20"/>
    </w:rPr>
  </w:style>
  <w:style w:type="paragraph" w:styleId="14">
    <w:name w:val="Normal (Web)"/>
    <w:basedOn w:val="1"/>
    <w:unhideWhenUsed/>
    <w:qFormat/>
    <w:uiPriority w:val="99"/>
    <w:pPr>
      <w:spacing w:beforeAutospacing="1" w:afterAutospacing="1"/>
      <w:jc w:val="left"/>
    </w:pPr>
    <w:rPr>
      <w:kern w:val="0"/>
      <w:sz w:val="24"/>
    </w:rPr>
  </w:style>
  <w:style w:type="paragraph" w:styleId="15">
    <w:name w:val="annotation subject"/>
    <w:basedOn w:val="8"/>
    <w:next w:val="8"/>
    <w:link w:val="35"/>
    <w:semiHidden/>
    <w:unhideWhenUsed/>
    <w:qFormat/>
    <w:uiPriority w:val="99"/>
    <w:pPr>
      <w:jc w:val="left"/>
    </w:pPr>
    <w:rPr>
      <w:b/>
      <w:bCs/>
    </w:rPr>
  </w:style>
  <w:style w:type="table" w:styleId="17">
    <w:name w:val="Table Grid"/>
    <w:basedOn w:val="16"/>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Strong"/>
    <w:basedOn w:val="18"/>
    <w:qFormat/>
    <w:uiPriority w:val="22"/>
    <w:rPr>
      <w:b/>
    </w:rPr>
  </w:style>
  <w:style w:type="character" w:styleId="20">
    <w:name w:val="page number"/>
    <w:basedOn w:val="18"/>
    <w:semiHidden/>
    <w:qFormat/>
    <w:uiPriority w:val="0"/>
  </w:style>
  <w:style w:type="character" w:styleId="21">
    <w:name w:val="Hyperlink"/>
    <w:basedOn w:val="18"/>
    <w:qFormat/>
    <w:uiPriority w:val="99"/>
    <w:rPr>
      <w:color w:val="0000FF"/>
      <w:u w:val="single"/>
    </w:rPr>
  </w:style>
  <w:style w:type="character" w:styleId="22">
    <w:name w:val="annotation reference"/>
    <w:qFormat/>
    <w:uiPriority w:val="0"/>
    <w:rPr>
      <w:sz w:val="16"/>
    </w:rPr>
  </w:style>
  <w:style w:type="character" w:customStyle="1" w:styleId="23">
    <w:name w:val="标题 3 字符"/>
    <w:basedOn w:val="18"/>
    <w:link w:val="4"/>
    <w:qFormat/>
    <w:uiPriority w:val="0"/>
    <w:rPr>
      <w:rFonts w:ascii="Arial" w:hAnsi="Arial" w:eastAsia="MS Mincho" w:cs="Times New Roman"/>
      <w:sz w:val="24"/>
      <w:szCs w:val="20"/>
    </w:rPr>
  </w:style>
  <w:style w:type="character" w:customStyle="1" w:styleId="24">
    <w:name w:val="批注框文本 字符"/>
    <w:basedOn w:val="18"/>
    <w:link w:val="10"/>
    <w:semiHidden/>
    <w:qFormat/>
    <w:uiPriority w:val="99"/>
    <w:rPr>
      <w:rFonts w:ascii="Times New Roman" w:hAnsi="Times New Roman" w:eastAsia="宋体" w:cs="Times New Roman"/>
      <w:sz w:val="18"/>
      <w:szCs w:val="18"/>
    </w:rPr>
  </w:style>
  <w:style w:type="character" w:customStyle="1" w:styleId="25">
    <w:name w:val="标题 1 字符"/>
    <w:basedOn w:val="18"/>
    <w:link w:val="2"/>
    <w:qFormat/>
    <w:uiPriority w:val="0"/>
    <w:rPr>
      <w:rFonts w:ascii="Arial" w:hAnsi="Arial" w:eastAsia="MS Mincho" w:cs="Times New Roman"/>
      <w:sz w:val="32"/>
      <w:szCs w:val="20"/>
    </w:rPr>
  </w:style>
  <w:style w:type="character" w:customStyle="1" w:styleId="26">
    <w:name w:val="标题 2 字符"/>
    <w:basedOn w:val="18"/>
    <w:link w:val="3"/>
    <w:qFormat/>
    <w:uiPriority w:val="0"/>
    <w:rPr>
      <w:rFonts w:ascii="Arial" w:hAnsi="Arial" w:eastAsia="MS Mincho" w:cs="Times New Roman"/>
      <w:sz w:val="28"/>
      <w:szCs w:val="20"/>
    </w:rPr>
  </w:style>
  <w:style w:type="character" w:customStyle="1" w:styleId="27">
    <w:name w:val="批注文字 字符"/>
    <w:basedOn w:val="18"/>
    <w:link w:val="8"/>
    <w:qFormat/>
    <w:uiPriority w:val="0"/>
    <w:rPr>
      <w:rFonts w:ascii="Times New Roman" w:hAnsi="Times New Roman" w:eastAsia="宋体" w:cs="Times New Roman"/>
      <w:szCs w:val="20"/>
    </w:rPr>
  </w:style>
  <w:style w:type="character" w:customStyle="1" w:styleId="28">
    <w:name w:val="页脚 字符"/>
    <w:basedOn w:val="18"/>
    <w:link w:val="11"/>
    <w:qFormat/>
    <w:uiPriority w:val="99"/>
    <w:rPr>
      <w:rFonts w:ascii="Times New Roman" w:hAnsi="Times New Roman" w:eastAsia="宋体" w:cs="Times New Roman"/>
      <w:sz w:val="18"/>
      <w:szCs w:val="18"/>
    </w:rPr>
  </w:style>
  <w:style w:type="character" w:customStyle="1" w:styleId="29">
    <w:name w:val="页眉 字符"/>
    <w:basedOn w:val="18"/>
    <w:link w:val="12"/>
    <w:semiHidden/>
    <w:qFormat/>
    <w:uiPriority w:val="0"/>
    <w:rPr>
      <w:rFonts w:ascii="Times New Roman" w:hAnsi="Times New Roman" w:eastAsia="宋体" w:cs="Times New Roman"/>
      <w:sz w:val="18"/>
      <w:szCs w:val="18"/>
    </w:rPr>
  </w:style>
  <w:style w:type="paragraph" w:customStyle="1" w:styleId="30">
    <w:name w:val="References"/>
    <w:basedOn w:val="1"/>
    <w:qFormat/>
    <w:uiPriority w:val="0"/>
    <w:pPr>
      <w:numPr>
        <w:ilvl w:val="0"/>
        <w:numId w:val="2"/>
      </w:numPr>
      <w:spacing w:after="60"/>
    </w:pPr>
    <w:rPr>
      <w:szCs w:val="16"/>
    </w:rPr>
  </w:style>
  <w:style w:type="paragraph" w:styleId="31">
    <w:name w:val="List Paragraph"/>
    <w:basedOn w:val="1"/>
    <w:link w:val="37"/>
    <w:qFormat/>
    <w:uiPriority w:val="34"/>
    <w:pPr>
      <w:spacing w:beforeLines="0"/>
      <w:ind w:left="720"/>
      <w:contextualSpacing/>
    </w:pPr>
    <w:rPr>
      <w:rFonts w:eastAsia="Times New Roman"/>
      <w:sz w:val="24"/>
      <w:szCs w:val="24"/>
    </w:rPr>
  </w:style>
  <w:style w:type="character" w:customStyle="1" w:styleId="32">
    <w:name w:val="font21"/>
    <w:basedOn w:val="18"/>
    <w:qFormat/>
    <w:uiPriority w:val="0"/>
    <w:rPr>
      <w:rFonts w:hint="default" w:ascii="Times New Roman" w:hAnsi="Times New Roman" w:cs="Times New Roman"/>
      <w:color w:val="000000"/>
      <w:sz w:val="20"/>
      <w:szCs w:val="20"/>
      <w:u w:val="none"/>
    </w:rPr>
  </w:style>
  <w:style w:type="character" w:customStyle="1" w:styleId="33">
    <w:name w:val="font11"/>
    <w:basedOn w:val="18"/>
    <w:qFormat/>
    <w:uiPriority w:val="0"/>
    <w:rPr>
      <w:rFonts w:hint="default" w:ascii="Symbol" w:hAnsi="Symbol" w:cs="Symbol"/>
      <w:b/>
      <w:color w:val="000000"/>
      <w:sz w:val="20"/>
      <w:szCs w:val="20"/>
      <w:u w:val="none"/>
    </w:rPr>
  </w:style>
  <w:style w:type="character" w:customStyle="1" w:styleId="34">
    <w:name w:val="font01"/>
    <w:basedOn w:val="18"/>
    <w:qFormat/>
    <w:uiPriority w:val="0"/>
    <w:rPr>
      <w:rFonts w:hint="default" w:ascii="Symbol" w:hAnsi="Symbol" w:cs="Symbol"/>
      <w:color w:val="000000"/>
      <w:sz w:val="20"/>
      <w:szCs w:val="20"/>
      <w:u w:val="none"/>
    </w:rPr>
  </w:style>
  <w:style w:type="character" w:customStyle="1" w:styleId="35">
    <w:name w:val="批注主题 字符"/>
    <w:basedOn w:val="27"/>
    <w:link w:val="15"/>
    <w:semiHidden/>
    <w:qFormat/>
    <w:uiPriority w:val="99"/>
    <w:rPr>
      <w:rFonts w:ascii="Times New Roman" w:hAnsi="Times New Roman" w:eastAsia="宋体" w:cs="Times New Roman"/>
      <w:b/>
      <w:bCs/>
      <w:kern w:val="2"/>
      <w:sz w:val="21"/>
      <w:szCs w:val="20"/>
    </w:rPr>
  </w:style>
  <w:style w:type="paragraph" w:customStyle="1" w:styleId="36">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37">
    <w:name w:val="列表段落 字符"/>
    <w:link w:val="31"/>
    <w:qFormat/>
    <w:uiPriority w:val="34"/>
    <w:rPr>
      <w:rFonts w:ascii="Times New Roman" w:hAnsi="Times New Roman" w:eastAsia="Times New Roman" w:cs="Times New Roman"/>
      <w:kern w:val="2"/>
      <w:sz w:val="24"/>
      <w:szCs w:val="24"/>
    </w:rPr>
  </w:style>
  <w:style w:type="character" w:styleId="38">
    <w:name w:val="Placeholder Text"/>
    <w:basedOn w:val="18"/>
    <w:unhideWhenUsed/>
    <w:qFormat/>
    <w:uiPriority w:val="99"/>
    <w:rPr>
      <w:color w:val="808080"/>
    </w:rPr>
  </w:style>
  <w:style w:type="paragraph" w:customStyle="1" w:styleId="39">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40">
    <w:name w:val="x_apple-converted-space"/>
    <w:qFormat/>
    <w:uiPriority w:val="0"/>
  </w:style>
  <w:style w:type="paragraph" w:customStyle="1" w:styleId="41">
    <w:name w:val="TAH"/>
    <w:basedOn w:val="42"/>
    <w:qFormat/>
    <w:uiPriority w:val="0"/>
    <w:rPr>
      <w:b/>
    </w:rPr>
  </w:style>
  <w:style w:type="paragraph" w:customStyle="1" w:styleId="42">
    <w:name w:val="TAC"/>
    <w:basedOn w:val="43"/>
    <w:qFormat/>
    <w:uiPriority w:val="0"/>
    <w:pPr>
      <w:jc w:val="center"/>
    </w:pPr>
  </w:style>
  <w:style w:type="paragraph" w:customStyle="1" w:styleId="43">
    <w:name w:val="TAL"/>
    <w:basedOn w:val="1"/>
    <w:qFormat/>
    <w:uiPriority w:val="0"/>
    <w:pPr>
      <w:keepNext/>
      <w:keepLines/>
    </w:pPr>
    <w:rPr>
      <w:rFonts w:ascii="Arial" w:hAnsi="Arial"/>
      <w:sz w:val="18"/>
    </w:rPr>
  </w:style>
  <w:style w:type="paragraph" w:customStyle="1" w:styleId="44">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45">
    <w:name w:val="文档结构图 字符"/>
    <w:basedOn w:val="18"/>
    <w:link w:val="7"/>
    <w:semiHidden/>
    <w:qFormat/>
    <w:uiPriority w:val="99"/>
    <w:rPr>
      <w:rFonts w:ascii="宋体"/>
      <w:kern w:val="2"/>
      <w:sz w:val="18"/>
      <w:szCs w:val="18"/>
    </w:rPr>
  </w:style>
  <w:style w:type="paragraph" w:customStyle="1" w:styleId="46">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47">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48">
    <w:name w:val="apple-converted-space"/>
    <w:basedOn w:val="18"/>
    <w:qFormat/>
    <w:uiPriority w:val="0"/>
  </w:style>
  <w:style w:type="paragraph" w:customStyle="1" w:styleId="49">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50">
    <w:name w:val="x_xmsonormal"/>
    <w:basedOn w:val="1"/>
    <w:qFormat/>
    <w:uiPriority w:val="0"/>
    <w:rPr>
      <w:rFonts w:ascii="宋体" w:hAnsi="宋体" w:cs="Calibri"/>
      <w:sz w:val="24"/>
    </w:rPr>
  </w:style>
  <w:style w:type="paragraph" w:customStyle="1" w:styleId="51">
    <w:name w:val="YJ-Observation"/>
    <w:basedOn w:val="1"/>
    <w:qFormat/>
    <w:uiPriority w:val="0"/>
    <w:pPr>
      <w:numPr>
        <w:ilvl w:val="0"/>
        <w:numId w:val="3"/>
      </w:numPr>
      <w:tabs>
        <w:tab w:val="left" w:pos="420"/>
      </w:tabs>
      <w:jc w:val="left"/>
    </w:pPr>
    <w:rPr>
      <w:rFonts w:eastAsiaTheme="minorEastAsia"/>
      <w:b/>
      <w:bCs/>
      <w:i/>
      <w:iCs/>
      <w:sz w:val="20"/>
      <w:lang w:val="en-GB" w:eastAsia="en-US"/>
    </w:rPr>
  </w:style>
  <w:style w:type="paragraph" w:customStyle="1" w:styleId="52">
    <w:name w:val="3GPP Normal Text"/>
    <w:basedOn w:val="9"/>
    <w:qFormat/>
    <w:uiPriority w:val="0"/>
    <w:pPr>
      <w:spacing w:after="60"/>
    </w:pPr>
    <w:rPr>
      <w:rFonts w:ascii="Times New Roman" w:hAnsi="Times New Roman" w:eastAsia="MS Mincho"/>
    </w:rPr>
  </w:style>
  <w:style w:type="paragraph" w:customStyle="1" w:styleId="53">
    <w:name w:val="List Paragraph1"/>
    <w:basedOn w:val="1"/>
    <w:qFormat/>
    <w:uiPriority w:val="0"/>
    <w:pPr>
      <w:widowControl w:val="0"/>
      <w:spacing w:beforeLines="0" w:afterLines="0" w:line="240" w:lineRule="auto"/>
      <w:ind w:firstLine="420" w:firstLineChars="200"/>
    </w:pPr>
    <w:rPr>
      <w:rFonts w:ascii="Calibri" w:hAnsi="Calibri"/>
      <w:szCs w:val="21"/>
    </w:rPr>
  </w:style>
  <w:style w:type="paragraph" w:customStyle="1" w:styleId="54">
    <w:name w:val="YJ-Proposal"/>
    <w:basedOn w:val="1"/>
    <w:qFormat/>
    <w:uiPriority w:val="0"/>
    <w:pPr>
      <w:numPr>
        <w:ilvl w:val="0"/>
        <w:numId w:val="4"/>
      </w:numPr>
      <w:jc w:val="left"/>
    </w:pPr>
    <w:rPr>
      <w:rFonts w:eastAsiaTheme="minorEastAsia"/>
      <w:b/>
      <w:bCs/>
      <w:i/>
      <w:iCs/>
      <w:sz w:val="20"/>
      <w:lang w:val="en-GB" w:eastAsia="en-US"/>
    </w:rPr>
  </w:style>
  <w:style w:type="paragraph" w:customStyle="1" w:styleId="55">
    <w:name w:val="List Paragraph2"/>
    <w:basedOn w:val="1"/>
    <w:qFormat/>
    <w:uiPriority w:val="0"/>
    <w:pPr>
      <w:overflowPunct w:val="0"/>
      <w:autoSpaceDE w:val="0"/>
      <w:autoSpaceDN w:val="0"/>
      <w:adjustRightInd w:val="0"/>
      <w:spacing w:before="100" w:beforeLines="0" w:beforeAutospacing="1" w:after="180" w:afterLines="0" w:line="240" w:lineRule="auto"/>
      <w:ind w:left="720"/>
      <w:contextualSpacing/>
      <w:jc w:val="left"/>
      <w:textAlignment w:val="baseline"/>
    </w:pPr>
    <w:rPr>
      <w:rFonts w:eastAsia="等线"/>
      <w:kern w:val="0"/>
      <w:sz w:val="24"/>
      <w:szCs w:val="24"/>
    </w:rPr>
  </w:style>
  <w:style w:type="paragraph" w:customStyle="1" w:styleId="56">
    <w:name w:val="List Paragraph3"/>
    <w:basedOn w:val="1"/>
    <w:qFormat/>
    <w:uiPriority w:val="0"/>
    <w:pPr>
      <w:overflowPunct w:val="0"/>
      <w:autoSpaceDE w:val="0"/>
      <w:autoSpaceDN w:val="0"/>
      <w:adjustRightInd w:val="0"/>
      <w:spacing w:before="100" w:beforeLines="0" w:beforeAutospacing="1" w:after="180" w:afterLines="0" w:line="240" w:lineRule="auto"/>
      <w:ind w:left="720"/>
      <w:contextualSpacing/>
      <w:jc w:val="left"/>
      <w:textAlignment w:val="baseline"/>
    </w:pPr>
    <w:rPr>
      <w:rFonts w:eastAsia="MS Mincho"/>
      <w:kern w:val="0"/>
      <w:sz w:val="24"/>
      <w:szCs w:val="24"/>
    </w:rPr>
  </w:style>
  <w:style w:type="paragraph" w:customStyle="1" w:styleId="57">
    <w:name w:val="TH"/>
    <w:basedOn w:val="1"/>
    <w:qFormat/>
    <w:uiPriority w:val="0"/>
    <w:pPr>
      <w:keepNext/>
      <w:keepLines/>
      <w:spacing w:before="60"/>
      <w:jc w:val="center"/>
    </w:pPr>
    <w:rPr>
      <w:rFonts w:ascii="Arial" w:hAnsi="Arial"/>
      <w:b/>
      <w:lang w:val="zh-CN"/>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7" Type="http://schemas.openxmlformats.org/officeDocument/2006/relationships/fontTable" Target="fontTable.xml"/><Relationship Id="rId46" Type="http://schemas.openxmlformats.org/officeDocument/2006/relationships/customXml" Target="../customXml/item1.xml"/><Relationship Id="rId45" Type="http://schemas.openxmlformats.org/officeDocument/2006/relationships/numbering" Target="numbering.xml"/><Relationship Id="rId44" Type="http://schemas.openxmlformats.org/officeDocument/2006/relationships/image" Target="media/image24.wmf"/><Relationship Id="rId43" Type="http://schemas.openxmlformats.org/officeDocument/2006/relationships/oleObject" Target="embeddings/oleObject9.bin"/><Relationship Id="rId42" Type="http://schemas.openxmlformats.org/officeDocument/2006/relationships/image" Target="media/image23.png"/><Relationship Id="rId41" Type="http://schemas.openxmlformats.org/officeDocument/2006/relationships/image" Target="media/image22.png"/><Relationship Id="rId40" Type="http://schemas.openxmlformats.org/officeDocument/2006/relationships/image" Target="media/image21.png"/><Relationship Id="rId4" Type="http://schemas.openxmlformats.org/officeDocument/2006/relationships/endnotes" Target="endnotes.xml"/><Relationship Id="rId39" Type="http://schemas.openxmlformats.org/officeDocument/2006/relationships/image" Target="media/image20.png"/><Relationship Id="rId38" Type="http://schemas.openxmlformats.org/officeDocument/2006/relationships/image" Target="media/image19.png"/><Relationship Id="rId37" Type="http://schemas.openxmlformats.org/officeDocument/2006/relationships/image" Target="media/image18.png"/><Relationship Id="rId36" Type="http://schemas.openxmlformats.org/officeDocument/2006/relationships/image" Target="media/image17.emf"/><Relationship Id="rId35" Type="http://schemas.openxmlformats.org/officeDocument/2006/relationships/oleObject" Target="embeddings/oleObject8.bin"/><Relationship Id="rId34" Type="http://schemas.openxmlformats.org/officeDocument/2006/relationships/image" Target="media/image16.emf"/><Relationship Id="rId33" Type="http://schemas.openxmlformats.org/officeDocument/2006/relationships/oleObject" Target="embeddings/oleObject7.bin"/><Relationship Id="rId32" Type="http://schemas.openxmlformats.org/officeDocument/2006/relationships/image" Target="media/image15.emf"/><Relationship Id="rId31" Type="http://schemas.openxmlformats.org/officeDocument/2006/relationships/image" Target="media/image14.png"/><Relationship Id="rId30" Type="http://schemas.openxmlformats.org/officeDocument/2006/relationships/image" Target="media/image13.emf"/><Relationship Id="rId3" Type="http://schemas.openxmlformats.org/officeDocument/2006/relationships/footnotes" Target="footnotes.xml"/><Relationship Id="rId29" Type="http://schemas.openxmlformats.org/officeDocument/2006/relationships/oleObject" Target="embeddings/oleObject6.bin"/><Relationship Id="rId28" Type="http://schemas.openxmlformats.org/officeDocument/2006/relationships/image" Target="media/image12.wmf"/><Relationship Id="rId27" Type="http://schemas.openxmlformats.org/officeDocument/2006/relationships/oleObject" Target="embeddings/oleObject5.bin"/><Relationship Id="rId26" Type="http://schemas.openxmlformats.org/officeDocument/2006/relationships/image" Target="media/image11.wmf"/><Relationship Id="rId25" Type="http://schemas.openxmlformats.org/officeDocument/2006/relationships/oleObject" Target="embeddings/oleObject4.bin"/><Relationship Id="rId24" Type="http://schemas.openxmlformats.org/officeDocument/2006/relationships/image" Target="media/image10.wmf"/><Relationship Id="rId23" Type="http://schemas.openxmlformats.org/officeDocument/2006/relationships/oleObject" Target="embeddings/oleObject3.bin"/><Relationship Id="rId22" Type="http://schemas.openxmlformats.org/officeDocument/2006/relationships/image" Target="media/image9.wmf"/><Relationship Id="rId21" Type="http://schemas.openxmlformats.org/officeDocument/2006/relationships/oleObject" Target="embeddings/oleObject2.bin"/><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7.png"/><Relationship Id="rId17" Type="http://schemas.openxmlformats.org/officeDocument/2006/relationships/image" Target="media/image6.emf"/><Relationship Id="rId16" Type="http://schemas.openxmlformats.org/officeDocument/2006/relationships/image" Target="media/image5.emf"/><Relationship Id="rId15" Type="http://schemas.openxmlformats.org/officeDocument/2006/relationships/image" Target="media/image4.emf"/><Relationship Id="rId14" Type="http://schemas.openxmlformats.org/officeDocument/2006/relationships/image" Target="media/image3.emf"/><Relationship Id="rId13" Type="http://schemas.openxmlformats.org/officeDocument/2006/relationships/image" Target="media/image2.emf"/><Relationship Id="rId12" Type="http://schemas.openxmlformats.org/officeDocument/2006/relationships/image" Target="media/image1.emf"/><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7C83F9-A8C2-4A62-8A8F-2E1E742231A7}">
  <ds:schemaRefs/>
</ds:datastoreItem>
</file>

<file path=docProps/app.xml><?xml version="1.0" encoding="utf-8"?>
<Properties xmlns="http://schemas.openxmlformats.org/officeDocument/2006/extended-properties" xmlns:vt="http://schemas.openxmlformats.org/officeDocument/2006/docPropsVTypes">
  <Template>Normal.dotm</Template>
  <Pages>19</Pages>
  <Words>5089</Words>
  <Characters>29010</Characters>
  <Lines>241</Lines>
  <Paragraphs>68</Paragraphs>
  <TotalTime>2</TotalTime>
  <ScaleCrop>false</ScaleCrop>
  <LinksUpToDate>false</LinksUpToDate>
  <CharactersWithSpaces>34031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2025-08-15T19:46:00Z</dcterms:created>
  <dc:creator>ZTE</dc:creator>
  <cp:lastModifiedBy>ZTE, Mengzhu</cp:lastModifiedBy>
  <cp:lastPrinted>2025-08-02T10:31:00Z</cp:lastPrinted>
  <dcterms:modified xsi:type="dcterms:W3CDTF">2025-08-15T23:01:47Z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2368117070514D72A6DDF97FE7491E71</vt:lpwstr>
  </property>
</Properties>
</file>