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935CB" w14:textId="7A3DD103" w:rsidR="00EC5C83" w:rsidRPr="00327C65" w:rsidRDefault="00EC5C83" w:rsidP="00E04E05">
      <w:pPr>
        <w:autoSpaceDE/>
        <w:autoSpaceDN/>
        <w:adjustRightInd/>
        <w:snapToGrid/>
        <w:spacing w:after="0"/>
        <w:jc w:val="left"/>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E05ED" w:rsidRPr="00CE05ED">
        <w:rPr>
          <w:rFonts w:ascii="Arial" w:hAnsi="Arial" w:cs="Arial"/>
          <w:b/>
          <w:noProof/>
          <w:kern w:val="2"/>
        </w:rPr>
        <w:t>3GPP TSG RAN WG1 #122</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E04E05">
        <w:rPr>
          <w:rFonts w:ascii="Arial" w:hAnsi="Arial" w:cs="Arial"/>
          <w:b/>
          <w:kern w:val="2"/>
          <w:lang w:eastAsia="zh-CN"/>
        </w:rPr>
        <w:t xml:space="preserve">             </w:t>
      </w:r>
      <w:r>
        <w:rPr>
          <w:rFonts w:ascii="Arial" w:hAnsi="Arial" w:cs="Arial"/>
          <w:b/>
          <w:kern w:val="2"/>
          <w:lang w:eastAsia="zh-CN"/>
        </w:rPr>
        <w:t xml:space="preserve">    </w:t>
      </w:r>
      <w:r w:rsidR="00DC35B5" w:rsidRPr="00DC35B5">
        <w:rPr>
          <w:b/>
          <w:bCs/>
          <w:sz w:val="24"/>
          <w:szCs w:val="24"/>
        </w:rPr>
        <w:t>R1-2506386</w:t>
      </w:r>
    </w:p>
    <w:p w14:paraId="4AEE3EA0" w14:textId="77777777" w:rsidR="00CE05ED" w:rsidRPr="00CE05ED" w:rsidRDefault="00CE05ED" w:rsidP="00CE05ED">
      <w:pPr>
        <w:spacing w:after="60"/>
        <w:ind w:left="1555" w:hanging="1555"/>
        <w:jc w:val="left"/>
        <w:rPr>
          <w:rFonts w:ascii="Arial" w:hAnsi="Arial" w:cs="Arial"/>
          <w:b/>
          <w:bCs/>
          <w:szCs w:val="20"/>
          <w:lang w:eastAsia="zh-CN"/>
        </w:rPr>
      </w:pPr>
      <w:r w:rsidRPr="00CE05ED">
        <w:rPr>
          <w:rFonts w:ascii="Arial" w:hAnsi="Arial" w:cs="Arial"/>
          <w:b/>
          <w:bCs/>
          <w:szCs w:val="20"/>
          <w:lang w:eastAsia="zh-CN"/>
        </w:rPr>
        <w:t>Bengaluru, India, August 25</w:t>
      </w:r>
      <w:r w:rsidRPr="00CE05ED">
        <w:rPr>
          <w:rFonts w:ascii="Arial" w:hAnsi="Arial" w:cs="Arial"/>
          <w:b/>
          <w:bCs/>
          <w:szCs w:val="20"/>
          <w:vertAlign w:val="superscript"/>
          <w:lang w:eastAsia="zh-CN"/>
        </w:rPr>
        <w:t>th</w:t>
      </w:r>
      <w:r w:rsidRPr="00CE05ED">
        <w:rPr>
          <w:rFonts w:ascii="Arial" w:hAnsi="Arial" w:cs="Arial"/>
          <w:b/>
          <w:bCs/>
          <w:szCs w:val="20"/>
          <w:lang w:eastAsia="zh-CN"/>
        </w:rPr>
        <w:t xml:space="preserve"> – 29</w:t>
      </w:r>
      <w:r w:rsidRPr="00CE05ED">
        <w:rPr>
          <w:rFonts w:ascii="Arial" w:hAnsi="Arial" w:cs="Arial"/>
          <w:b/>
          <w:bCs/>
          <w:szCs w:val="20"/>
          <w:vertAlign w:val="superscript"/>
          <w:lang w:eastAsia="zh-CN"/>
        </w:rPr>
        <w:t>th</w:t>
      </w:r>
      <w:r w:rsidRPr="00CE05ED">
        <w:rPr>
          <w:rFonts w:ascii="Arial" w:hAnsi="Arial" w:cs="Arial"/>
          <w:b/>
          <w:bCs/>
          <w:szCs w:val="20"/>
          <w:lang w:eastAsia="zh-CN"/>
        </w:rPr>
        <w:t>, 2025</w:t>
      </w:r>
    </w:p>
    <w:p w14:paraId="21BFA200" w14:textId="77777777" w:rsidR="00EC5C83" w:rsidRPr="00CE05ED" w:rsidRDefault="00EC5C83" w:rsidP="00EC5C83">
      <w:pPr>
        <w:spacing w:after="60"/>
        <w:ind w:left="1555" w:hanging="1555"/>
        <w:jc w:val="left"/>
        <w:rPr>
          <w:rFonts w:ascii="Arial" w:hAnsi="Arial" w:cs="Arial"/>
          <w:b/>
          <w:lang w:eastAsia="zh-CN"/>
        </w:rPr>
      </w:pPr>
    </w:p>
    <w:p w14:paraId="4FB69053" w14:textId="57F570F5" w:rsidR="00EC5C83" w:rsidRPr="00F17041" w:rsidRDefault="00EC5C83" w:rsidP="00CE05ED">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r>
      <w:r w:rsidR="00CE05ED" w:rsidRPr="00CE05ED">
        <w:rPr>
          <w:rFonts w:ascii="Arial" w:hAnsi="Arial" w:cs="Arial"/>
          <w:b/>
          <w:lang w:eastAsia="zh-CN"/>
        </w:rPr>
        <w:t>10.1.1.2</w:t>
      </w:r>
    </w:p>
    <w:p w14:paraId="29CB8E14" w14:textId="63AC9BBE"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Pr="00F17041">
        <w:rPr>
          <w:rFonts w:ascii="Arial" w:hAnsi="Arial" w:cs="Arial"/>
          <w:b/>
          <w:caps/>
          <w:shd w:val="clear" w:color="auto" w:fill="FFFFFF"/>
        </w:rPr>
        <w:t>IIT KANPUR</w:t>
      </w:r>
    </w:p>
    <w:p w14:paraId="01166B83" w14:textId="583F2055"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CE05ED">
        <w:rPr>
          <w:rFonts w:ascii="Arial" w:hAnsi="Arial" w:cs="Arial"/>
          <w:b/>
          <w:lang w:eastAsia="zh-CN"/>
        </w:rPr>
        <w:t>O</w:t>
      </w:r>
      <w:r w:rsidR="00CE05ED" w:rsidRPr="00CE05ED">
        <w:rPr>
          <w:rFonts w:ascii="Arial" w:hAnsi="Arial" w:cs="Arial"/>
          <w:b/>
          <w:lang w:eastAsia="zh-CN"/>
        </w:rPr>
        <w:t>ther aspects of AI/ML-based CSI</w:t>
      </w:r>
      <w:r w:rsidR="004B6625">
        <w:rPr>
          <w:rFonts w:ascii="Arial" w:hAnsi="Arial" w:cs="Arial"/>
          <w:b/>
          <w:lang w:eastAsia="zh-CN"/>
        </w:rPr>
        <w:t xml:space="preserve"> compression</w:t>
      </w:r>
    </w:p>
    <w:p w14:paraId="542736B0" w14:textId="1FC4529D"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9502DA" w:rsidRPr="00F17041">
        <w:rPr>
          <w:rFonts w:ascii="Arial" w:hAnsi="Arial" w:cs="Arial"/>
          <w:b/>
          <w:kern w:val="2"/>
          <w:lang w:eastAsia="zh-CN"/>
        </w:rPr>
        <w:t>:</w:t>
      </w:r>
      <w:r w:rsidR="009502DA">
        <w:rPr>
          <w:rFonts w:ascii="Arial" w:hAnsi="Arial" w:cs="Arial"/>
          <w:b/>
          <w:kern w:val="2"/>
          <w:lang w:eastAsia="zh-CN"/>
        </w:rPr>
        <w:t xml:space="preserve"> 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Default="00A613C2" w:rsidP="006C28A0">
      <w:pPr>
        <w:pStyle w:val="Heading1"/>
        <w:numPr>
          <w:ilvl w:val="0"/>
          <w:numId w:val="30"/>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4B3AEE6F" w14:textId="74EDC39E" w:rsidR="009E6E68" w:rsidRPr="009E6E68" w:rsidRDefault="009E6E68" w:rsidP="009E6E68">
      <w:pPr>
        <w:spacing w:line="276" w:lineRule="auto"/>
        <w:rPr>
          <w:bCs/>
        </w:rPr>
      </w:pPr>
      <w:bookmarkStart w:id="2" w:name="_Ref129681832"/>
      <w:r w:rsidRPr="009E6E68">
        <w:t xml:space="preserve">In RAN#108 meeting, a new work item </w:t>
      </w:r>
      <w:r w:rsidRPr="009E6E68">
        <w:fldChar w:fldCharType="begin"/>
      </w:r>
      <w:r w:rsidRPr="009E6E68">
        <w:instrText xml:space="preserve"> REF _Ref204778297 \r \h </w:instrText>
      </w:r>
      <w:r w:rsidRPr="009E6E68">
        <w:fldChar w:fldCharType="separate"/>
      </w:r>
      <w:r w:rsidRPr="009E6E68">
        <w:t>[1]</w:t>
      </w:r>
      <w:r w:rsidRPr="009E6E68">
        <w:fldChar w:fldCharType="end"/>
      </w:r>
      <w:r w:rsidRPr="009E6E68">
        <w:t xml:space="preserve"> on AIML for NR air interface Phase 2 </w:t>
      </w:r>
      <w:r w:rsidR="00DD6103" w:rsidRPr="00DD6103">
        <w:t>was approved</w:t>
      </w:r>
      <w:r w:rsidR="004327E2">
        <w:t xml:space="preserve"> and </w:t>
      </w:r>
      <w:r w:rsidR="00DD6103">
        <w:t xml:space="preserve">the </w:t>
      </w:r>
      <w:r w:rsidR="00DD6103" w:rsidRPr="00DD6103">
        <w:rPr>
          <w:iCs/>
        </w:rPr>
        <w:t xml:space="preserve">normative support for the CSI feedback enhancement </w:t>
      </w:r>
      <w:r w:rsidR="00DD6103">
        <w:t>use-case</w:t>
      </w:r>
      <w:r w:rsidR="004327E2">
        <w:t xml:space="preserve"> was provided.</w:t>
      </w:r>
      <w:r w:rsidR="00DD6103">
        <w:t xml:space="preserve"> </w:t>
      </w:r>
      <w:r w:rsidR="004327E2">
        <w:t>T</w:t>
      </w:r>
      <w:r w:rsidR="00DD6103">
        <w:t xml:space="preserve">he </w:t>
      </w:r>
      <w:r w:rsidR="004327E2">
        <w:t>objective of the WID</w:t>
      </w:r>
      <w:r w:rsidR="002952CC">
        <w:t xml:space="preserve"> is</w:t>
      </w:r>
      <w:r w:rsidR="004327E2">
        <w:t xml:space="preserve"> to provide specification support for the following aspects</w:t>
      </w:r>
      <w:r w:rsidRPr="009E6E68">
        <w:rPr>
          <w:bCs/>
        </w:rPr>
        <w:t>:</w:t>
      </w:r>
    </w:p>
    <w:tbl>
      <w:tblPr>
        <w:tblStyle w:val="TableGrid"/>
        <w:tblW w:w="0" w:type="auto"/>
        <w:tblLook w:val="04A0" w:firstRow="1" w:lastRow="0" w:firstColumn="1" w:lastColumn="0" w:noHBand="0" w:noVBand="1"/>
      </w:tblPr>
      <w:tblGrid>
        <w:gridCol w:w="9180"/>
      </w:tblGrid>
      <w:tr w:rsidR="009E6E68" w:rsidRPr="009E6E68" w14:paraId="2D22F19B" w14:textId="77777777" w:rsidTr="009E6E68">
        <w:tc>
          <w:tcPr>
            <w:tcW w:w="9180" w:type="dxa"/>
            <w:tcBorders>
              <w:top w:val="single" w:sz="4" w:space="0" w:color="000000"/>
              <w:left w:val="single" w:sz="4" w:space="0" w:color="000000"/>
              <w:bottom w:val="single" w:sz="4" w:space="0" w:color="000000"/>
              <w:right w:val="single" w:sz="4" w:space="0" w:color="000000"/>
            </w:tcBorders>
          </w:tcPr>
          <w:p w14:paraId="2ED9E86D" w14:textId="77777777" w:rsidR="009E6E68" w:rsidRPr="009E6E68" w:rsidRDefault="009E6E68" w:rsidP="009E6E68">
            <w:pPr>
              <w:spacing w:line="276" w:lineRule="auto"/>
              <w:rPr>
                <w:bCs/>
              </w:rPr>
            </w:pPr>
            <w:r w:rsidRPr="009E6E68">
              <w:rPr>
                <w:bCs/>
              </w:rPr>
              <w:t xml:space="preserve">AI/ML </w:t>
            </w:r>
            <w:r w:rsidRPr="009E6E68">
              <w:rPr>
                <w:b/>
              </w:rPr>
              <w:t>framework</w:t>
            </w:r>
            <w:r w:rsidRPr="009E6E68">
              <w:rPr>
                <w:bCs/>
              </w:rPr>
              <w:t xml:space="preserve"> for two sided AI/ML models within the realm of what has been studied in the FS_NR_AIML_air_Ph2 and </w:t>
            </w:r>
            <w:proofErr w:type="spellStart"/>
            <w:r w:rsidRPr="009E6E68">
              <w:rPr>
                <w:bCs/>
              </w:rPr>
              <w:t>NR_AIML_air</w:t>
            </w:r>
            <w:proofErr w:type="spellEnd"/>
            <w:r w:rsidRPr="009E6E68">
              <w:rPr>
                <w:bCs/>
              </w:rPr>
              <w:t xml:space="preserve"> projects for CSI feedback enhancement [RAN2]:</w:t>
            </w:r>
          </w:p>
          <w:p w14:paraId="78B657BD" w14:textId="77777777" w:rsidR="009E6E68" w:rsidRPr="009E6E68" w:rsidRDefault="009E6E68" w:rsidP="009E6E68">
            <w:pPr>
              <w:numPr>
                <w:ilvl w:val="0"/>
                <w:numId w:val="31"/>
              </w:numPr>
              <w:spacing w:line="276" w:lineRule="auto"/>
              <w:rPr>
                <w:bCs/>
                <w:lang w:val="en-IN"/>
              </w:rPr>
            </w:pPr>
            <w:r w:rsidRPr="009E6E68">
              <w:rPr>
                <w:bCs/>
                <w:lang w:val="en-IN"/>
              </w:rPr>
              <w:t>Signalling and protocol aspects of Life Cycle Management (LCM) enabling functionality and model selection, activation, deactivation, switching, fallback</w:t>
            </w:r>
          </w:p>
          <w:p w14:paraId="0650EC11" w14:textId="77777777" w:rsidR="009E6E68" w:rsidRPr="009E6E68" w:rsidRDefault="009E6E68" w:rsidP="009E6E68">
            <w:pPr>
              <w:numPr>
                <w:ilvl w:val="1"/>
                <w:numId w:val="31"/>
              </w:numPr>
              <w:spacing w:line="276" w:lineRule="auto"/>
              <w:rPr>
                <w:bCs/>
                <w:lang w:val="en-IN"/>
              </w:rPr>
            </w:pPr>
            <w:r w:rsidRPr="009E6E68">
              <w:rPr>
                <w:bCs/>
                <w:lang w:val="en-IN"/>
              </w:rPr>
              <w:t>ID related signalling is part of the above objective</w:t>
            </w:r>
          </w:p>
          <w:p w14:paraId="7D476AE2" w14:textId="54747847" w:rsidR="009E6E68" w:rsidRPr="009E6E68" w:rsidRDefault="009E6E68" w:rsidP="009E6E68">
            <w:pPr>
              <w:numPr>
                <w:ilvl w:val="0"/>
                <w:numId w:val="31"/>
              </w:numPr>
              <w:spacing w:line="276" w:lineRule="auto"/>
              <w:rPr>
                <w:bCs/>
                <w:lang w:val="en-IN"/>
              </w:rPr>
            </w:pPr>
            <w:r w:rsidRPr="009E6E68">
              <w:rPr>
                <w:bCs/>
                <w:lang w:val="en-IN"/>
              </w:rPr>
              <w:t>Necessary signalling/mechanism(s) for LCM to facilitate model training, inference, performance monitoring,.</w:t>
            </w:r>
          </w:p>
          <w:p w14:paraId="37DC6DF1" w14:textId="77777777" w:rsidR="009E6E68" w:rsidRPr="009E6E68" w:rsidRDefault="009E6E68" w:rsidP="009E6E68">
            <w:pPr>
              <w:spacing w:line="276" w:lineRule="auto"/>
              <w:rPr>
                <w:bCs/>
              </w:rPr>
            </w:pPr>
            <w:r w:rsidRPr="009E6E68">
              <w:rPr>
                <w:b/>
              </w:rPr>
              <w:t>CSI feedback enhancement</w:t>
            </w:r>
            <w:r w:rsidRPr="009E6E68">
              <w:rPr>
                <w:bCs/>
              </w:rPr>
              <w:t>, encompassing (two-sided model) [RAN1, RAN2]:</w:t>
            </w:r>
          </w:p>
          <w:p w14:paraId="1E728A8C" w14:textId="77777777" w:rsidR="009E6E68" w:rsidRPr="009E6E68" w:rsidRDefault="009E6E68" w:rsidP="009E6E68">
            <w:pPr>
              <w:numPr>
                <w:ilvl w:val="0"/>
                <w:numId w:val="32"/>
              </w:numPr>
              <w:spacing w:line="276" w:lineRule="auto"/>
              <w:rPr>
                <w:bCs/>
                <w:lang w:val="en-IN"/>
              </w:rPr>
            </w:pPr>
            <w:r w:rsidRPr="009E6E68">
              <w:rPr>
                <w:bCs/>
                <w:lang w:val="en-IN"/>
              </w:rPr>
              <w:t xml:space="preserve">CSI spatial/frequency compression without temporal aspects (“Case 0”), </w:t>
            </w:r>
          </w:p>
          <w:p w14:paraId="2B39E817" w14:textId="77777777" w:rsidR="009E6E68" w:rsidRPr="009E6E68" w:rsidRDefault="009E6E68" w:rsidP="009E6E68">
            <w:pPr>
              <w:numPr>
                <w:ilvl w:val="0"/>
                <w:numId w:val="32"/>
              </w:numPr>
              <w:spacing w:line="276" w:lineRule="auto"/>
              <w:rPr>
                <w:bCs/>
                <w:lang w:val="en-IN"/>
              </w:rPr>
            </w:pPr>
            <w:r w:rsidRPr="009E6E68">
              <w:rPr>
                <w:bCs/>
                <w:lang w:val="en-IN"/>
              </w:rPr>
              <w:t xml:space="preserve">Specify necessary signalling/mechanism(s) as per the identified potential specification impacts in </w:t>
            </w:r>
            <w:proofErr w:type="spellStart"/>
            <w:r w:rsidRPr="009E6E68">
              <w:rPr>
                <w:bCs/>
                <w:lang w:val="en-IN"/>
              </w:rPr>
              <w:t>FS_NR_AIML_Air</w:t>
            </w:r>
            <w:proofErr w:type="spellEnd"/>
            <w:r w:rsidRPr="009E6E68">
              <w:rPr>
                <w:bCs/>
                <w:lang w:val="en-IN"/>
              </w:rPr>
              <w:t xml:space="preserve"> , including:</w:t>
            </w:r>
          </w:p>
          <w:p w14:paraId="67897BEA" w14:textId="77777777" w:rsidR="009E6E68" w:rsidRPr="009E6E68" w:rsidRDefault="009E6E68" w:rsidP="009E6E68">
            <w:pPr>
              <w:numPr>
                <w:ilvl w:val="1"/>
                <w:numId w:val="31"/>
              </w:numPr>
              <w:spacing w:line="276" w:lineRule="auto"/>
              <w:rPr>
                <w:bCs/>
                <w:lang w:val="en-IN"/>
              </w:rPr>
            </w:pPr>
            <w:r w:rsidRPr="009E6E68">
              <w:rPr>
                <w:bCs/>
                <w:lang w:val="en-IN"/>
              </w:rPr>
              <w:t>Model pairing procedure including ID and applicability reporting</w:t>
            </w:r>
          </w:p>
          <w:p w14:paraId="2063BDBD" w14:textId="77777777" w:rsidR="009E6E68" w:rsidRPr="009E6E68" w:rsidRDefault="009E6E68" w:rsidP="009E6E68">
            <w:pPr>
              <w:numPr>
                <w:ilvl w:val="1"/>
                <w:numId w:val="31"/>
              </w:numPr>
              <w:spacing w:line="276" w:lineRule="auto"/>
              <w:rPr>
                <w:bCs/>
                <w:lang w:val="en-IN"/>
              </w:rPr>
            </w:pPr>
            <w:r w:rsidRPr="009E6E68">
              <w:rPr>
                <w:bCs/>
                <w:lang w:val="en-IN"/>
              </w:rPr>
              <w:t>Inference aspects including target CSI type, measurement and report configuration, CQI RI determination, payload determination, quantization configuration codebook, UCI mapping, CSI processing criteria and timeline, priority rules for CSI reports</w:t>
            </w:r>
          </w:p>
          <w:p w14:paraId="2D72CD8F" w14:textId="77777777" w:rsidR="009E6E68" w:rsidRPr="009E6E68" w:rsidRDefault="009E6E68" w:rsidP="009E6E68">
            <w:pPr>
              <w:numPr>
                <w:ilvl w:val="1"/>
                <w:numId w:val="31"/>
              </w:numPr>
              <w:spacing w:line="276" w:lineRule="auto"/>
              <w:rPr>
                <w:bCs/>
                <w:lang w:val="en-IN"/>
              </w:rPr>
            </w:pPr>
            <w:r w:rsidRPr="009E6E68">
              <w:rPr>
                <w:bCs/>
                <w:lang w:val="en-IN"/>
              </w:rPr>
              <w:t>NW and UE side data collection for training,</w:t>
            </w:r>
          </w:p>
          <w:p w14:paraId="2844AEE2" w14:textId="77777777" w:rsidR="009E6E68" w:rsidRPr="009E6E68" w:rsidRDefault="009E6E68" w:rsidP="009E6E68">
            <w:pPr>
              <w:numPr>
                <w:ilvl w:val="2"/>
                <w:numId w:val="31"/>
              </w:numPr>
              <w:spacing w:line="276" w:lineRule="auto"/>
              <w:rPr>
                <w:bCs/>
                <w:lang w:val="en-IN"/>
              </w:rPr>
            </w:pPr>
            <w:r w:rsidRPr="009E6E68">
              <w:rPr>
                <w:bCs/>
                <w:lang w:val="en-IN"/>
              </w:rPr>
              <w:t>Target CSI format</w:t>
            </w:r>
          </w:p>
          <w:p w14:paraId="6DF5D5F6" w14:textId="77777777" w:rsidR="009E6E68" w:rsidRPr="009E6E68" w:rsidRDefault="009E6E68" w:rsidP="009E6E68">
            <w:pPr>
              <w:numPr>
                <w:ilvl w:val="2"/>
                <w:numId w:val="31"/>
              </w:numPr>
              <w:spacing w:line="276" w:lineRule="auto"/>
              <w:rPr>
                <w:bCs/>
                <w:lang w:val="en-IN"/>
              </w:rPr>
            </w:pPr>
            <w:r w:rsidRPr="009E6E68">
              <w:rPr>
                <w:bCs/>
                <w:lang w:val="en-IN"/>
              </w:rPr>
              <w:t>Note The framework defined in BM and CSI prediction use cases could be reused</w:t>
            </w:r>
          </w:p>
          <w:p w14:paraId="0B1E319C" w14:textId="77777777" w:rsidR="009E6E68" w:rsidRPr="009E6E68" w:rsidRDefault="009E6E68" w:rsidP="009E6E68">
            <w:pPr>
              <w:numPr>
                <w:ilvl w:val="1"/>
                <w:numId w:val="31"/>
              </w:numPr>
              <w:spacing w:line="276" w:lineRule="auto"/>
              <w:rPr>
                <w:bCs/>
                <w:lang w:val="en-IN"/>
              </w:rPr>
            </w:pPr>
            <w:r w:rsidRPr="009E6E68">
              <w:rPr>
                <w:bCs/>
                <w:lang w:val="en-IN"/>
              </w:rPr>
              <w:t xml:space="preserve">Specify performance monitoring </w:t>
            </w:r>
          </w:p>
          <w:p w14:paraId="242EA955" w14:textId="0FDE2219" w:rsidR="009E6E68" w:rsidRPr="009E6E68" w:rsidRDefault="009E6E68" w:rsidP="009E6E68">
            <w:pPr>
              <w:spacing w:line="276" w:lineRule="auto"/>
              <w:rPr>
                <w:bCs/>
                <w:lang w:val="en-IN"/>
              </w:rPr>
            </w:pPr>
          </w:p>
        </w:tc>
      </w:tr>
    </w:tbl>
    <w:p w14:paraId="36A697CC" w14:textId="77777777" w:rsidR="009E6E68" w:rsidRDefault="009E6E68" w:rsidP="006C28A0">
      <w:pPr>
        <w:spacing w:line="276" w:lineRule="auto"/>
        <w:rPr>
          <w:lang w:val="en-IN" w:eastAsia="zh-CN"/>
        </w:rPr>
      </w:pPr>
    </w:p>
    <w:p w14:paraId="52BCC4EE" w14:textId="7534E44A" w:rsidR="009E6E68" w:rsidRPr="009E6E68" w:rsidRDefault="009E6E68" w:rsidP="009E6E68">
      <w:pPr>
        <w:spacing w:line="276" w:lineRule="auto"/>
        <w:rPr>
          <w:lang w:eastAsia="zh-CN"/>
        </w:rPr>
      </w:pPr>
      <w:r w:rsidRPr="009E6E68">
        <w:rPr>
          <w:lang w:eastAsia="zh-CN"/>
        </w:rPr>
        <w:t>For pairing related discussions, in Rel-19 the following agreements have been made in RAN1 #120b meeting</w:t>
      </w:r>
      <w:r w:rsidR="002C4F58">
        <w:rPr>
          <w:lang w:eastAsia="zh-CN"/>
        </w:rPr>
        <w:t xml:space="preserve"> [2]</w:t>
      </w:r>
      <w:r w:rsidRPr="009E6E68">
        <w:rPr>
          <w:lang w:eastAsia="zh-CN"/>
        </w:rPr>
        <w:t xml:space="preserve">: </w:t>
      </w:r>
    </w:p>
    <w:tbl>
      <w:tblPr>
        <w:tblStyle w:val="TableGrid"/>
        <w:tblW w:w="0" w:type="auto"/>
        <w:tblLook w:val="04A0" w:firstRow="1" w:lastRow="0" w:firstColumn="1" w:lastColumn="0" w:noHBand="0" w:noVBand="1"/>
      </w:tblPr>
      <w:tblGrid>
        <w:gridCol w:w="9180"/>
      </w:tblGrid>
      <w:tr w:rsidR="009E6E68" w:rsidRPr="009E6E68" w14:paraId="06AC854A" w14:textId="77777777" w:rsidTr="009E6E68">
        <w:tc>
          <w:tcPr>
            <w:tcW w:w="9180" w:type="dxa"/>
            <w:tcBorders>
              <w:top w:val="single" w:sz="4" w:space="0" w:color="000000"/>
              <w:left w:val="single" w:sz="4" w:space="0" w:color="000000"/>
              <w:bottom w:val="single" w:sz="4" w:space="0" w:color="000000"/>
              <w:right w:val="single" w:sz="4" w:space="0" w:color="000000"/>
            </w:tcBorders>
            <w:hideMark/>
          </w:tcPr>
          <w:p w14:paraId="2EDBAF76" w14:textId="77777777" w:rsidR="009E6E68" w:rsidRPr="009E6E68" w:rsidRDefault="009E6E68" w:rsidP="009E6E68">
            <w:pPr>
              <w:spacing w:line="276" w:lineRule="auto"/>
              <w:rPr>
                <w:lang w:eastAsia="zh-CN"/>
              </w:rPr>
            </w:pPr>
            <w:r w:rsidRPr="009E6E68">
              <w:rPr>
                <w:highlight w:val="green"/>
                <w:lang w:eastAsia="zh-CN"/>
              </w:rPr>
              <w:t>Agreement</w:t>
            </w:r>
          </w:p>
          <w:p w14:paraId="3CE70E5F" w14:textId="77777777" w:rsidR="009E6E68" w:rsidRPr="009E6E68" w:rsidRDefault="009E6E68" w:rsidP="009E6E68">
            <w:pPr>
              <w:spacing w:line="276" w:lineRule="auto"/>
              <w:rPr>
                <w:lang w:eastAsia="zh-CN"/>
              </w:rPr>
            </w:pPr>
            <w:r w:rsidRPr="009E6E68">
              <w:rPr>
                <w:lang w:eastAsia="zh-CN"/>
              </w:rPr>
              <w:t>In Options 3a-1 and 4-1, the exchanged dataset or the model parameters can be associated with an ID for pairing related discussion, then</w:t>
            </w:r>
          </w:p>
          <w:p w14:paraId="071F1773"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 xml:space="preserve">The same ID can be used for UE to collect UE-side target CSI for UE-side training </w:t>
            </w:r>
          </w:p>
          <w:p w14:paraId="4ED34E73"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The same ID can be used for applicability inquiry and reporting</w:t>
            </w:r>
          </w:p>
          <w:p w14:paraId="1B756A0C"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The same ID can be used for inference configuration</w:t>
            </w:r>
          </w:p>
          <w:p w14:paraId="027200CA"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lastRenderedPageBreak/>
              <w:t>The same ID can be used for NW-side data collection</w:t>
            </w:r>
          </w:p>
          <w:p w14:paraId="6A950239"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FFS: whether ID/even same ID is needed for monitoring configuration</w:t>
            </w:r>
          </w:p>
          <w:p w14:paraId="7183316D"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FFS: where the ID is assigned</w:t>
            </w:r>
          </w:p>
          <w:p w14:paraId="510C28F2"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Note: whether the purpose for pair will be specified will be discussed separately.</w:t>
            </w:r>
          </w:p>
          <w:p w14:paraId="5A8B999D" w14:textId="77777777" w:rsidR="009E6E68" w:rsidRPr="009E6E68" w:rsidRDefault="009E6E68" w:rsidP="009E6E68">
            <w:pPr>
              <w:spacing w:line="276" w:lineRule="auto"/>
              <w:rPr>
                <w:iCs/>
                <w:lang w:eastAsia="zh-CN"/>
              </w:rPr>
            </w:pPr>
            <w:r w:rsidRPr="009E6E68">
              <w:rPr>
                <w:iCs/>
                <w:highlight w:val="green"/>
                <w:lang w:eastAsia="zh-CN"/>
              </w:rPr>
              <w:t>Agreement</w:t>
            </w:r>
          </w:p>
          <w:p w14:paraId="389103BD" w14:textId="77777777" w:rsidR="009E6E68" w:rsidRPr="009E6E68" w:rsidRDefault="009E6E68" w:rsidP="009E6E68">
            <w:pPr>
              <w:spacing w:line="276" w:lineRule="auto"/>
              <w:rPr>
                <w:lang w:eastAsia="zh-CN"/>
              </w:rPr>
            </w:pPr>
            <w:r w:rsidRPr="009E6E68">
              <w:rPr>
                <w:lang w:eastAsia="zh-CN"/>
              </w:rPr>
              <w:t>In Direction C, the fully standardized reference model is associated with an ID for pairing related discussion, then</w:t>
            </w:r>
          </w:p>
          <w:p w14:paraId="2E492C1F"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 xml:space="preserve">The same ID can be used for UE to collect UE-side target CSI for UE-side training </w:t>
            </w:r>
          </w:p>
          <w:p w14:paraId="482E7F85"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The same ID can be used for applicability inquiry and reporting</w:t>
            </w:r>
          </w:p>
          <w:p w14:paraId="3ADEFE7D"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The same ID can be used for inference configuration</w:t>
            </w:r>
          </w:p>
          <w:p w14:paraId="17D5CDD7"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The same ID can be used for NW-side data collection</w:t>
            </w:r>
          </w:p>
          <w:p w14:paraId="00466F13"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FFS: whether ID/even same ID is needed for monitoring configuration</w:t>
            </w:r>
          </w:p>
          <w:p w14:paraId="291FE7B2"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FFS: where the ID is assigned or how the ID is specified</w:t>
            </w:r>
          </w:p>
          <w:p w14:paraId="48086F8E" w14:textId="77777777" w:rsidR="009E6E68" w:rsidRPr="009E6E68" w:rsidRDefault="009E6E68" w:rsidP="009E6E68">
            <w:pPr>
              <w:numPr>
                <w:ilvl w:val="0"/>
                <w:numId w:val="36"/>
              </w:numPr>
              <w:tabs>
                <w:tab w:val="clear" w:pos="0"/>
              </w:tabs>
              <w:spacing w:line="276" w:lineRule="auto"/>
              <w:rPr>
                <w:lang w:val="en-IN" w:eastAsia="zh-CN"/>
              </w:rPr>
            </w:pPr>
            <w:r w:rsidRPr="009E6E68">
              <w:rPr>
                <w:lang w:val="en-IN" w:eastAsia="zh-CN"/>
              </w:rPr>
              <w:t>Note: whether the purpose for pair will be specified will be discussed separately.</w:t>
            </w:r>
          </w:p>
        </w:tc>
      </w:tr>
    </w:tbl>
    <w:p w14:paraId="34E0BE7A" w14:textId="77777777" w:rsidR="009E6E68" w:rsidRDefault="009E6E68" w:rsidP="006C28A0">
      <w:pPr>
        <w:spacing w:line="276" w:lineRule="auto"/>
        <w:rPr>
          <w:lang w:val="en-IN" w:eastAsia="zh-CN"/>
        </w:rPr>
      </w:pPr>
    </w:p>
    <w:p w14:paraId="6DFD8DFC" w14:textId="69F4E758" w:rsidR="00DD6103" w:rsidRPr="00DD6103" w:rsidRDefault="00DD6103" w:rsidP="006C28A0">
      <w:pPr>
        <w:spacing w:line="276" w:lineRule="auto"/>
        <w:rPr>
          <w:lang w:val="en-IN" w:eastAsia="zh-CN"/>
        </w:rPr>
      </w:pPr>
      <w:r w:rsidRPr="00DD6103">
        <w:rPr>
          <w:lang w:eastAsia="zh-CN"/>
        </w:rPr>
        <w:t xml:space="preserve">Per current agreements, the </w:t>
      </w:r>
      <w:r>
        <w:rPr>
          <w:lang w:eastAsia="zh-CN"/>
        </w:rPr>
        <w:t>associated</w:t>
      </w:r>
      <w:r w:rsidRPr="00DD6103">
        <w:rPr>
          <w:lang w:eastAsia="zh-CN"/>
        </w:rPr>
        <w:t xml:space="preserve"> ID may be used for: (</w:t>
      </w:r>
      <w:proofErr w:type="spellStart"/>
      <w:r w:rsidRPr="00DD6103">
        <w:rPr>
          <w:lang w:eastAsia="zh-CN"/>
        </w:rPr>
        <w:t>i</w:t>
      </w:r>
      <w:proofErr w:type="spellEnd"/>
      <w:r w:rsidRPr="00DD6103">
        <w:rPr>
          <w:lang w:eastAsia="zh-CN"/>
        </w:rPr>
        <w:t>) training data collection, (ii) inter-vendor training collaboration, (iii) applicable-functionality queries and reporting, and (iv) inference reporting. Use of the pairing ID for performance monitoring remains FFS</w:t>
      </w:r>
      <w:r>
        <w:rPr>
          <w:lang w:eastAsia="zh-CN"/>
        </w:rPr>
        <w:t>.</w:t>
      </w:r>
    </w:p>
    <w:p w14:paraId="63B4EDAA" w14:textId="45C2AF4C" w:rsidR="006C28A0" w:rsidRDefault="006C28A0" w:rsidP="00E456FA">
      <w:pPr>
        <w:spacing w:line="276" w:lineRule="auto"/>
        <w:rPr>
          <w:lang w:val="en-IN" w:eastAsia="zh-CN"/>
        </w:rPr>
      </w:pPr>
      <w:r w:rsidRPr="006C28A0">
        <w:rPr>
          <w:lang w:val="en-IN" w:eastAsia="zh-CN"/>
        </w:rPr>
        <w:t>In this contribution we discuss the following</w:t>
      </w:r>
      <w:r>
        <w:rPr>
          <w:lang w:val="en-IN" w:eastAsia="zh-CN"/>
        </w:rPr>
        <w:t>:</w:t>
      </w:r>
    </w:p>
    <w:p w14:paraId="7015B40A" w14:textId="7B6846B6" w:rsidR="004327E2" w:rsidRPr="004327E2" w:rsidRDefault="004327E2" w:rsidP="004327E2">
      <w:pPr>
        <w:pStyle w:val="ListParagraph"/>
        <w:numPr>
          <w:ilvl w:val="0"/>
          <w:numId w:val="38"/>
        </w:numPr>
        <w:spacing w:line="276" w:lineRule="auto"/>
        <w:rPr>
          <w:rFonts w:ascii="Times New Roman" w:hAnsi="Times New Roman"/>
          <w:lang w:val="en-IN" w:eastAsia="zh-CN"/>
        </w:rPr>
      </w:pPr>
      <w:r w:rsidRPr="004327E2">
        <w:rPr>
          <w:rFonts w:ascii="Times New Roman" w:hAnsi="Times New Roman"/>
          <w:lang w:val="en-IN" w:eastAsia="zh-CN"/>
        </w:rPr>
        <w:t>The dataset/model parameter exchange for Direction A and the associated paring ID</w:t>
      </w:r>
      <w:r>
        <w:rPr>
          <w:rFonts w:ascii="Times New Roman" w:hAnsi="Times New Roman"/>
          <w:lang w:val="en-IN" w:eastAsia="zh-CN"/>
        </w:rPr>
        <w:t xml:space="preserve"> for case ‘0’</w:t>
      </w:r>
      <w:r w:rsidRPr="004327E2">
        <w:rPr>
          <w:rFonts w:ascii="Times New Roman" w:hAnsi="Times New Roman"/>
          <w:lang w:val="en-IN" w:eastAsia="zh-CN"/>
        </w:rPr>
        <w:t>.</w:t>
      </w:r>
    </w:p>
    <w:p w14:paraId="1E67792F" w14:textId="474BC196" w:rsidR="004327E2" w:rsidRPr="004327E2" w:rsidRDefault="004327E2" w:rsidP="004327E2">
      <w:pPr>
        <w:pStyle w:val="ListParagraph"/>
        <w:numPr>
          <w:ilvl w:val="0"/>
          <w:numId w:val="38"/>
        </w:numPr>
        <w:spacing w:line="276" w:lineRule="auto"/>
        <w:rPr>
          <w:lang w:val="en-IN" w:eastAsia="zh-CN"/>
        </w:rPr>
      </w:pPr>
      <w:r w:rsidRPr="004327E2">
        <w:rPr>
          <w:rFonts w:ascii="Times New Roman" w:hAnsi="Times New Roman"/>
          <w:lang w:val="en-IN" w:eastAsia="zh-CN"/>
        </w:rPr>
        <w:t>The performance target metric that can be associated with the exchanged dataset/parameters</w:t>
      </w:r>
      <w:r w:rsidRPr="004327E2">
        <w:rPr>
          <w:lang w:val="en-IN" w:eastAsia="zh-CN"/>
        </w:rPr>
        <w:t>.</w:t>
      </w:r>
    </w:p>
    <w:p w14:paraId="0B19D5D0" w14:textId="68F12D31" w:rsidR="00BA5E2F" w:rsidRDefault="00BA5E2F" w:rsidP="00DF175D">
      <w:pPr>
        <w:pStyle w:val="Heading1"/>
        <w:numPr>
          <w:ilvl w:val="0"/>
          <w:numId w:val="30"/>
        </w:numPr>
        <w:rPr>
          <w:rFonts w:ascii="Times New Roman" w:eastAsia="Times New Roman" w:hAnsi="Times New Roman"/>
          <w:color w:val="000000"/>
        </w:rPr>
      </w:pPr>
      <w:bookmarkStart w:id="3" w:name="_Hlk206199692"/>
      <w:r>
        <w:rPr>
          <w:rFonts w:ascii="Times New Roman" w:eastAsia="Times New Roman" w:hAnsi="Times New Roman"/>
          <w:color w:val="000000"/>
        </w:rPr>
        <w:t>Dataset</w:t>
      </w:r>
      <w:r w:rsidR="004327E2">
        <w:rPr>
          <w:rFonts w:ascii="Times New Roman" w:eastAsia="Times New Roman" w:hAnsi="Times New Roman"/>
          <w:color w:val="000000"/>
        </w:rPr>
        <w:t>/Parameter</w:t>
      </w:r>
      <w:r>
        <w:rPr>
          <w:rFonts w:ascii="Times New Roman" w:eastAsia="Times New Roman" w:hAnsi="Times New Roman"/>
          <w:color w:val="000000"/>
        </w:rPr>
        <w:t xml:space="preserve"> exchange and associated model ID</w:t>
      </w:r>
      <w:r w:rsidR="006C28A0">
        <w:rPr>
          <w:rFonts w:ascii="Times New Roman" w:eastAsia="Times New Roman" w:hAnsi="Times New Roman"/>
          <w:color w:val="000000"/>
        </w:rPr>
        <w:t xml:space="preserve"> </w:t>
      </w:r>
    </w:p>
    <w:bookmarkEnd w:id="3"/>
    <w:p w14:paraId="2C01C6E6" w14:textId="586F29C0" w:rsidR="00BA5E2F" w:rsidRDefault="00BA5E2F" w:rsidP="00BA5E2F"/>
    <w:p w14:paraId="1F03831A" w14:textId="7F53A8BC" w:rsidR="00F02642" w:rsidRDefault="00733185" w:rsidP="00A95604">
      <w:r w:rsidRPr="00733185">
        <w:t xml:space="preserve">At RAN1#119, an LS on the </w:t>
      </w:r>
      <w:proofErr w:type="spellStart"/>
      <w:r w:rsidRPr="00733185">
        <w:t>signalling</w:t>
      </w:r>
      <w:proofErr w:type="spellEnd"/>
      <w:r w:rsidRPr="00733185">
        <w:t xml:space="preserve"> feasibility of dataset/parameter sharing was sent to RAN2, with SA2, SA3 and SA5 copied. Subsequently, RAN1 received RAN2’s reply LS, which was also copied to RAN3 to </w:t>
      </w:r>
      <w:r>
        <w:t>check for the</w:t>
      </w:r>
      <w:r w:rsidRPr="00733185">
        <w:t xml:space="preserve"> feasibility of the proposed approach [</w:t>
      </w:r>
      <w:r w:rsidR="00DC35B5">
        <w:t>3</w:t>
      </w:r>
      <w:r w:rsidRPr="00733185">
        <w:t xml:space="preserve">]. In its response, RAN2 outlined two options for delivering network-side datasets/parameters to the UE: a non-OTA </w:t>
      </w:r>
      <w:r w:rsidR="00B02425">
        <w:t>approach</w:t>
      </w:r>
      <w:r w:rsidR="00B02425" w:rsidRPr="00733185">
        <w:t xml:space="preserve"> </w:t>
      </w:r>
      <w:r w:rsidRPr="00733185">
        <w:t xml:space="preserve">and an OTA </w:t>
      </w:r>
      <w:r w:rsidR="00B02425">
        <w:t>approach</w:t>
      </w:r>
      <w:r w:rsidR="00795238">
        <w:t xml:space="preserve">. </w:t>
      </w:r>
      <w:r w:rsidR="00F02642">
        <w:t xml:space="preserve">           </w:t>
      </w:r>
    </w:p>
    <w:p w14:paraId="18193D89" w14:textId="3F7A2756" w:rsidR="00733185" w:rsidRDefault="00F02642" w:rsidP="00A95604">
      <w:r>
        <w:t xml:space="preserve">Regardless of the approach, an associated model ID is required to </w:t>
      </w:r>
      <w:r w:rsidR="00511C02" w:rsidRPr="00511C02">
        <w:rPr>
          <w:lang w:val="en-IN"/>
        </w:rPr>
        <w:t>guarantee uniqueness across different NW vendors</w:t>
      </w:r>
      <w:r w:rsidR="00511C02">
        <w:rPr>
          <w:lang w:val="en-IN"/>
        </w:rPr>
        <w:t xml:space="preserve">. Since the NW-side is assumed to initiate the dataset transfer, the mobile network operator could assign a unique ID to this data that is to be transferred. </w:t>
      </w:r>
      <w:r w:rsidR="00D66821">
        <w:t>The associated ID can be configured along with the data</w:t>
      </w:r>
      <w:r w:rsidR="004327E2">
        <w:t>-</w:t>
      </w:r>
      <w:r w:rsidR="00D66821">
        <w:t xml:space="preserve">collection RS configuration. </w:t>
      </w:r>
      <w:r w:rsidR="00733185" w:rsidRPr="00733185">
        <w:t xml:space="preserve">Using the associated ID to classify </w:t>
      </w:r>
      <w:r w:rsidR="00733185">
        <w:t>NW</w:t>
      </w:r>
      <w:r w:rsidR="00733185" w:rsidRPr="00733185">
        <w:t>-side data enables targeted monitoring and fine-tuning in case of performance issues. Because the same concept will appear in other use cases (e.g., beamforming and CSI prediction), a unified framework is desirable</w:t>
      </w:r>
      <w:r w:rsidR="00733185">
        <w:t>.</w:t>
      </w:r>
      <w:r w:rsidR="005B3995">
        <w:t xml:space="preserve"> </w:t>
      </w:r>
      <w:r w:rsidR="005B3995" w:rsidRPr="005B3995">
        <w:t xml:space="preserve">This gives one consistent key for configuration, monitoring, and deterministic fallback/switching. When the dataset </w:t>
      </w:r>
      <w:r w:rsidR="004327E2">
        <w:t xml:space="preserve">distribution </w:t>
      </w:r>
      <w:r w:rsidR="005B3995" w:rsidRPr="005B3995">
        <w:t xml:space="preserve">or </w:t>
      </w:r>
      <w:r w:rsidR="005B3995">
        <w:t xml:space="preserve">performance </w:t>
      </w:r>
      <w:r w:rsidR="005B3995" w:rsidRPr="005B3995">
        <w:t xml:space="preserve">changes, the network </w:t>
      </w:r>
      <w:r w:rsidR="005B3995">
        <w:t xml:space="preserve">can </w:t>
      </w:r>
      <w:r w:rsidR="005B3995" w:rsidRPr="005B3995">
        <w:t>issue and signals a new ID (or version)</w:t>
      </w:r>
      <w:r w:rsidR="005B3995">
        <w:t xml:space="preserve"> with the corresponding new dataset/parameters</w:t>
      </w:r>
      <w:r w:rsidR="005B3995" w:rsidRPr="005B3995">
        <w:t>.</w:t>
      </w:r>
    </w:p>
    <w:p w14:paraId="65D238D4" w14:textId="6897B90F" w:rsidR="00A95604" w:rsidRDefault="00A95604" w:rsidP="00A95604">
      <w:r w:rsidRPr="00A95604">
        <w:t xml:space="preserve">The </w:t>
      </w:r>
      <w:r w:rsidR="004327E2">
        <w:t>mobile networ</w:t>
      </w:r>
      <w:r w:rsidR="007B7AEA">
        <w:t>k</w:t>
      </w:r>
      <w:r>
        <w:t xml:space="preserve"> operator </w:t>
      </w:r>
      <w:r w:rsidRPr="00A95604">
        <w:t>assigned ID may include limited, non-</w:t>
      </w:r>
      <w:r>
        <w:t>proprietary</w:t>
      </w:r>
      <w:r w:rsidRPr="00A95604">
        <w:t xml:space="preserve"> data (e.g., dataset/parameter version</w:t>
      </w:r>
      <w:r>
        <w:t xml:space="preserve">, number </w:t>
      </w:r>
      <w:r w:rsidR="00DD6103">
        <w:t>of Tx</w:t>
      </w:r>
      <w:r>
        <w:t xml:space="preserve"> ports, subcarriers, model backbone type, </w:t>
      </w:r>
      <w:proofErr w:type="spellStart"/>
      <w:r>
        <w:t>etc</w:t>
      </w:r>
      <w:proofErr w:type="spellEnd"/>
      <w:r w:rsidRPr="00A95604">
        <w:t>)</w:t>
      </w:r>
      <w:r>
        <w:t xml:space="preserve">. </w:t>
      </w:r>
      <w:r w:rsidRPr="00A95604">
        <w:t xml:space="preserve">Because the NW controls </w:t>
      </w:r>
      <w:r>
        <w:t>what is to be inferred from the ID</w:t>
      </w:r>
      <w:r w:rsidRPr="00A95604">
        <w:t>, proprietary details are not exposed to the UE.</w:t>
      </w:r>
    </w:p>
    <w:p w14:paraId="371D4A62" w14:textId="3D27C996" w:rsidR="00846265" w:rsidRDefault="00733185" w:rsidP="00A95604">
      <w:r w:rsidRPr="00733185">
        <w:t>CSI compression can reuse design elements from beam prediction and CSI prediction where applicable. The same ID can</w:t>
      </w:r>
      <w:r>
        <w:t xml:space="preserve"> be used</w:t>
      </w:r>
      <w:r w:rsidRPr="00733185">
        <w:t xml:space="preserve"> for monitoring, inference, UE-side data collection, and network-side data collection</w:t>
      </w:r>
      <w:r w:rsidR="007B7AEA">
        <w:t>, depending of which feature is supported by the UE.</w:t>
      </w:r>
    </w:p>
    <w:p w14:paraId="3A494814" w14:textId="7A808BB2" w:rsidR="00B02425" w:rsidRPr="0048585D" w:rsidRDefault="005B3995" w:rsidP="00A95604">
      <w:r w:rsidRPr="0048585D">
        <w:rPr>
          <w:b/>
          <w:bCs/>
          <w:u w:val="single"/>
        </w:rPr>
        <w:lastRenderedPageBreak/>
        <w:t>Proposal 1</w:t>
      </w:r>
      <w:r w:rsidR="00B02425" w:rsidRPr="0048585D">
        <w:t>:</w:t>
      </w:r>
      <w:r w:rsidRPr="0048585D">
        <w:t xml:space="preserve"> </w:t>
      </w:r>
      <w:r w:rsidR="0061049A">
        <w:rPr>
          <w:b/>
          <w:bCs/>
        </w:rPr>
        <w:t>Mobile network operator</w:t>
      </w:r>
      <w:r w:rsidRPr="0048585D">
        <w:rPr>
          <w:b/>
          <w:bCs/>
        </w:rPr>
        <w:t xml:space="preserve"> can assign a unique associated-model ID or dataset ID for each dataset/parameter bundle and signal that ID together with the data-collection RS. The same ID can be used end-to-end, whether the data is delivered OTA or non-OTA, and reuse it for UE/NW data collection, inference reporting, and related use cases (e.g., </w:t>
      </w:r>
      <w:r w:rsidR="00F95C1B" w:rsidRPr="0048585D">
        <w:rPr>
          <w:b/>
          <w:bCs/>
        </w:rPr>
        <w:t>B</w:t>
      </w:r>
      <w:r w:rsidRPr="0048585D">
        <w:rPr>
          <w:b/>
          <w:bCs/>
        </w:rPr>
        <w:t>eamforming</w:t>
      </w:r>
      <w:r w:rsidR="00F95C1B" w:rsidRPr="0048585D">
        <w:rPr>
          <w:b/>
          <w:bCs/>
        </w:rPr>
        <w:t xml:space="preserve"> and</w:t>
      </w:r>
      <w:r w:rsidRPr="0048585D">
        <w:rPr>
          <w:b/>
          <w:bCs/>
        </w:rPr>
        <w:t xml:space="preserve"> CSI prediction).</w:t>
      </w:r>
      <w:r w:rsidRPr="0048585D">
        <w:t xml:space="preserve"> </w:t>
      </w:r>
    </w:p>
    <w:p w14:paraId="351764DA" w14:textId="77777777" w:rsidR="00BA5E2F" w:rsidRDefault="00BA5E2F" w:rsidP="00DF175D">
      <w:pPr>
        <w:rPr>
          <w:b/>
          <w:bCs/>
        </w:rPr>
      </w:pPr>
    </w:p>
    <w:p w14:paraId="7DC8F630" w14:textId="1E444F63" w:rsidR="00DF175D" w:rsidRDefault="00A3378D" w:rsidP="00DF175D">
      <w:pPr>
        <w:pStyle w:val="Heading1"/>
        <w:numPr>
          <w:ilvl w:val="0"/>
          <w:numId w:val="30"/>
        </w:numPr>
      </w:pPr>
      <w:bookmarkStart w:id="4" w:name="_Hlk206199722"/>
      <w:r>
        <w:t xml:space="preserve">Performance monitoring </w:t>
      </w:r>
      <w:r w:rsidR="00714575">
        <w:t>target</w:t>
      </w:r>
      <w:r w:rsidR="004327E2">
        <w:t xml:space="preserve"> metric</w:t>
      </w:r>
    </w:p>
    <w:bookmarkEnd w:id="4"/>
    <w:p w14:paraId="2E3014FF" w14:textId="77777777" w:rsidR="00A3378D" w:rsidRDefault="00A3378D" w:rsidP="00A3378D"/>
    <w:p w14:paraId="5EDDF9F7" w14:textId="7AAE9F69" w:rsidR="001B6EB7" w:rsidRDefault="001B6EB7" w:rsidP="00720E83">
      <w:r w:rsidRPr="001B6EB7">
        <w:t>The network (NW) periodically determines a performance target and transmits it to the UE alongside the relevant parameters or training dataset. This target</w:t>
      </w:r>
      <w:r>
        <w:t>,</w:t>
      </w:r>
      <w:r w:rsidRPr="001B6EB7">
        <w:t xml:space="preserve"> such as an SGCS or NMSE value</w:t>
      </w:r>
      <w:r>
        <w:t>,</w:t>
      </w:r>
      <w:r w:rsidRPr="001B6EB7">
        <w:t xml:space="preserve"> obtained by evaluating the dataset used to train the nominal encoder together with the live decoder currently operating in the network. Because this calculation relies on channel samples captured directly from the operational environment, the resulting benchmark naturally incorporates the effects of the prevailing radio conditions as well as the actual implementation behavior of the deployed decoder.</w:t>
      </w:r>
    </w:p>
    <w:p w14:paraId="0383574D" w14:textId="788FAB77" w:rsidR="00720E83" w:rsidRPr="00720E83" w:rsidRDefault="001B6EB7" w:rsidP="00720E83">
      <w:r w:rsidRPr="001B6EB7">
        <w:t>The benchmark is intended to evolve with the environment.</w:t>
      </w:r>
      <w:r>
        <w:t xml:space="preserve"> This </w:t>
      </w:r>
      <w:r w:rsidR="00720E83" w:rsidRPr="00720E83">
        <w:t xml:space="preserve">helps the system against drifts in channel statistics and NW model calibration. </w:t>
      </w:r>
      <w:r>
        <w:t xml:space="preserve">An up-to-date </w:t>
      </w:r>
      <w:r w:rsidRPr="001B6EB7">
        <w:t xml:space="preserve">threshold avoids the two classic failure modes: rejecting good AI-compressed CSI when conditions are normal or letting in degraded CSI that would pull down link quality. </w:t>
      </w:r>
      <w:r>
        <w:t>The</w:t>
      </w:r>
      <w:r w:rsidRPr="001B6EB7">
        <w:t xml:space="preserve"> target acts as a self-calibrating reference for the channel state.</w:t>
      </w:r>
    </w:p>
    <w:p w14:paraId="7BB3A115" w14:textId="55043A36" w:rsidR="001B6EB7" w:rsidRDefault="001B6EB7" w:rsidP="00720E83">
      <w:r w:rsidRPr="001B6EB7">
        <w:t xml:space="preserve">For the UE, receiving this </w:t>
      </w:r>
      <w:bookmarkStart w:id="5" w:name="_Hlk206204123"/>
      <w:r w:rsidRPr="001B6EB7">
        <w:t xml:space="preserve">up-to-date </w:t>
      </w:r>
      <w:bookmarkEnd w:id="5"/>
      <w:r w:rsidRPr="001B6EB7">
        <w:t xml:space="preserve">target is highly beneficial during local training or fine-tuning. The device can halt its encoder optimization as soon as the benchmark is met, avoiding unnecessary computation. This not only shortens convergence time but also reduces energy consumption and helps prevent overfitting. The training process becomes focused on achieving a meaningful, network-validated objective rather than chasing metrics. </w:t>
      </w:r>
    </w:p>
    <w:p w14:paraId="2C775AEB" w14:textId="3A6D65B2" w:rsidR="00720E83" w:rsidRPr="00720E83" w:rsidRDefault="001B6EB7" w:rsidP="00720E83">
      <w:r w:rsidRPr="001B6EB7">
        <w:t xml:space="preserve">Because the benchmark reflects the actual decoding chain in use, the NW can also set </w:t>
      </w:r>
      <w:r>
        <w:t>threshold</w:t>
      </w:r>
      <w:r w:rsidRPr="001B6EB7">
        <w:t xml:space="preserve"> rules. One example is a fallback: if the UE’s reported SGCS remains below the benchmark by more than a defined margin, the NW may instruct a </w:t>
      </w:r>
      <w:r>
        <w:t>fallback</w:t>
      </w:r>
      <w:r w:rsidRPr="001B6EB7">
        <w:t xml:space="preserve"> to standard eType-2 codebook feedback. </w:t>
      </w:r>
      <w:r w:rsidR="00720E83" w:rsidRPr="00720E83">
        <w:t>This will help with more accurate transitions between AI-based and conventional feedback modes when the AI model deteriorates or the channel changes abruptly.</w:t>
      </w:r>
    </w:p>
    <w:p w14:paraId="79E7BC50" w14:textId="727D5A88" w:rsidR="00720E83" w:rsidRDefault="00720E83" w:rsidP="00720E83">
      <w:r w:rsidRPr="00720E83">
        <w:t xml:space="preserve">The periodicity with which </w:t>
      </w:r>
      <w:r w:rsidR="001B6EB7">
        <w:t>the NW-side</w:t>
      </w:r>
      <w:r w:rsidRPr="00720E83">
        <w:t xml:space="preserve"> recalculates and transmits the benchmark, along with the parameters/datasets, remains open for discussion. In low-mobility cells, where large-scale fading evolves slower, a refresh period aligned with scheduled decoder retraining, appears adequate. High-mobility scenarios may require much shorter intervals, to keep the threshold </w:t>
      </w:r>
      <w:r w:rsidR="00F1702C" w:rsidRPr="00F1702C">
        <w:t>up-to-date</w:t>
      </w:r>
      <w:r w:rsidRPr="00720E83">
        <w:t>. Further study is needed to establish an optimal balance between responsiveness, signaling overhead and computational cost.</w:t>
      </w:r>
    </w:p>
    <w:p w14:paraId="4A304C30" w14:textId="77777777" w:rsidR="00720E83" w:rsidRPr="00720E83" w:rsidRDefault="00720E83" w:rsidP="00720E83"/>
    <w:p w14:paraId="39E7A27B" w14:textId="42EEB605" w:rsidR="00720E83" w:rsidRPr="00720E83" w:rsidRDefault="00720E83" w:rsidP="00720E83">
      <w:pPr>
        <w:rPr>
          <w:b/>
          <w:bCs/>
          <w:i/>
          <w:iCs/>
        </w:rPr>
      </w:pPr>
      <w:r w:rsidRPr="00720E83">
        <w:rPr>
          <w:b/>
          <w:bCs/>
          <w:i/>
          <w:iCs/>
          <w:u w:val="single"/>
        </w:rPr>
        <w:t>Observation 1</w:t>
      </w:r>
      <w:r w:rsidRPr="00720E83">
        <w:rPr>
          <w:b/>
          <w:bCs/>
          <w:i/>
          <w:iCs/>
        </w:rPr>
        <w:t xml:space="preserve">: </w:t>
      </w:r>
      <w:r w:rsidR="00303C59" w:rsidRPr="00303C59">
        <w:rPr>
          <w:b/>
          <w:bCs/>
          <w:i/>
          <w:iCs/>
        </w:rPr>
        <w:t xml:space="preserve">When the performance target is computed with the same dataset that trains the nominal encoder and with the </w:t>
      </w:r>
      <w:r w:rsidR="00303C59">
        <w:rPr>
          <w:b/>
          <w:bCs/>
          <w:i/>
          <w:iCs/>
        </w:rPr>
        <w:t>current</w:t>
      </w:r>
      <w:r w:rsidR="00303C59" w:rsidRPr="00303C59">
        <w:rPr>
          <w:b/>
          <w:bCs/>
          <w:i/>
          <w:iCs/>
        </w:rPr>
        <w:t xml:space="preserve"> decoder, it captures the prevailing channel statistics and the decoder’s implementation losses. Calibrating the UE to this current figure lets it optimize for the conditions it will face when transmitting CSI codewords, while the NW can apply the value as a dependable threshold for present-time CSI reports.</w:t>
      </w:r>
    </w:p>
    <w:p w14:paraId="32D1EC46" w14:textId="26B41DCE" w:rsidR="00970C42" w:rsidRPr="00720E83" w:rsidRDefault="00720E83" w:rsidP="00970C42">
      <w:pPr>
        <w:rPr>
          <w:b/>
          <w:bCs/>
          <w:i/>
          <w:iCs/>
        </w:rPr>
      </w:pPr>
      <w:r w:rsidRPr="00720E83">
        <w:rPr>
          <w:b/>
          <w:bCs/>
          <w:i/>
          <w:iCs/>
          <w:u w:val="single"/>
        </w:rPr>
        <w:t>Observation 2</w:t>
      </w:r>
      <w:r w:rsidRPr="00720E83">
        <w:rPr>
          <w:b/>
          <w:bCs/>
          <w:i/>
          <w:iCs/>
        </w:rPr>
        <w:t xml:space="preserve">: </w:t>
      </w:r>
      <w:r w:rsidR="00970C42" w:rsidRPr="00970C42">
        <w:rPr>
          <w:b/>
          <w:bCs/>
          <w:i/>
          <w:iCs/>
        </w:rPr>
        <w:t xml:space="preserve">The re-computation/transmission </w:t>
      </w:r>
      <w:r w:rsidR="00970C42" w:rsidRPr="00720E83">
        <w:rPr>
          <w:b/>
          <w:bCs/>
          <w:i/>
          <w:iCs/>
        </w:rPr>
        <w:t>interval</w:t>
      </w:r>
      <w:r w:rsidR="00970C42" w:rsidRPr="00970C42">
        <w:rPr>
          <w:b/>
          <w:bCs/>
          <w:i/>
          <w:iCs/>
        </w:rPr>
        <w:t xml:space="preserve"> should follow mobility. Low-mobility </w:t>
      </w:r>
      <w:r w:rsidR="007B7AEA">
        <w:rPr>
          <w:b/>
          <w:bCs/>
          <w:i/>
          <w:iCs/>
        </w:rPr>
        <w:t>scenarios</w:t>
      </w:r>
      <w:r w:rsidR="00970C42" w:rsidRPr="00970C42">
        <w:rPr>
          <w:b/>
          <w:bCs/>
          <w:i/>
          <w:iCs/>
        </w:rPr>
        <w:t xml:space="preserve"> (slow fading) can tolerate longer refresh intervals. High-mobility scenarios </w:t>
      </w:r>
      <w:r w:rsidR="00970C42" w:rsidRPr="00720E83">
        <w:rPr>
          <w:b/>
          <w:bCs/>
          <w:i/>
          <w:iCs/>
        </w:rPr>
        <w:t>require</w:t>
      </w:r>
      <w:r w:rsidR="00970C42" w:rsidRPr="00970C42">
        <w:rPr>
          <w:b/>
          <w:bCs/>
          <w:i/>
          <w:iCs/>
        </w:rPr>
        <w:t xml:space="preserve"> faster updates to remain up-to-date. Interval selection is a resource-accuracy trade-off: shorter intervals </w:t>
      </w:r>
      <w:r w:rsidR="00970C42" w:rsidRPr="00720E83">
        <w:rPr>
          <w:b/>
          <w:bCs/>
          <w:i/>
          <w:iCs/>
        </w:rPr>
        <w:t xml:space="preserve">improve the accuracy </w:t>
      </w:r>
      <w:r w:rsidR="00970C42" w:rsidRPr="00970C42">
        <w:rPr>
          <w:b/>
          <w:bCs/>
          <w:i/>
          <w:iCs/>
        </w:rPr>
        <w:t xml:space="preserve">but increase </w:t>
      </w:r>
      <w:proofErr w:type="spellStart"/>
      <w:r w:rsidR="00970C42" w:rsidRPr="00970C42">
        <w:rPr>
          <w:b/>
          <w:bCs/>
          <w:i/>
          <w:iCs/>
        </w:rPr>
        <w:t>signalling</w:t>
      </w:r>
      <w:proofErr w:type="spellEnd"/>
      <w:r w:rsidR="00970C42" w:rsidRPr="00970C42">
        <w:rPr>
          <w:b/>
          <w:bCs/>
          <w:i/>
          <w:iCs/>
        </w:rPr>
        <w:t xml:space="preserve"> and decoder-training cost, whereas longer intervals save resources at the expense of responsiveness. Consequently, c</w:t>
      </w:r>
      <w:r w:rsidR="00970C42" w:rsidRPr="00720E83">
        <w:rPr>
          <w:b/>
          <w:bCs/>
          <w:i/>
          <w:iCs/>
        </w:rPr>
        <w:t xml:space="preserve">hoosing the target transmission interval, trades </w:t>
      </w:r>
      <w:proofErr w:type="spellStart"/>
      <w:r w:rsidR="00970C42" w:rsidRPr="00720E83">
        <w:rPr>
          <w:b/>
          <w:bCs/>
          <w:i/>
          <w:iCs/>
        </w:rPr>
        <w:t>signalling</w:t>
      </w:r>
      <w:proofErr w:type="spellEnd"/>
      <w:r w:rsidR="00970C42" w:rsidRPr="00720E83">
        <w:rPr>
          <w:b/>
          <w:bCs/>
          <w:i/>
          <w:iCs/>
        </w:rPr>
        <w:t xml:space="preserve"> and computing cost against the </w:t>
      </w:r>
      <w:r w:rsidR="00970C42" w:rsidRPr="00970C42">
        <w:rPr>
          <w:b/>
          <w:bCs/>
          <w:i/>
          <w:iCs/>
        </w:rPr>
        <w:t>performance</w:t>
      </w:r>
      <w:r w:rsidR="00970C42" w:rsidRPr="00720E83">
        <w:rPr>
          <w:b/>
          <w:bCs/>
          <w:i/>
          <w:iCs/>
        </w:rPr>
        <w:t xml:space="preserve"> between AI-based and legacy feedback.</w:t>
      </w:r>
    </w:p>
    <w:p w14:paraId="00E3B387" w14:textId="3A620FBF" w:rsidR="00970C42" w:rsidRDefault="00970C42" w:rsidP="00720E83">
      <w:pPr>
        <w:rPr>
          <w:b/>
          <w:bCs/>
          <w:i/>
          <w:iCs/>
        </w:rPr>
      </w:pPr>
    </w:p>
    <w:p w14:paraId="0CBFB3CE" w14:textId="4A17FBFE" w:rsidR="00970C42" w:rsidRDefault="00970C42" w:rsidP="00720E83">
      <w:r w:rsidRPr="00970C42">
        <w:t xml:space="preserve">SGCS measures the cosine similarity between the reconstructed CSI and the precoder that </w:t>
      </w:r>
      <w:proofErr w:type="spellStart"/>
      <w:r w:rsidRPr="00970C42">
        <w:t>maximises</w:t>
      </w:r>
      <w:proofErr w:type="spellEnd"/>
      <w:r w:rsidRPr="00970C42">
        <w:t xml:space="preserve"> receive power on the actual channel. A higher SGCS indicates the beam is steered close to the optimal spatial direction. SGCS often </w:t>
      </w:r>
      <w:r>
        <w:t>converges</w:t>
      </w:r>
      <w:r w:rsidRPr="00970C42">
        <w:t xml:space="preserve"> sooner than NMSE during training. </w:t>
      </w:r>
      <w:r w:rsidR="007B7AEA">
        <w:t>If</w:t>
      </w:r>
      <w:r w:rsidRPr="00970C42">
        <w:t xml:space="preserve"> the UE’s </w:t>
      </w:r>
      <w:r w:rsidR="007B7AEA">
        <w:t xml:space="preserve">training/fine-tuning </w:t>
      </w:r>
      <w:r w:rsidRPr="00970C42">
        <w:t xml:space="preserve">stop rule is tied to the shared metric, </w:t>
      </w:r>
      <w:r w:rsidR="007B7AEA">
        <w:t xml:space="preserve">then </w:t>
      </w:r>
      <w:r w:rsidRPr="00970C42">
        <w:t>that choice sets convergence time and energy use</w:t>
      </w:r>
      <w:r>
        <w:t>. W</w:t>
      </w:r>
      <w:r w:rsidRPr="00970C42">
        <w:t xml:space="preserve">ith </w:t>
      </w:r>
      <w:r w:rsidRPr="00970C42">
        <w:lastRenderedPageBreak/>
        <w:t>an SGCS target, the UE can typically meet the criterion earlier than an NMSE target, shortening fine-tuning and reducing compute.</w:t>
      </w:r>
    </w:p>
    <w:p w14:paraId="42567637" w14:textId="152B233B" w:rsidR="00845E46" w:rsidRDefault="00845E46" w:rsidP="00720E83">
      <w:r w:rsidRPr="00845E46">
        <w:t>Us</w:t>
      </w:r>
      <w:r>
        <w:t>ing</w:t>
      </w:r>
      <w:r w:rsidRPr="00845E46">
        <w:t xml:space="preserve"> SGCS as the performance target</w:t>
      </w:r>
      <w:r>
        <w:t xml:space="preserve"> </w:t>
      </w:r>
      <w:r w:rsidRPr="00845E46">
        <w:t xml:space="preserve">captures end-to-end </w:t>
      </w:r>
      <w:r>
        <w:t>performance</w:t>
      </w:r>
      <w:r w:rsidRPr="00845E46">
        <w:t xml:space="preserve"> of the CSI compression–decompression </w:t>
      </w:r>
      <w:r>
        <w:t>flow</w:t>
      </w:r>
      <w:r w:rsidRPr="00845E46">
        <w:t xml:space="preserve"> and therefore reflects actual </w:t>
      </w:r>
      <w:r>
        <w:t>beamforming</w:t>
      </w:r>
      <w:r w:rsidRPr="00845E46">
        <w:t xml:space="preserve"> </w:t>
      </w:r>
      <w:r>
        <w:t>performance</w:t>
      </w:r>
      <w:r w:rsidRPr="00845E46">
        <w:t xml:space="preserve">. As a simple default, average SGCS target </w:t>
      </w:r>
      <w:r>
        <w:t>can be used</w:t>
      </w:r>
      <w:r w:rsidRPr="00845E46">
        <w:t xml:space="preserve">. Where </w:t>
      </w:r>
      <w:r>
        <w:t xml:space="preserve">dataset </w:t>
      </w:r>
      <w:r w:rsidRPr="00845E46">
        <w:t>configurations differ</w:t>
      </w:r>
      <w:r>
        <w:t xml:space="preserve">, </w:t>
      </w:r>
      <w:r w:rsidRPr="00845E46">
        <w:t>for e</w:t>
      </w:r>
      <w:r>
        <w:t>.g.</w:t>
      </w:r>
      <w:r w:rsidRPr="00845E46">
        <w:t xml:space="preserve">, number of antenna ports, </w:t>
      </w:r>
      <w:proofErr w:type="spellStart"/>
      <w:r w:rsidRPr="00845E46">
        <w:t>subband</w:t>
      </w:r>
      <w:proofErr w:type="spellEnd"/>
      <w:r w:rsidRPr="00845E46">
        <w:t xml:space="preserve"> granularity, or payload size</w:t>
      </w:r>
      <w:r>
        <w:t>,</w:t>
      </w:r>
      <w:r w:rsidRPr="00845E46">
        <w:t xml:space="preserve"> separate targets per configuration </w:t>
      </w:r>
      <w:r>
        <w:t>can be used for</w:t>
      </w:r>
      <w:r w:rsidRPr="00845E46">
        <w:t xml:space="preserve"> corresponding</w:t>
      </w:r>
      <w:r>
        <w:t xml:space="preserve"> new</w:t>
      </w:r>
      <w:r w:rsidRPr="00845E46">
        <w:t xml:space="preserve"> model parameters or dataset.</w:t>
      </w:r>
    </w:p>
    <w:p w14:paraId="26EB990C" w14:textId="17C52E16" w:rsidR="00720E83" w:rsidRPr="00720E83" w:rsidRDefault="00720E83" w:rsidP="00720E83">
      <w:pPr>
        <w:rPr>
          <w:b/>
          <w:bCs/>
          <w:i/>
          <w:iCs/>
        </w:rPr>
      </w:pPr>
      <w:r w:rsidRPr="00720E83">
        <w:rPr>
          <w:b/>
          <w:bCs/>
          <w:i/>
          <w:iCs/>
          <w:u w:val="single"/>
        </w:rPr>
        <w:t>Observation 3</w:t>
      </w:r>
      <w:r w:rsidRPr="00720E83">
        <w:rPr>
          <w:b/>
          <w:bCs/>
          <w:i/>
          <w:iCs/>
        </w:rPr>
        <w:t xml:space="preserve">: </w:t>
      </w:r>
      <w:r w:rsidR="00970C42" w:rsidRPr="00970C42">
        <w:rPr>
          <w:b/>
          <w:bCs/>
          <w:i/>
          <w:iCs/>
        </w:rPr>
        <w:t xml:space="preserve">SGCS maps directly to beamforming gain and may reach its target earlier than NMSE during model training. Adopting SGCS as the shared performance benchmark can therefore lower UE training time and computation while </w:t>
      </w:r>
      <w:r w:rsidR="00970C42">
        <w:rPr>
          <w:b/>
          <w:bCs/>
          <w:i/>
          <w:iCs/>
        </w:rPr>
        <w:t>accuracy</w:t>
      </w:r>
      <w:r w:rsidR="00970C42" w:rsidRPr="00970C42">
        <w:rPr>
          <w:b/>
          <w:bCs/>
          <w:i/>
          <w:iCs/>
        </w:rPr>
        <w:t>. Any incremental benefit from extending training solely to improve NMSE beyond the SGCS threshold remains to be quantified.</w:t>
      </w:r>
    </w:p>
    <w:p w14:paraId="375B3BB9" w14:textId="62FAA404" w:rsidR="00720E83" w:rsidRPr="00720E83" w:rsidRDefault="00720E83" w:rsidP="00720E83">
      <w:r w:rsidRPr="00720E83">
        <w:rPr>
          <w:b/>
          <w:bCs/>
          <w:u w:val="single"/>
        </w:rPr>
        <w:t xml:space="preserve">Proposal </w:t>
      </w:r>
      <w:r w:rsidR="00F95C1B" w:rsidRPr="0048585D">
        <w:rPr>
          <w:b/>
          <w:bCs/>
          <w:u w:val="single"/>
        </w:rPr>
        <w:t>2</w:t>
      </w:r>
      <w:r w:rsidRPr="00720E83">
        <w:rPr>
          <w:b/>
          <w:bCs/>
        </w:rPr>
        <w:t xml:space="preserve">: </w:t>
      </w:r>
      <w:r w:rsidR="00467DD6" w:rsidRPr="0048585D">
        <w:rPr>
          <w:b/>
          <w:bCs/>
        </w:rPr>
        <w:t xml:space="preserve">Adopt SGCS as the shared performance target for CSI compression, since it reflects end-to-end beamforming effectiveness. Use a single average SGCS target favoring simpler design. Where configurations differ (e.g., antenna ports, </w:t>
      </w:r>
      <w:proofErr w:type="spellStart"/>
      <w:r w:rsidR="00467DD6" w:rsidRPr="0048585D">
        <w:rPr>
          <w:b/>
          <w:bCs/>
        </w:rPr>
        <w:t>subbanding</w:t>
      </w:r>
      <w:proofErr w:type="spellEnd"/>
      <w:r w:rsidR="00467DD6" w:rsidRPr="0048585D">
        <w:rPr>
          <w:b/>
          <w:bCs/>
        </w:rPr>
        <w:t>, payload size), define per-configuration SGCS targets and signal the corresponding with the model parameters/datasets.</w:t>
      </w:r>
    </w:p>
    <w:p w14:paraId="37060264" w14:textId="77777777" w:rsidR="006549BE" w:rsidRPr="00DF175D" w:rsidRDefault="006549BE" w:rsidP="0048585D">
      <w:pPr>
        <w:jc w:val="left"/>
        <w:rPr>
          <w:b/>
          <w:bCs/>
        </w:rPr>
      </w:pPr>
    </w:p>
    <w:p w14:paraId="3575A85E" w14:textId="77777777" w:rsidR="00DF175D" w:rsidRDefault="00DF175D" w:rsidP="00DF175D"/>
    <w:p w14:paraId="67EC1DC4" w14:textId="760511DB" w:rsidR="00A613C2" w:rsidRDefault="00A613C2" w:rsidP="00A613C2">
      <w:pPr>
        <w:pStyle w:val="Heading1"/>
      </w:pPr>
      <w:r w:rsidRPr="007F4D46">
        <w:t>Conclusions</w:t>
      </w:r>
    </w:p>
    <w:p w14:paraId="754A99AC" w14:textId="7E07912B" w:rsidR="006549BE" w:rsidRDefault="006549BE" w:rsidP="006549BE">
      <w:r w:rsidRPr="006549BE">
        <w:t>In this contribution, we presented our perspective on inter-vendor collaboration under Direction A, specifically discussing</w:t>
      </w:r>
      <w:r w:rsidR="007B7AEA">
        <w:t xml:space="preserve"> d</w:t>
      </w:r>
      <w:r w:rsidR="007B7AEA" w:rsidRPr="007B7AEA">
        <w:t>ataset/</w:t>
      </w:r>
      <w:r w:rsidR="007B7AEA">
        <w:t>p</w:t>
      </w:r>
      <w:r w:rsidR="007B7AEA" w:rsidRPr="007B7AEA">
        <w:t>arameter exchange and associated model ID</w:t>
      </w:r>
      <w:r w:rsidRPr="006549BE">
        <w:t>. Additionally</w:t>
      </w:r>
      <w:r w:rsidR="0048585D">
        <w:t xml:space="preserve"> we discussed the p</w:t>
      </w:r>
      <w:r w:rsidR="0048585D" w:rsidRPr="0048585D">
        <w:t>erformance monitoring target metric</w:t>
      </w:r>
      <w:r w:rsidR="0048585D">
        <w:t xml:space="preserve">. </w:t>
      </w:r>
      <w:r>
        <w:t>Our observations and proposals can be summarized as follows:</w:t>
      </w:r>
    </w:p>
    <w:p w14:paraId="2FA34D16" w14:textId="77777777" w:rsidR="0048585D" w:rsidRPr="00720E83" w:rsidRDefault="0048585D" w:rsidP="0048585D">
      <w:pPr>
        <w:rPr>
          <w:b/>
          <w:bCs/>
          <w:i/>
          <w:iCs/>
        </w:rPr>
      </w:pPr>
      <w:r w:rsidRPr="00720E83">
        <w:rPr>
          <w:b/>
          <w:bCs/>
          <w:i/>
          <w:iCs/>
          <w:u w:val="single"/>
        </w:rPr>
        <w:t>Observation 1</w:t>
      </w:r>
      <w:r w:rsidRPr="00720E83">
        <w:rPr>
          <w:b/>
          <w:bCs/>
          <w:i/>
          <w:iCs/>
        </w:rPr>
        <w:t xml:space="preserve">: </w:t>
      </w:r>
      <w:r w:rsidRPr="00303C59">
        <w:rPr>
          <w:b/>
          <w:bCs/>
          <w:i/>
          <w:iCs/>
        </w:rPr>
        <w:t xml:space="preserve">When the performance target is computed with the same dataset that trains the nominal encoder and with the </w:t>
      </w:r>
      <w:r>
        <w:rPr>
          <w:b/>
          <w:bCs/>
          <w:i/>
          <w:iCs/>
        </w:rPr>
        <w:t>current</w:t>
      </w:r>
      <w:r w:rsidRPr="00303C59">
        <w:rPr>
          <w:b/>
          <w:bCs/>
          <w:i/>
          <w:iCs/>
        </w:rPr>
        <w:t xml:space="preserve"> decoder, it captures the prevailing channel statistics and the decoder’s implementation losses. Calibrating the UE to this current figure lets it optimize for the conditions it will face when transmitting CSI codewords, while the NW can apply the value as a dependable threshold for present-time CSI reports.</w:t>
      </w:r>
    </w:p>
    <w:p w14:paraId="26D100B6" w14:textId="77777777" w:rsidR="0048585D" w:rsidRDefault="0048585D" w:rsidP="0048585D">
      <w:pPr>
        <w:rPr>
          <w:b/>
          <w:bCs/>
          <w:i/>
          <w:iCs/>
        </w:rPr>
      </w:pPr>
      <w:r w:rsidRPr="00720E83">
        <w:rPr>
          <w:b/>
          <w:bCs/>
          <w:i/>
          <w:iCs/>
          <w:u w:val="single"/>
        </w:rPr>
        <w:t>Observation 2</w:t>
      </w:r>
      <w:r w:rsidRPr="00720E83">
        <w:rPr>
          <w:b/>
          <w:bCs/>
          <w:i/>
          <w:iCs/>
        </w:rPr>
        <w:t xml:space="preserve">: </w:t>
      </w:r>
      <w:r w:rsidRPr="00970C42">
        <w:rPr>
          <w:b/>
          <w:bCs/>
          <w:i/>
          <w:iCs/>
        </w:rPr>
        <w:t xml:space="preserve">The re-computation/transmission </w:t>
      </w:r>
      <w:r w:rsidRPr="00720E83">
        <w:rPr>
          <w:b/>
          <w:bCs/>
          <w:i/>
          <w:iCs/>
        </w:rPr>
        <w:t>interval</w:t>
      </w:r>
      <w:r w:rsidRPr="00970C42">
        <w:rPr>
          <w:b/>
          <w:bCs/>
          <w:i/>
          <w:iCs/>
        </w:rPr>
        <w:t xml:space="preserve"> should follow mobility. Low-mobility </w:t>
      </w:r>
      <w:r>
        <w:rPr>
          <w:b/>
          <w:bCs/>
          <w:i/>
          <w:iCs/>
        </w:rPr>
        <w:t>scenarios</w:t>
      </w:r>
      <w:r w:rsidRPr="00970C42">
        <w:rPr>
          <w:b/>
          <w:bCs/>
          <w:i/>
          <w:iCs/>
        </w:rPr>
        <w:t xml:space="preserve"> (slow fading) can tolerate longer refresh intervals. High-mobility scenarios </w:t>
      </w:r>
      <w:r w:rsidRPr="00720E83">
        <w:rPr>
          <w:b/>
          <w:bCs/>
          <w:i/>
          <w:iCs/>
        </w:rPr>
        <w:t>require</w:t>
      </w:r>
      <w:r w:rsidRPr="00970C42">
        <w:rPr>
          <w:b/>
          <w:bCs/>
          <w:i/>
          <w:iCs/>
        </w:rPr>
        <w:t xml:space="preserve"> faster updates to remain up-to-date. Interval selection is a resource-accuracy trade-off: shorter intervals </w:t>
      </w:r>
      <w:r w:rsidRPr="00720E83">
        <w:rPr>
          <w:b/>
          <w:bCs/>
          <w:i/>
          <w:iCs/>
        </w:rPr>
        <w:t xml:space="preserve">improve the accuracy </w:t>
      </w:r>
      <w:r w:rsidRPr="00970C42">
        <w:rPr>
          <w:b/>
          <w:bCs/>
          <w:i/>
          <w:iCs/>
        </w:rPr>
        <w:t xml:space="preserve">but increase </w:t>
      </w:r>
      <w:proofErr w:type="spellStart"/>
      <w:r w:rsidRPr="00970C42">
        <w:rPr>
          <w:b/>
          <w:bCs/>
          <w:i/>
          <w:iCs/>
        </w:rPr>
        <w:t>signalling</w:t>
      </w:r>
      <w:proofErr w:type="spellEnd"/>
      <w:r w:rsidRPr="00970C42">
        <w:rPr>
          <w:b/>
          <w:bCs/>
          <w:i/>
          <w:iCs/>
        </w:rPr>
        <w:t xml:space="preserve"> and decoder-training cost, whereas longer intervals save resources at the expense of responsiveness. Consequently, c</w:t>
      </w:r>
      <w:r w:rsidRPr="00720E83">
        <w:rPr>
          <w:b/>
          <w:bCs/>
          <w:i/>
          <w:iCs/>
        </w:rPr>
        <w:t xml:space="preserve">hoosing the target transmission interval, trades </w:t>
      </w:r>
      <w:proofErr w:type="spellStart"/>
      <w:r w:rsidRPr="00720E83">
        <w:rPr>
          <w:b/>
          <w:bCs/>
          <w:i/>
          <w:iCs/>
        </w:rPr>
        <w:t>signalling</w:t>
      </w:r>
      <w:proofErr w:type="spellEnd"/>
      <w:r w:rsidRPr="00720E83">
        <w:rPr>
          <w:b/>
          <w:bCs/>
          <w:i/>
          <w:iCs/>
        </w:rPr>
        <w:t xml:space="preserve"> and computing cost against the </w:t>
      </w:r>
      <w:r w:rsidRPr="00970C42">
        <w:rPr>
          <w:b/>
          <w:bCs/>
          <w:i/>
          <w:iCs/>
        </w:rPr>
        <w:t>performance</w:t>
      </w:r>
      <w:r w:rsidRPr="00720E83">
        <w:rPr>
          <w:b/>
          <w:bCs/>
          <w:i/>
          <w:iCs/>
        </w:rPr>
        <w:t xml:space="preserve"> between AI-based and legacy feedback.</w:t>
      </w:r>
    </w:p>
    <w:p w14:paraId="7001057B" w14:textId="747612E5" w:rsidR="006549BE" w:rsidRDefault="009958E7" w:rsidP="006549BE">
      <w:pPr>
        <w:rPr>
          <w:b/>
          <w:bCs/>
          <w:i/>
          <w:iCs/>
        </w:rPr>
      </w:pPr>
      <w:r w:rsidRPr="00720E83">
        <w:rPr>
          <w:b/>
          <w:bCs/>
          <w:i/>
          <w:iCs/>
          <w:u w:val="single"/>
        </w:rPr>
        <w:t>Observation 3</w:t>
      </w:r>
      <w:r w:rsidRPr="00720E83">
        <w:rPr>
          <w:b/>
          <w:bCs/>
          <w:i/>
          <w:iCs/>
        </w:rPr>
        <w:t xml:space="preserve">: </w:t>
      </w:r>
      <w:r w:rsidRPr="00970C42">
        <w:rPr>
          <w:b/>
          <w:bCs/>
          <w:i/>
          <w:iCs/>
        </w:rPr>
        <w:t xml:space="preserve">SGCS maps directly to beamforming gain and may reach its target earlier than NMSE during model training. Adopting SGCS as the shared performance benchmark can therefore lower UE training time and computation while </w:t>
      </w:r>
      <w:r>
        <w:rPr>
          <w:b/>
          <w:bCs/>
          <w:i/>
          <w:iCs/>
        </w:rPr>
        <w:t>accuracy</w:t>
      </w:r>
      <w:r w:rsidRPr="00970C42">
        <w:rPr>
          <w:b/>
          <w:bCs/>
          <w:i/>
          <w:iCs/>
        </w:rPr>
        <w:t>. Any incremental benefit from extending training solely to improve NMSE beyond the SGCS threshold remains to be quantified.</w:t>
      </w:r>
    </w:p>
    <w:p w14:paraId="0A874C7F" w14:textId="77777777" w:rsidR="002D1B3C" w:rsidRPr="00DF175D" w:rsidRDefault="002D1B3C" w:rsidP="006549BE">
      <w:pPr>
        <w:rPr>
          <w:b/>
          <w:bCs/>
          <w:i/>
          <w:iCs/>
        </w:rPr>
      </w:pPr>
    </w:p>
    <w:p w14:paraId="0CDA6D02" w14:textId="77777777" w:rsidR="0099184C" w:rsidRPr="0048585D" w:rsidRDefault="0099184C" w:rsidP="0099184C">
      <w:r w:rsidRPr="0048585D">
        <w:rPr>
          <w:b/>
          <w:bCs/>
          <w:u w:val="single"/>
        </w:rPr>
        <w:t>Proposal 1</w:t>
      </w:r>
      <w:r w:rsidRPr="0048585D">
        <w:t xml:space="preserve">: </w:t>
      </w:r>
      <w:r>
        <w:rPr>
          <w:b/>
          <w:bCs/>
        </w:rPr>
        <w:t>Mobile network operator</w:t>
      </w:r>
      <w:r w:rsidRPr="0048585D">
        <w:rPr>
          <w:b/>
          <w:bCs/>
        </w:rPr>
        <w:t xml:space="preserve"> can assign a unique associated-model ID or dataset ID for each dataset/parameter bundle and signal that ID together with the data-collection RS. The same ID can be used end-to-end, whether the data is delivered OTA or non-OTA, and reuse it for UE/NW data collection, inference reporting, and related use cases (e.g., Beamforming and CSI prediction).</w:t>
      </w:r>
      <w:r w:rsidRPr="0048585D">
        <w:t xml:space="preserve"> </w:t>
      </w:r>
    </w:p>
    <w:p w14:paraId="4903FB42" w14:textId="1D7904F8" w:rsidR="0048585D" w:rsidRPr="00720E83" w:rsidRDefault="0048585D" w:rsidP="0048585D">
      <w:r w:rsidRPr="00720E83">
        <w:rPr>
          <w:b/>
          <w:bCs/>
          <w:u w:val="single"/>
        </w:rPr>
        <w:t xml:space="preserve">Proposal </w:t>
      </w:r>
      <w:r w:rsidRPr="0048585D">
        <w:rPr>
          <w:b/>
          <w:bCs/>
          <w:u w:val="single"/>
        </w:rPr>
        <w:t>2</w:t>
      </w:r>
      <w:r w:rsidRPr="00720E83">
        <w:rPr>
          <w:b/>
          <w:bCs/>
        </w:rPr>
        <w:t xml:space="preserve">: </w:t>
      </w:r>
      <w:r w:rsidRPr="0048585D">
        <w:rPr>
          <w:b/>
          <w:bCs/>
        </w:rPr>
        <w:t xml:space="preserve">Adopt SGCS as the shared performance target for CSI compression, since it reflects end-to-end beamforming effectiveness. Use a single average SGCS target favoring simpler design. Where configurations differ (e.g., </w:t>
      </w:r>
      <w:r>
        <w:rPr>
          <w:b/>
          <w:bCs/>
        </w:rPr>
        <w:t xml:space="preserve">number of </w:t>
      </w:r>
      <w:r w:rsidRPr="0048585D">
        <w:rPr>
          <w:b/>
          <w:bCs/>
        </w:rPr>
        <w:t>antenna ports, sub</w:t>
      </w:r>
      <w:r>
        <w:rPr>
          <w:b/>
          <w:bCs/>
        </w:rPr>
        <w:t>-</w:t>
      </w:r>
      <w:r w:rsidRPr="0048585D">
        <w:rPr>
          <w:b/>
          <w:bCs/>
        </w:rPr>
        <w:t>band</w:t>
      </w:r>
      <w:r>
        <w:rPr>
          <w:b/>
          <w:bCs/>
        </w:rPr>
        <w:t>s</w:t>
      </w:r>
      <w:r w:rsidRPr="0048585D">
        <w:rPr>
          <w:b/>
          <w:bCs/>
        </w:rPr>
        <w:t>, payload size), define per-configuration SGCS targets and signal the corresponding with the model parameters/datasets.</w:t>
      </w:r>
    </w:p>
    <w:p w14:paraId="26448415" w14:textId="77777777" w:rsidR="006549BE" w:rsidRPr="006549BE" w:rsidRDefault="006549BE" w:rsidP="006549BE"/>
    <w:p w14:paraId="42B21607" w14:textId="77777777" w:rsidR="00A613C2" w:rsidRPr="00CF2EC6" w:rsidRDefault="00A613C2" w:rsidP="00A613C2">
      <w:pPr>
        <w:pStyle w:val="Heading1"/>
        <w:spacing w:before="360"/>
        <w:ind w:left="432" w:hanging="432"/>
        <w:rPr>
          <w:rFonts w:ascii="Times New Roman" w:hAnsi="Times New Roman"/>
        </w:rPr>
      </w:pPr>
      <w:bookmarkStart w:id="6" w:name="_Ref124589665"/>
      <w:bookmarkStart w:id="7" w:name="_Ref71620620"/>
      <w:bookmarkStart w:id="8" w:name="_Ref124671424"/>
      <w:r w:rsidRPr="00CF2EC6">
        <w:rPr>
          <w:rFonts w:ascii="Times New Roman" w:hAnsi="Times New Roman"/>
        </w:rPr>
        <w:lastRenderedPageBreak/>
        <w:t>References</w:t>
      </w:r>
    </w:p>
    <w:p w14:paraId="2F920772" w14:textId="1A1D8AF4" w:rsidR="00DC35B5" w:rsidRPr="00DC35B5" w:rsidRDefault="00DC35B5" w:rsidP="00DC35B5">
      <w:pPr>
        <w:pStyle w:val="References"/>
        <w:rPr>
          <w:bCs/>
        </w:rPr>
      </w:pPr>
      <w:bookmarkStart w:id="9" w:name="_Ref204778297"/>
      <w:bookmarkEnd w:id="2"/>
      <w:bookmarkEnd w:id="6"/>
      <w:bookmarkEnd w:id="7"/>
      <w:bookmarkEnd w:id="8"/>
      <w:r w:rsidRPr="00DC35B5">
        <w:rPr>
          <w:bCs/>
          <w:lang w:val="en-IN"/>
        </w:rPr>
        <w:t>RP-251870, New WI on AIML for NR air interface Ph 2, Qualcomm,</w:t>
      </w:r>
      <w:r>
        <w:rPr>
          <w:bCs/>
          <w:lang w:val="en-IN"/>
        </w:rPr>
        <w:t xml:space="preserve"> </w:t>
      </w:r>
      <w:r w:rsidRPr="00DC35B5">
        <w:rPr>
          <w:bCs/>
          <w:lang w:val="en-IN"/>
        </w:rPr>
        <w:t>RAN#108, Prague, Czech Republic, June 9</w:t>
      </w:r>
      <w:r w:rsidRPr="00DC35B5">
        <w:rPr>
          <w:bCs/>
          <w:vertAlign w:val="superscript"/>
          <w:lang w:val="en-IN"/>
        </w:rPr>
        <w:t>th</w:t>
      </w:r>
      <w:r w:rsidRPr="00DC35B5">
        <w:rPr>
          <w:bCs/>
          <w:lang w:val="en-IN"/>
        </w:rPr>
        <w:t>-13</w:t>
      </w:r>
      <w:r w:rsidRPr="00DC35B5">
        <w:rPr>
          <w:bCs/>
          <w:vertAlign w:val="superscript"/>
          <w:lang w:val="en-IN"/>
        </w:rPr>
        <w:t>th</w:t>
      </w:r>
      <w:r w:rsidRPr="00DC35B5">
        <w:rPr>
          <w:bCs/>
          <w:lang w:val="en-IN"/>
        </w:rPr>
        <w:t>, 2025</w:t>
      </w:r>
      <w:bookmarkEnd w:id="9"/>
    </w:p>
    <w:p w14:paraId="342B3FD0" w14:textId="77777777" w:rsidR="00DC35B5" w:rsidRDefault="00DC35B5" w:rsidP="00DC35B5">
      <w:pPr>
        <w:pStyle w:val="References"/>
        <w:rPr>
          <w:rFonts w:eastAsia="Times New Roman"/>
        </w:rPr>
      </w:pPr>
      <w:bookmarkStart w:id="10" w:name="_Ref206081488"/>
      <w:bookmarkStart w:id="11" w:name="_Ref193880546"/>
      <w:r>
        <w:t>Chair notes RAN1#120bis</w:t>
      </w:r>
      <w:r>
        <w:rPr>
          <w:lang w:eastAsia="zh-CN"/>
        </w:rPr>
        <w:t>,</w:t>
      </w:r>
      <w:r>
        <w:t xml:space="preserve"> </w:t>
      </w:r>
      <w:r>
        <w:rPr>
          <w:lang w:eastAsia="zh-CN"/>
        </w:rPr>
        <w:t>RAN1 #120bis,Wuhan, China, April 7</w:t>
      </w:r>
      <w:r>
        <w:rPr>
          <w:vertAlign w:val="superscript"/>
          <w:lang w:eastAsia="zh-CN"/>
        </w:rPr>
        <w:t>th</w:t>
      </w:r>
      <w:r>
        <w:rPr>
          <w:lang w:eastAsia="zh-CN"/>
        </w:rPr>
        <w:t xml:space="preserve"> – 11</w:t>
      </w:r>
      <w:r>
        <w:rPr>
          <w:vertAlign w:val="superscript"/>
          <w:lang w:eastAsia="zh-CN"/>
        </w:rPr>
        <w:t>th</w:t>
      </w:r>
      <w:r>
        <w:rPr>
          <w:lang w:eastAsia="zh-CN"/>
        </w:rPr>
        <w:t>, 2025</w:t>
      </w:r>
      <w:bookmarkEnd w:id="10"/>
      <w:bookmarkEnd w:id="11"/>
    </w:p>
    <w:p w14:paraId="50D356C2" w14:textId="0452F095" w:rsidR="00990B8F" w:rsidRPr="00DC35B5" w:rsidRDefault="00DC35B5" w:rsidP="00DC35B5">
      <w:pPr>
        <w:pStyle w:val="References"/>
      </w:pPr>
      <w:bookmarkStart w:id="12" w:name="_Ref196389964"/>
      <w:r>
        <w:t>R2-2503169, “</w:t>
      </w:r>
      <w:r w:rsidRPr="00D63A76">
        <w:t xml:space="preserve">Reply LS on </w:t>
      </w:r>
      <w:proofErr w:type="spellStart"/>
      <w:r w:rsidRPr="00D63A76">
        <w:t>signalling</w:t>
      </w:r>
      <w:proofErr w:type="spellEnd"/>
      <w:r w:rsidRPr="00D63A76">
        <w:t xml:space="preserve"> feasibility of dataset and parameter sharing</w:t>
      </w:r>
      <w:r>
        <w:t xml:space="preserve">”, </w:t>
      </w:r>
      <w:r w:rsidRPr="003C19B0">
        <w:t>3GPP RAN</w:t>
      </w:r>
      <w:r>
        <w:t>2</w:t>
      </w:r>
      <w:r w:rsidRPr="003C19B0">
        <w:t xml:space="preserve"> Meeting #1</w:t>
      </w:r>
      <w:r>
        <w:t>29bis</w:t>
      </w:r>
      <w:r w:rsidRPr="003C19B0">
        <w:t xml:space="preserve">, </w:t>
      </w:r>
      <w:r>
        <w:t>Apr</w:t>
      </w:r>
      <w:r w:rsidRPr="003C19B0">
        <w:t xml:space="preserve">. </w:t>
      </w:r>
      <w:r>
        <w:t>7-11</w:t>
      </w:r>
      <w:r w:rsidRPr="003C19B0">
        <w:t>, 202</w:t>
      </w:r>
      <w:r>
        <w:t>5.</w:t>
      </w:r>
      <w:bookmarkEnd w:id="12"/>
    </w:p>
    <w:sectPr w:rsidR="00990B8F" w:rsidRPr="00DC35B5" w:rsidSect="00242302">
      <w:headerReference w:type="even" r:id="rId7"/>
      <w:headerReference w:type="default" r:id="rId8"/>
      <w:headerReference w:type="first" r:id="rId9"/>
      <w:pgSz w:w="11909" w:h="16834" w:code="9"/>
      <w:pgMar w:top="1440" w:right="1152"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039F" w14:textId="77777777" w:rsidR="00BB2A25" w:rsidRDefault="00BB2A25" w:rsidP="006C28A0">
      <w:pPr>
        <w:spacing w:after="0"/>
      </w:pPr>
      <w:r>
        <w:separator/>
      </w:r>
    </w:p>
  </w:endnote>
  <w:endnote w:type="continuationSeparator" w:id="0">
    <w:p w14:paraId="15BC4D68" w14:textId="77777777" w:rsidR="00BB2A25" w:rsidRDefault="00BB2A25" w:rsidP="006C2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68240" w14:textId="77777777" w:rsidR="00BB2A25" w:rsidRDefault="00BB2A25" w:rsidP="006C28A0">
      <w:pPr>
        <w:spacing w:after="0"/>
      </w:pPr>
      <w:r>
        <w:separator/>
      </w:r>
    </w:p>
  </w:footnote>
  <w:footnote w:type="continuationSeparator" w:id="0">
    <w:p w14:paraId="72664F33" w14:textId="77777777" w:rsidR="00BB2A25" w:rsidRDefault="00BB2A25" w:rsidP="006C2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B639" w14:textId="77777777" w:rsidR="006C28A0" w:rsidRDefault="006C28A0">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D6F0" w14:textId="77777777" w:rsidR="006C28A0" w:rsidRDefault="006C28A0">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AA99" w14:textId="77777777" w:rsidR="006C28A0" w:rsidRDefault="006C28A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000005"/>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000007"/>
    <w:multiLevelType w:val="hybridMultilevel"/>
    <w:tmpl w:val="4F5254BE"/>
    <w:lvl w:ilvl="0" w:tplc="D22EA4E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0000008"/>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000000A"/>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000000D"/>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D436B180">
      <w:start w:val="1"/>
      <w:numFmt w:val="bullet"/>
      <w:lvlText w:val="o"/>
      <w:lvlJc w:val="left"/>
      <w:pPr>
        <w:ind w:left="1440" w:hanging="360"/>
      </w:pPr>
      <w:rPr>
        <w:rFonts w:ascii="Courier New" w:hAnsi="Courier New" w:cs="Courier New" w:hint="default"/>
      </w:rPr>
    </w:lvl>
    <w:lvl w:ilvl="2" w:tplc="F0BAAE66">
      <w:start w:val="1"/>
      <w:numFmt w:val="bullet"/>
      <w:lvlText w:val=""/>
      <w:lvlJc w:val="left"/>
      <w:pPr>
        <w:ind w:left="2160" w:hanging="360"/>
      </w:pPr>
      <w:rPr>
        <w:rFonts w:ascii="Wingdings" w:hAnsi="Wingdings" w:hint="default"/>
      </w:rPr>
    </w:lvl>
    <w:lvl w:ilvl="3" w:tplc="125A4A28">
      <w:start w:val="1"/>
      <w:numFmt w:val="bullet"/>
      <w:lvlText w:val=""/>
      <w:lvlJc w:val="left"/>
      <w:pPr>
        <w:ind w:left="2880" w:hanging="360"/>
      </w:pPr>
      <w:rPr>
        <w:rFonts w:ascii="Symbol" w:hAnsi="Symbol" w:hint="default"/>
      </w:rPr>
    </w:lvl>
    <w:lvl w:ilvl="4" w:tplc="4996537C">
      <w:start w:val="1"/>
      <w:numFmt w:val="bullet"/>
      <w:lvlText w:val="o"/>
      <w:lvlJc w:val="left"/>
      <w:pPr>
        <w:ind w:left="3600" w:hanging="360"/>
      </w:pPr>
      <w:rPr>
        <w:rFonts w:ascii="Courier New" w:hAnsi="Courier New" w:cs="Courier New" w:hint="default"/>
      </w:rPr>
    </w:lvl>
    <w:lvl w:ilvl="5" w:tplc="186E7AD4">
      <w:start w:val="1"/>
      <w:numFmt w:val="bullet"/>
      <w:lvlText w:val=""/>
      <w:lvlJc w:val="left"/>
      <w:pPr>
        <w:ind w:left="4320" w:hanging="360"/>
      </w:pPr>
      <w:rPr>
        <w:rFonts w:ascii="Wingdings" w:hAnsi="Wingdings" w:hint="default"/>
      </w:rPr>
    </w:lvl>
    <w:lvl w:ilvl="6" w:tplc="A2288884">
      <w:start w:val="1"/>
      <w:numFmt w:val="bullet"/>
      <w:lvlText w:val=""/>
      <w:lvlJc w:val="left"/>
      <w:pPr>
        <w:ind w:left="5040" w:hanging="360"/>
      </w:pPr>
      <w:rPr>
        <w:rFonts w:ascii="Symbol" w:hAnsi="Symbol" w:hint="default"/>
      </w:rPr>
    </w:lvl>
    <w:lvl w:ilvl="7" w:tplc="D25E0D08">
      <w:start w:val="1"/>
      <w:numFmt w:val="bullet"/>
      <w:lvlText w:val="o"/>
      <w:lvlJc w:val="left"/>
      <w:pPr>
        <w:ind w:left="5760" w:hanging="360"/>
      </w:pPr>
      <w:rPr>
        <w:rFonts w:ascii="Courier New" w:hAnsi="Courier New" w:cs="Courier New" w:hint="default"/>
      </w:rPr>
    </w:lvl>
    <w:lvl w:ilvl="8" w:tplc="47BA358E">
      <w:start w:val="1"/>
      <w:numFmt w:val="bullet"/>
      <w:lvlText w:val=""/>
      <w:lvlJc w:val="left"/>
      <w:pPr>
        <w:ind w:left="6480" w:hanging="360"/>
      </w:pPr>
      <w:rPr>
        <w:rFonts w:ascii="Wingdings" w:hAnsi="Wingdings" w:hint="default"/>
      </w:rPr>
    </w:lvl>
  </w:abstractNum>
  <w:abstractNum w:abstractNumId="6" w15:restartNumberingAfterBreak="0">
    <w:nsid w:val="0000000F"/>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0CDC9F84">
      <w:start w:val="1"/>
      <w:numFmt w:val="lowerLetter"/>
      <w:lvlText w:val="%2."/>
      <w:lvlJc w:val="left"/>
      <w:pPr>
        <w:ind w:left="1440" w:hanging="360"/>
      </w:pPr>
    </w:lvl>
    <w:lvl w:ilvl="2" w:tplc="05C6C496">
      <w:start w:val="1"/>
      <w:numFmt w:val="lowerRoman"/>
      <w:lvlText w:val="%3."/>
      <w:lvlJc w:val="right"/>
      <w:pPr>
        <w:ind w:left="2160" w:hanging="180"/>
      </w:pPr>
    </w:lvl>
    <w:lvl w:ilvl="3" w:tplc="26CE2AD0">
      <w:start w:val="1"/>
      <w:numFmt w:val="decimal"/>
      <w:lvlText w:val="%4."/>
      <w:lvlJc w:val="left"/>
      <w:pPr>
        <w:ind w:left="2880" w:hanging="360"/>
      </w:pPr>
    </w:lvl>
    <w:lvl w:ilvl="4" w:tplc="CBFABC66">
      <w:start w:val="1"/>
      <w:numFmt w:val="lowerLetter"/>
      <w:lvlText w:val="%5."/>
      <w:lvlJc w:val="left"/>
      <w:pPr>
        <w:ind w:left="3600" w:hanging="360"/>
      </w:pPr>
    </w:lvl>
    <w:lvl w:ilvl="5" w:tplc="07E2ED5E">
      <w:start w:val="1"/>
      <w:numFmt w:val="lowerRoman"/>
      <w:lvlText w:val="%6."/>
      <w:lvlJc w:val="right"/>
      <w:pPr>
        <w:ind w:left="4320" w:hanging="180"/>
      </w:pPr>
    </w:lvl>
    <w:lvl w:ilvl="6" w:tplc="DD86F95A">
      <w:start w:val="1"/>
      <w:numFmt w:val="decimal"/>
      <w:lvlText w:val="%7."/>
      <w:lvlJc w:val="left"/>
      <w:pPr>
        <w:ind w:left="5040" w:hanging="360"/>
      </w:pPr>
    </w:lvl>
    <w:lvl w:ilvl="7" w:tplc="8814C630">
      <w:start w:val="1"/>
      <w:numFmt w:val="lowerLetter"/>
      <w:lvlText w:val="%8."/>
      <w:lvlJc w:val="left"/>
      <w:pPr>
        <w:ind w:left="5760" w:hanging="360"/>
      </w:pPr>
    </w:lvl>
    <w:lvl w:ilvl="8" w:tplc="91444906">
      <w:start w:val="1"/>
      <w:numFmt w:val="lowerRoman"/>
      <w:lvlText w:val="%9."/>
      <w:lvlJc w:val="right"/>
      <w:pPr>
        <w:ind w:left="6480" w:hanging="180"/>
      </w:pPr>
    </w:lvl>
  </w:abstractNum>
  <w:abstractNum w:abstractNumId="7" w15:restartNumberingAfterBreak="0">
    <w:nsid w:val="089B531D"/>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775161"/>
    <w:multiLevelType w:val="hybridMultilevel"/>
    <w:tmpl w:val="7024B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97E27F0"/>
    <w:multiLevelType w:val="hybridMultilevel"/>
    <w:tmpl w:val="A8E881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2D24AB"/>
    <w:multiLevelType w:val="hybridMultilevel"/>
    <w:tmpl w:val="DBC0E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7522A"/>
    <w:multiLevelType w:val="hybridMultilevel"/>
    <w:tmpl w:val="CAFCC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AC2149"/>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19"/>
  </w:num>
  <w:num w:numId="2" w16cid:durableId="1353455386">
    <w:abstractNumId w:val="18"/>
  </w:num>
  <w:num w:numId="3" w16cid:durableId="2060589018">
    <w:abstractNumId w:val="23"/>
  </w:num>
  <w:num w:numId="4" w16cid:durableId="894049100">
    <w:abstractNumId w:val="13"/>
  </w:num>
  <w:num w:numId="5" w16cid:durableId="805004284">
    <w:abstractNumId w:val="8"/>
  </w:num>
  <w:num w:numId="6" w16cid:durableId="1034690577">
    <w:abstractNumId w:val="30"/>
  </w:num>
  <w:num w:numId="7" w16cid:durableId="1445076453">
    <w:abstractNumId w:val="10"/>
  </w:num>
  <w:num w:numId="8" w16cid:durableId="568074631">
    <w:abstractNumId w:val="36"/>
  </w:num>
  <w:num w:numId="9" w16cid:durableId="140778296">
    <w:abstractNumId w:val="34"/>
  </w:num>
  <w:num w:numId="10" w16cid:durableId="1630353925">
    <w:abstractNumId w:val="12"/>
  </w:num>
  <w:num w:numId="11" w16cid:durableId="1310863942">
    <w:abstractNumId w:val="16"/>
  </w:num>
  <w:num w:numId="12" w16cid:durableId="433868250">
    <w:abstractNumId w:val="32"/>
  </w:num>
  <w:num w:numId="13" w16cid:durableId="1471631025">
    <w:abstractNumId w:val="11"/>
  </w:num>
  <w:num w:numId="14" w16cid:durableId="2041122125">
    <w:abstractNumId w:val="22"/>
  </w:num>
  <w:num w:numId="15" w16cid:durableId="369575885">
    <w:abstractNumId w:val="25"/>
  </w:num>
  <w:num w:numId="16" w16cid:durableId="480000688">
    <w:abstractNumId w:val="21"/>
  </w:num>
  <w:num w:numId="17" w16cid:durableId="505092831">
    <w:abstractNumId w:val="9"/>
  </w:num>
  <w:num w:numId="18" w16cid:durableId="56514032">
    <w:abstractNumId w:val="26"/>
  </w:num>
  <w:num w:numId="19" w16cid:durableId="2064254349">
    <w:abstractNumId w:val="14"/>
  </w:num>
  <w:num w:numId="20" w16cid:durableId="2005621519">
    <w:abstractNumId w:val="27"/>
  </w:num>
  <w:num w:numId="21" w16cid:durableId="1520001440">
    <w:abstractNumId w:val="31"/>
  </w:num>
  <w:num w:numId="22" w16cid:durableId="1823155023">
    <w:abstractNumId w:val="20"/>
  </w:num>
  <w:num w:numId="23" w16cid:durableId="990256926">
    <w:abstractNumId w:val="35"/>
  </w:num>
  <w:num w:numId="24" w16cid:durableId="1803036413">
    <w:abstractNumId w:val="28"/>
  </w:num>
  <w:num w:numId="25" w16cid:durableId="664670221">
    <w:abstractNumId w:val="23"/>
  </w:num>
  <w:num w:numId="26" w16cid:durableId="1084063260">
    <w:abstractNumId w:val="17"/>
  </w:num>
  <w:num w:numId="27" w16cid:durableId="46612955">
    <w:abstractNumId w:val="24"/>
  </w:num>
  <w:num w:numId="28" w16cid:durableId="200677036">
    <w:abstractNumId w:val="29"/>
  </w:num>
  <w:num w:numId="29" w16cid:durableId="1508911019">
    <w:abstractNumId w:val="33"/>
  </w:num>
  <w:num w:numId="30" w16cid:durableId="1434276412">
    <w:abstractNumId w:val="7"/>
  </w:num>
  <w:num w:numId="31" w16cid:durableId="968437592">
    <w:abstractNumId w:val="0"/>
  </w:num>
  <w:num w:numId="32" w16cid:durableId="19254092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5916193">
    <w:abstractNumId w:val="5"/>
  </w:num>
  <w:num w:numId="34" w16cid:durableId="1480228157">
    <w:abstractNumId w:val="4"/>
  </w:num>
  <w:num w:numId="35" w16cid:durableId="910500768">
    <w:abstractNumId w:val="1"/>
  </w:num>
  <w:num w:numId="36" w16cid:durableId="1201934638">
    <w:abstractNumId w:val="3"/>
  </w:num>
  <w:num w:numId="37" w16cid:durableId="1349874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324896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FD2"/>
    <w:rsid w:val="000A063F"/>
    <w:rsid w:val="000A15F3"/>
    <w:rsid w:val="000A30A9"/>
    <w:rsid w:val="000A33C8"/>
    <w:rsid w:val="000A4A2E"/>
    <w:rsid w:val="000A5F63"/>
    <w:rsid w:val="000B1836"/>
    <w:rsid w:val="000B1CC1"/>
    <w:rsid w:val="000B25CF"/>
    <w:rsid w:val="000B4D85"/>
    <w:rsid w:val="000B4FED"/>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04B9"/>
    <w:rsid w:val="00101D89"/>
    <w:rsid w:val="00104DFF"/>
    <w:rsid w:val="001066EB"/>
    <w:rsid w:val="00107E3F"/>
    <w:rsid w:val="00107EA7"/>
    <w:rsid w:val="00110A57"/>
    <w:rsid w:val="00112CAD"/>
    <w:rsid w:val="0011479E"/>
    <w:rsid w:val="00114D78"/>
    <w:rsid w:val="001165C6"/>
    <w:rsid w:val="001208A4"/>
    <w:rsid w:val="00120A85"/>
    <w:rsid w:val="00123B6C"/>
    <w:rsid w:val="00123CC1"/>
    <w:rsid w:val="00124719"/>
    <w:rsid w:val="00124B16"/>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01CB"/>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440"/>
    <w:rsid w:val="001B47BE"/>
    <w:rsid w:val="001B5BCA"/>
    <w:rsid w:val="001B6EB7"/>
    <w:rsid w:val="001C2C70"/>
    <w:rsid w:val="001C42BE"/>
    <w:rsid w:val="001C452D"/>
    <w:rsid w:val="001C5B1B"/>
    <w:rsid w:val="001C5DF7"/>
    <w:rsid w:val="001C7A93"/>
    <w:rsid w:val="001C7C23"/>
    <w:rsid w:val="001D1401"/>
    <w:rsid w:val="001D1E1E"/>
    <w:rsid w:val="001D257C"/>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43BA"/>
    <w:rsid w:val="001F5C60"/>
    <w:rsid w:val="00200336"/>
    <w:rsid w:val="00200BBB"/>
    <w:rsid w:val="00200F05"/>
    <w:rsid w:val="002021F8"/>
    <w:rsid w:val="00203415"/>
    <w:rsid w:val="002118BD"/>
    <w:rsid w:val="002125EE"/>
    <w:rsid w:val="002126C8"/>
    <w:rsid w:val="002220A5"/>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157"/>
    <w:rsid w:val="00264419"/>
    <w:rsid w:val="00265E54"/>
    <w:rsid w:val="002669B6"/>
    <w:rsid w:val="00271969"/>
    <w:rsid w:val="00271F10"/>
    <w:rsid w:val="00273AEB"/>
    <w:rsid w:val="00274848"/>
    <w:rsid w:val="00277177"/>
    <w:rsid w:val="002774FE"/>
    <w:rsid w:val="00280B94"/>
    <w:rsid w:val="00282C9B"/>
    <w:rsid w:val="00283618"/>
    <w:rsid w:val="00283EEF"/>
    <w:rsid w:val="002844A0"/>
    <w:rsid w:val="0028497A"/>
    <w:rsid w:val="00286CFB"/>
    <w:rsid w:val="0028725E"/>
    <w:rsid w:val="002872F5"/>
    <w:rsid w:val="002875FF"/>
    <w:rsid w:val="00290178"/>
    <w:rsid w:val="00293A69"/>
    <w:rsid w:val="002952CC"/>
    <w:rsid w:val="002959D4"/>
    <w:rsid w:val="0029601C"/>
    <w:rsid w:val="00296384"/>
    <w:rsid w:val="00296AED"/>
    <w:rsid w:val="00296D4B"/>
    <w:rsid w:val="002A1189"/>
    <w:rsid w:val="002A2E62"/>
    <w:rsid w:val="002A3D3F"/>
    <w:rsid w:val="002A4BC3"/>
    <w:rsid w:val="002A6E5E"/>
    <w:rsid w:val="002A6FF2"/>
    <w:rsid w:val="002A7B60"/>
    <w:rsid w:val="002B591E"/>
    <w:rsid w:val="002C06EC"/>
    <w:rsid w:val="002C145B"/>
    <w:rsid w:val="002C1DB6"/>
    <w:rsid w:val="002C2C9E"/>
    <w:rsid w:val="002C2F80"/>
    <w:rsid w:val="002C373A"/>
    <w:rsid w:val="002C43E3"/>
    <w:rsid w:val="002C4F58"/>
    <w:rsid w:val="002C6096"/>
    <w:rsid w:val="002C6ECE"/>
    <w:rsid w:val="002D0405"/>
    <w:rsid w:val="002D1B3C"/>
    <w:rsid w:val="002D46EB"/>
    <w:rsid w:val="002D4974"/>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3C59"/>
    <w:rsid w:val="00306A25"/>
    <w:rsid w:val="00306D34"/>
    <w:rsid w:val="00306F65"/>
    <w:rsid w:val="00307BDD"/>
    <w:rsid w:val="00311D5B"/>
    <w:rsid w:val="00313DF2"/>
    <w:rsid w:val="00317A9D"/>
    <w:rsid w:val="00321184"/>
    <w:rsid w:val="0032172C"/>
    <w:rsid w:val="00321F2F"/>
    <w:rsid w:val="00322B8E"/>
    <w:rsid w:val="003239E7"/>
    <w:rsid w:val="00324E26"/>
    <w:rsid w:val="00326F68"/>
    <w:rsid w:val="00327221"/>
    <w:rsid w:val="00330B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705A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164F"/>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261"/>
    <w:rsid w:val="00410E7E"/>
    <w:rsid w:val="00411B12"/>
    <w:rsid w:val="00424139"/>
    <w:rsid w:val="004255BF"/>
    <w:rsid w:val="00425EDF"/>
    <w:rsid w:val="004267A7"/>
    <w:rsid w:val="00427524"/>
    <w:rsid w:val="00427DE8"/>
    <w:rsid w:val="00430DB5"/>
    <w:rsid w:val="0043116A"/>
    <w:rsid w:val="004327E2"/>
    <w:rsid w:val="00432B75"/>
    <w:rsid w:val="0043328E"/>
    <w:rsid w:val="00433951"/>
    <w:rsid w:val="00433F96"/>
    <w:rsid w:val="00437911"/>
    <w:rsid w:val="004379AE"/>
    <w:rsid w:val="004412B5"/>
    <w:rsid w:val="00442B52"/>
    <w:rsid w:val="00446DA8"/>
    <w:rsid w:val="0044757B"/>
    <w:rsid w:val="00447F38"/>
    <w:rsid w:val="00451032"/>
    <w:rsid w:val="004537E6"/>
    <w:rsid w:val="00454CE8"/>
    <w:rsid w:val="00455C82"/>
    <w:rsid w:val="00455F25"/>
    <w:rsid w:val="00457A74"/>
    <w:rsid w:val="004663C1"/>
    <w:rsid w:val="00467794"/>
    <w:rsid w:val="00467DD6"/>
    <w:rsid w:val="00473D6D"/>
    <w:rsid w:val="0047420E"/>
    <w:rsid w:val="00474D55"/>
    <w:rsid w:val="0047513B"/>
    <w:rsid w:val="00477407"/>
    <w:rsid w:val="00481AF8"/>
    <w:rsid w:val="004841A4"/>
    <w:rsid w:val="004844BD"/>
    <w:rsid w:val="0048491A"/>
    <w:rsid w:val="00485483"/>
    <w:rsid w:val="0048585D"/>
    <w:rsid w:val="0048691D"/>
    <w:rsid w:val="004920A7"/>
    <w:rsid w:val="00495725"/>
    <w:rsid w:val="0049584A"/>
    <w:rsid w:val="0049712B"/>
    <w:rsid w:val="004A37FE"/>
    <w:rsid w:val="004A5DCE"/>
    <w:rsid w:val="004A6DC5"/>
    <w:rsid w:val="004A748A"/>
    <w:rsid w:val="004B0B85"/>
    <w:rsid w:val="004B0D3C"/>
    <w:rsid w:val="004B11AA"/>
    <w:rsid w:val="004B12B2"/>
    <w:rsid w:val="004B6625"/>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CB4"/>
    <w:rsid w:val="00507D48"/>
    <w:rsid w:val="00511C02"/>
    <w:rsid w:val="00515090"/>
    <w:rsid w:val="00522371"/>
    <w:rsid w:val="005225DA"/>
    <w:rsid w:val="005225ED"/>
    <w:rsid w:val="0052330D"/>
    <w:rsid w:val="005238C7"/>
    <w:rsid w:val="00523CE3"/>
    <w:rsid w:val="005251AE"/>
    <w:rsid w:val="0052693F"/>
    <w:rsid w:val="00526FFC"/>
    <w:rsid w:val="005275AB"/>
    <w:rsid w:val="00527D17"/>
    <w:rsid w:val="0053295F"/>
    <w:rsid w:val="00537219"/>
    <w:rsid w:val="00543F97"/>
    <w:rsid w:val="00544BCD"/>
    <w:rsid w:val="0054608D"/>
    <w:rsid w:val="0054632F"/>
    <w:rsid w:val="00550167"/>
    <w:rsid w:val="005511FF"/>
    <w:rsid w:val="00551A33"/>
    <w:rsid w:val="00552871"/>
    <w:rsid w:val="00554060"/>
    <w:rsid w:val="005574B2"/>
    <w:rsid w:val="00560449"/>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A6763"/>
    <w:rsid w:val="005B0FA0"/>
    <w:rsid w:val="005B287E"/>
    <w:rsid w:val="005B3995"/>
    <w:rsid w:val="005B3D2E"/>
    <w:rsid w:val="005B422C"/>
    <w:rsid w:val="005B693E"/>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D26"/>
    <w:rsid w:val="005F5D94"/>
    <w:rsid w:val="005F5F9D"/>
    <w:rsid w:val="005F79E1"/>
    <w:rsid w:val="00600B6F"/>
    <w:rsid w:val="00601B56"/>
    <w:rsid w:val="006026C3"/>
    <w:rsid w:val="00602823"/>
    <w:rsid w:val="00603769"/>
    <w:rsid w:val="00607BBC"/>
    <w:rsid w:val="0061049A"/>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549BE"/>
    <w:rsid w:val="00661836"/>
    <w:rsid w:val="00661F7B"/>
    <w:rsid w:val="006623E8"/>
    <w:rsid w:val="00662D6F"/>
    <w:rsid w:val="0066635F"/>
    <w:rsid w:val="0067546B"/>
    <w:rsid w:val="00675ECE"/>
    <w:rsid w:val="00676E51"/>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28A0"/>
    <w:rsid w:val="006C38CF"/>
    <w:rsid w:val="006C4F51"/>
    <w:rsid w:val="006C5692"/>
    <w:rsid w:val="006C6315"/>
    <w:rsid w:val="006C6AB9"/>
    <w:rsid w:val="006C7763"/>
    <w:rsid w:val="006D4838"/>
    <w:rsid w:val="006D6F06"/>
    <w:rsid w:val="006E11A5"/>
    <w:rsid w:val="006E1956"/>
    <w:rsid w:val="006E44EB"/>
    <w:rsid w:val="006E676C"/>
    <w:rsid w:val="006E751F"/>
    <w:rsid w:val="006F0082"/>
    <w:rsid w:val="006F0CDA"/>
    <w:rsid w:val="006F332D"/>
    <w:rsid w:val="006F4E01"/>
    <w:rsid w:val="006F5D29"/>
    <w:rsid w:val="006F5E4B"/>
    <w:rsid w:val="006F6FCD"/>
    <w:rsid w:val="006F7192"/>
    <w:rsid w:val="0070214C"/>
    <w:rsid w:val="00703BD6"/>
    <w:rsid w:val="00703CB9"/>
    <w:rsid w:val="0070611F"/>
    <w:rsid w:val="00707070"/>
    <w:rsid w:val="007101D9"/>
    <w:rsid w:val="00712057"/>
    <w:rsid w:val="007140D2"/>
    <w:rsid w:val="00714575"/>
    <w:rsid w:val="00714819"/>
    <w:rsid w:val="00716893"/>
    <w:rsid w:val="00717A29"/>
    <w:rsid w:val="00720E83"/>
    <w:rsid w:val="00722268"/>
    <w:rsid w:val="007223C0"/>
    <w:rsid w:val="00724C7B"/>
    <w:rsid w:val="00725098"/>
    <w:rsid w:val="00725C33"/>
    <w:rsid w:val="00727AD5"/>
    <w:rsid w:val="00730929"/>
    <w:rsid w:val="00733185"/>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4F15"/>
    <w:rsid w:val="00786761"/>
    <w:rsid w:val="00790B4C"/>
    <w:rsid w:val="00791802"/>
    <w:rsid w:val="00792961"/>
    <w:rsid w:val="00792DD9"/>
    <w:rsid w:val="00795238"/>
    <w:rsid w:val="007960ED"/>
    <w:rsid w:val="007A33A8"/>
    <w:rsid w:val="007A5BC2"/>
    <w:rsid w:val="007A69A0"/>
    <w:rsid w:val="007A6F25"/>
    <w:rsid w:val="007B0C76"/>
    <w:rsid w:val="007B1BDF"/>
    <w:rsid w:val="007B2F69"/>
    <w:rsid w:val="007B55E0"/>
    <w:rsid w:val="007B6CBD"/>
    <w:rsid w:val="007B70C5"/>
    <w:rsid w:val="007B7AEA"/>
    <w:rsid w:val="007C122B"/>
    <w:rsid w:val="007C2094"/>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2E23"/>
    <w:rsid w:val="00813727"/>
    <w:rsid w:val="00814830"/>
    <w:rsid w:val="00815047"/>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5E46"/>
    <w:rsid w:val="00846265"/>
    <w:rsid w:val="008464F3"/>
    <w:rsid w:val="00847986"/>
    <w:rsid w:val="00851744"/>
    <w:rsid w:val="008530A3"/>
    <w:rsid w:val="0085638D"/>
    <w:rsid w:val="0085646A"/>
    <w:rsid w:val="008613A5"/>
    <w:rsid w:val="00863AA4"/>
    <w:rsid w:val="00863CB0"/>
    <w:rsid w:val="00864CEE"/>
    <w:rsid w:val="008661A7"/>
    <w:rsid w:val="00871F0D"/>
    <w:rsid w:val="00871F2C"/>
    <w:rsid w:val="0087250A"/>
    <w:rsid w:val="00873E3B"/>
    <w:rsid w:val="008741EC"/>
    <w:rsid w:val="00875F39"/>
    <w:rsid w:val="0087696D"/>
    <w:rsid w:val="008808EE"/>
    <w:rsid w:val="00881290"/>
    <w:rsid w:val="0088234E"/>
    <w:rsid w:val="00882C81"/>
    <w:rsid w:val="00882C94"/>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537"/>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2DD0"/>
    <w:rsid w:val="009134DB"/>
    <w:rsid w:val="0091387D"/>
    <w:rsid w:val="009145CC"/>
    <w:rsid w:val="0091575A"/>
    <w:rsid w:val="00923F9A"/>
    <w:rsid w:val="0092476E"/>
    <w:rsid w:val="0092485B"/>
    <w:rsid w:val="0092538D"/>
    <w:rsid w:val="00926056"/>
    <w:rsid w:val="00927AEC"/>
    <w:rsid w:val="00930F68"/>
    <w:rsid w:val="00931EA7"/>
    <w:rsid w:val="00932F3C"/>
    <w:rsid w:val="009336A2"/>
    <w:rsid w:val="009340EA"/>
    <w:rsid w:val="00935014"/>
    <w:rsid w:val="00936136"/>
    <w:rsid w:val="00936190"/>
    <w:rsid w:val="00936843"/>
    <w:rsid w:val="00937C7E"/>
    <w:rsid w:val="009405A5"/>
    <w:rsid w:val="00941997"/>
    <w:rsid w:val="009429D4"/>
    <w:rsid w:val="00944216"/>
    <w:rsid w:val="00944FAE"/>
    <w:rsid w:val="00946425"/>
    <w:rsid w:val="009502DA"/>
    <w:rsid w:val="009539EC"/>
    <w:rsid w:val="00954BA3"/>
    <w:rsid w:val="00954DB0"/>
    <w:rsid w:val="00962147"/>
    <w:rsid w:val="00962CA2"/>
    <w:rsid w:val="00963204"/>
    <w:rsid w:val="00964758"/>
    <w:rsid w:val="009649D6"/>
    <w:rsid w:val="00966B02"/>
    <w:rsid w:val="00967D7E"/>
    <w:rsid w:val="00970C2B"/>
    <w:rsid w:val="00970C42"/>
    <w:rsid w:val="00975FE3"/>
    <w:rsid w:val="009771DA"/>
    <w:rsid w:val="00981364"/>
    <w:rsid w:val="00981640"/>
    <w:rsid w:val="00981B7B"/>
    <w:rsid w:val="0098358F"/>
    <w:rsid w:val="009845A7"/>
    <w:rsid w:val="0098645F"/>
    <w:rsid w:val="00986F66"/>
    <w:rsid w:val="00987117"/>
    <w:rsid w:val="00990B8F"/>
    <w:rsid w:val="00991715"/>
    <w:rsid w:val="0099184C"/>
    <w:rsid w:val="00991DF7"/>
    <w:rsid w:val="009921D1"/>
    <w:rsid w:val="00993B12"/>
    <w:rsid w:val="00994645"/>
    <w:rsid w:val="009958E7"/>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B1C"/>
    <w:rsid w:val="009D6679"/>
    <w:rsid w:val="009E0471"/>
    <w:rsid w:val="009E0DA3"/>
    <w:rsid w:val="009E2AC4"/>
    <w:rsid w:val="009E3159"/>
    <w:rsid w:val="009E59B0"/>
    <w:rsid w:val="009E5D57"/>
    <w:rsid w:val="009E6223"/>
    <w:rsid w:val="009E6E68"/>
    <w:rsid w:val="009F0AA6"/>
    <w:rsid w:val="009F4589"/>
    <w:rsid w:val="009F45F8"/>
    <w:rsid w:val="009F47B6"/>
    <w:rsid w:val="009F5023"/>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6FC3"/>
    <w:rsid w:val="00A272F9"/>
    <w:rsid w:val="00A276F3"/>
    <w:rsid w:val="00A30088"/>
    <w:rsid w:val="00A30E8B"/>
    <w:rsid w:val="00A31881"/>
    <w:rsid w:val="00A3354F"/>
    <w:rsid w:val="00A3359E"/>
    <w:rsid w:val="00A3378D"/>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51F"/>
    <w:rsid w:val="00A90F8A"/>
    <w:rsid w:val="00A91BBB"/>
    <w:rsid w:val="00A95604"/>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442"/>
    <w:rsid w:val="00AC378B"/>
    <w:rsid w:val="00AC3AD9"/>
    <w:rsid w:val="00AC5143"/>
    <w:rsid w:val="00AC5802"/>
    <w:rsid w:val="00AC7484"/>
    <w:rsid w:val="00AC7BA3"/>
    <w:rsid w:val="00AC7EBD"/>
    <w:rsid w:val="00AD7108"/>
    <w:rsid w:val="00AE23BC"/>
    <w:rsid w:val="00AE2580"/>
    <w:rsid w:val="00AE4698"/>
    <w:rsid w:val="00AF1E8A"/>
    <w:rsid w:val="00AF68C6"/>
    <w:rsid w:val="00AF6E1C"/>
    <w:rsid w:val="00B0010D"/>
    <w:rsid w:val="00B01AA8"/>
    <w:rsid w:val="00B02425"/>
    <w:rsid w:val="00B02705"/>
    <w:rsid w:val="00B03F67"/>
    <w:rsid w:val="00B0448D"/>
    <w:rsid w:val="00B052D3"/>
    <w:rsid w:val="00B05CBE"/>
    <w:rsid w:val="00B063B0"/>
    <w:rsid w:val="00B078C7"/>
    <w:rsid w:val="00B10330"/>
    <w:rsid w:val="00B148E3"/>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967E9"/>
    <w:rsid w:val="00BA036E"/>
    <w:rsid w:val="00BA06F2"/>
    <w:rsid w:val="00BA46E4"/>
    <w:rsid w:val="00BA5E2F"/>
    <w:rsid w:val="00BA7D2A"/>
    <w:rsid w:val="00BB0E67"/>
    <w:rsid w:val="00BB2185"/>
    <w:rsid w:val="00BB2A25"/>
    <w:rsid w:val="00BB5C91"/>
    <w:rsid w:val="00BB68A1"/>
    <w:rsid w:val="00BB7D56"/>
    <w:rsid w:val="00BC0863"/>
    <w:rsid w:val="00BC3E8A"/>
    <w:rsid w:val="00BC4509"/>
    <w:rsid w:val="00BC4E5A"/>
    <w:rsid w:val="00BC78B0"/>
    <w:rsid w:val="00BC7A3C"/>
    <w:rsid w:val="00BC7BBB"/>
    <w:rsid w:val="00BD0AE3"/>
    <w:rsid w:val="00BD1A91"/>
    <w:rsid w:val="00BD3204"/>
    <w:rsid w:val="00BD409B"/>
    <w:rsid w:val="00BD45EA"/>
    <w:rsid w:val="00BD5132"/>
    <w:rsid w:val="00BD6B45"/>
    <w:rsid w:val="00BD6D41"/>
    <w:rsid w:val="00BE0C0B"/>
    <w:rsid w:val="00BE1745"/>
    <w:rsid w:val="00BE20E7"/>
    <w:rsid w:val="00BE243A"/>
    <w:rsid w:val="00BE412D"/>
    <w:rsid w:val="00BE555C"/>
    <w:rsid w:val="00BE62FD"/>
    <w:rsid w:val="00BE64B0"/>
    <w:rsid w:val="00BE6B11"/>
    <w:rsid w:val="00BE74C0"/>
    <w:rsid w:val="00BE75AC"/>
    <w:rsid w:val="00BE75E1"/>
    <w:rsid w:val="00BE7E9D"/>
    <w:rsid w:val="00BF12C6"/>
    <w:rsid w:val="00BF1513"/>
    <w:rsid w:val="00BF4A39"/>
    <w:rsid w:val="00BF4B89"/>
    <w:rsid w:val="00BF6C87"/>
    <w:rsid w:val="00BF717D"/>
    <w:rsid w:val="00C0186C"/>
    <w:rsid w:val="00C01E9F"/>
    <w:rsid w:val="00C05649"/>
    <w:rsid w:val="00C07294"/>
    <w:rsid w:val="00C11F93"/>
    <w:rsid w:val="00C1298A"/>
    <w:rsid w:val="00C12A10"/>
    <w:rsid w:val="00C14B6E"/>
    <w:rsid w:val="00C2124F"/>
    <w:rsid w:val="00C225C3"/>
    <w:rsid w:val="00C22C2D"/>
    <w:rsid w:val="00C234A3"/>
    <w:rsid w:val="00C24426"/>
    <w:rsid w:val="00C24D38"/>
    <w:rsid w:val="00C27706"/>
    <w:rsid w:val="00C308D6"/>
    <w:rsid w:val="00C30F3B"/>
    <w:rsid w:val="00C32028"/>
    <w:rsid w:val="00C355B6"/>
    <w:rsid w:val="00C378E6"/>
    <w:rsid w:val="00C41AED"/>
    <w:rsid w:val="00C43D6A"/>
    <w:rsid w:val="00C45C5E"/>
    <w:rsid w:val="00C46F33"/>
    <w:rsid w:val="00C47B3A"/>
    <w:rsid w:val="00C512F2"/>
    <w:rsid w:val="00C524E1"/>
    <w:rsid w:val="00C52511"/>
    <w:rsid w:val="00C53806"/>
    <w:rsid w:val="00C53A67"/>
    <w:rsid w:val="00C615C1"/>
    <w:rsid w:val="00C61793"/>
    <w:rsid w:val="00C620B0"/>
    <w:rsid w:val="00C631AC"/>
    <w:rsid w:val="00C638B9"/>
    <w:rsid w:val="00C6432B"/>
    <w:rsid w:val="00C64499"/>
    <w:rsid w:val="00C64A55"/>
    <w:rsid w:val="00C65BC0"/>
    <w:rsid w:val="00C65F70"/>
    <w:rsid w:val="00C67830"/>
    <w:rsid w:val="00C6786F"/>
    <w:rsid w:val="00C67ADD"/>
    <w:rsid w:val="00C71A7D"/>
    <w:rsid w:val="00C72339"/>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A120D"/>
    <w:rsid w:val="00CA23CF"/>
    <w:rsid w:val="00CA4245"/>
    <w:rsid w:val="00CA4FA5"/>
    <w:rsid w:val="00CA64DC"/>
    <w:rsid w:val="00CA64F7"/>
    <w:rsid w:val="00CB02FD"/>
    <w:rsid w:val="00CB0EB5"/>
    <w:rsid w:val="00CB2F96"/>
    <w:rsid w:val="00CB3872"/>
    <w:rsid w:val="00CB3DA0"/>
    <w:rsid w:val="00CB3E76"/>
    <w:rsid w:val="00CB47D9"/>
    <w:rsid w:val="00CB5677"/>
    <w:rsid w:val="00CB5C3B"/>
    <w:rsid w:val="00CB6950"/>
    <w:rsid w:val="00CB6D28"/>
    <w:rsid w:val="00CC0453"/>
    <w:rsid w:val="00CC51BA"/>
    <w:rsid w:val="00CC57BB"/>
    <w:rsid w:val="00CC6A10"/>
    <w:rsid w:val="00CC6B07"/>
    <w:rsid w:val="00CC7ABC"/>
    <w:rsid w:val="00CC7D9A"/>
    <w:rsid w:val="00CD0420"/>
    <w:rsid w:val="00CD1865"/>
    <w:rsid w:val="00CD24CB"/>
    <w:rsid w:val="00CD518E"/>
    <w:rsid w:val="00CD5757"/>
    <w:rsid w:val="00CD6C54"/>
    <w:rsid w:val="00CE05ED"/>
    <w:rsid w:val="00CE0763"/>
    <w:rsid w:val="00CE0C97"/>
    <w:rsid w:val="00CE238C"/>
    <w:rsid w:val="00CE2BC5"/>
    <w:rsid w:val="00CE5886"/>
    <w:rsid w:val="00CE7635"/>
    <w:rsid w:val="00CE781F"/>
    <w:rsid w:val="00CF007A"/>
    <w:rsid w:val="00CF0830"/>
    <w:rsid w:val="00CF1653"/>
    <w:rsid w:val="00CF393D"/>
    <w:rsid w:val="00CF44DB"/>
    <w:rsid w:val="00CF4ECB"/>
    <w:rsid w:val="00CF5AF8"/>
    <w:rsid w:val="00CF5EE5"/>
    <w:rsid w:val="00CF7FC2"/>
    <w:rsid w:val="00D01546"/>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2C2C"/>
    <w:rsid w:val="00D55889"/>
    <w:rsid w:val="00D55B67"/>
    <w:rsid w:val="00D56F77"/>
    <w:rsid w:val="00D61485"/>
    <w:rsid w:val="00D62AA3"/>
    <w:rsid w:val="00D6434B"/>
    <w:rsid w:val="00D6476F"/>
    <w:rsid w:val="00D665AB"/>
    <w:rsid w:val="00D66821"/>
    <w:rsid w:val="00D676DD"/>
    <w:rsid w:val="00D70029"/>
    <w:rsid w:val="00D73685"/>
    <w:rsid w:val="00D73FB5"/>
    <w:rsid w:val="00D74560"/>
    <w:rsid w:val="00D74A8F"/>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3B9A"/>
    <w:rsid w:val="00DA686A"/>
    <w:rsid w:val="00DB0DE1"/>
    <w:rsid w:val="00DB141D"/>
    <w:rsid w:val="00DB15F2"/>
    <w:rsid w:val="00DB4110"/>
    <w:rsid w:val="00DB6784"/>
    <w:rsid w:val="00DC35B5"/>
    <w:rsid w:val="00DC3C06"/>
    <w:rsid w:val="00DC3F2C"/>
    <w:rsid w:val="00DC46B5"/>
    <w:rsid w:val="00DC546F"/>
    <w:rsid w:val="00DC65CE"/>
    <w:rsid w:val="00DC6E42"/>
    <w:rsid w:val="00DC7469"/>
    <w:rsid w:val="00DC79DA"/>
    <w:rsid w:val="00DC7D0C"/>
    <w:rsid w:val="00DD01CA"/>
    <w:rsid w:val="00DD031A"/>
    <w:rsid w:val="00DD0DC1"/>
    <w:rsid w:val="00DD0E20"/>
    <w:rsid w:val="00DD341A"/>
    <w:rsid w:val="00DD3A2A"/>
    <w:rsid w:val="00DD48CB"/>
    <w:rsid w:val="00DD5504"/>
    <w:rsid w:val="00DD5D22"/>
    <w:rsid w:val="00DD6103"/>
    <w:rsid w:val="00DD735D"/>
    <w:rsid w:val="00DE10D7"/>
    <w:rsid w:val="00DE1612"/>
    <w:rsid w:val="00DE3AC8"/>
    <w:rsid w:val="00DE4023"/>
    <w:rsid w:val="00DE4390"/>
    <w:rsid w:val="00DE477D"/>
    <w:rsid w:val="00DE5670"/>
    <w:rsid w:val="00DE5CF7"/>
    <w:rsid w:val="00DE60CB"/>
    <w:rsid w:val="00DE7FB9"/>
    <w:rsid w:val="00DF175D"/>
    <w:rsid w:val="00DF20BC"/>
    <w:rsid w:val="00DF5BC0"/>
    <w:rsid w:val="00DF66BD"/>
    <w:rsid w:val="00E01842"/>
    <w:rsid w:val="00E01DFF"/>
    <w:rsid w:val="00E021E9"/>
    <w:rsid w:val="00E038CE"/>
    <w:rsid w:val="00E04E05"/>
    <w:rsid w:val="00E054DD"/>
    <w:rsid w:val="00E05777"/>
    <w:rsid w:val="00E124FF"/>
    <w:rsid w:val="00E134A4"/>
    <w:rsid w:val="00E144C3"/>
    <w:rsid w:val="00E16A90"/>
    <w:rsid w:val="00E22BB3"/>
    <w:rsid w:val="00E24324"/>
    <w:rsid w:val="00E246B3"/>
    <w:rsid w:val="00E25CD3"/>
    <w:rsid w:val="00E27E53"/>
    <w:rsid w:val="00E3035B"/>
    <w:rsid w:val="00E3113B"/>
    <w:rsid w:val="00E32155"/>
    <w:rsid w:val="00E32593"/>
    <w:rsid w:val="00E3287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A38"/>
    <w:rsid w:val="00E61DC8"/>
    <w:rsid w:val="00E6346B"/>
    <w:rsid w:val="00E63E2F"/>
    <w:rsid w:val="00E73A8E"/>
    <w:rsid w:val="00E759FD"/>
    <w:rsid w:val="00E75E07"/>
    <w:rsid w:val="00E83108"/>
    <w:rsid w:val="00E83DCC"/>
    <w:rsid w:val="00E84B8E"/>
    <w:rsid w:val="00E91080"/>
    <w:rsid w:val="00E91EA4"/>
    <w:rsid w:val="00E925DE"/>
    <w:rsid w:val="00E92D98"/>
    <w:rsid w:val="00E94FAD"/>
    <w:rsid w:val="00E97680"/>
    <w:rsid w:val="00E9794E"/>
    <w:rsid w:val="00EA1527"/>
    <w:rsid w:val="00EA2DEC"/>
    <w:rsid w:val="00EA35B8"/>
    <w:rsid w:val="00EA3B4E"/>
    <w:rsid w:val="00EA583C"/>
    <w:rsid w:val="00EB0451"/>
    <w:rsid w:val="00EB181C"/>
    <w:rsid w:val="00EB2F8C"/>
    <w:rsid w:val="00EB4732"/>
    <w:rsid w:val="00EB70DA"/>
    <w:rsid w:val="00EB776A"/>
    <w:rsid w:val="00EC1989"/>
    <w:rsid w:val="00EC3A72"/>
    <w:rsid w:val="00EC4325"/>
    <w:rsid w:val="00EC5C83"/>
    <w:rsid w:val="00EC60E0"/>
    <w:rsid w:val="00EC62F1"/>
    <w:rsid w:val="00EC7560"/>
    <w:rsid w:val="00ED0A89"/>
    <w:rsid w:val="00ED642C"/>
    <w:rsid w:val="00ED74A2"/>
    <w:rsid w:val="00ED7888"/>
    <w:rsid w:val="00EE150A"/>
    <w:rsid w:val="00EE1FE3"/>
    <w:rsid w:val="00EE32CD"/>
    <w:rsid w:val="00EE3E3B"/>
    <w:rsid w:val="00EE61BE"/>
    <w:rsid w:val="00EE7280"/>
    <w:rsid w:val="00EE7B1F"/>
    <w:rsid w:val="00EF07B6"/>
    <w:rsid w:val="00EF1F4E"/>
    <w:rsid w:val="00EF2FF3"/>
    <w:rsid w:val="00EF3429"/>
    <w:rsid w:val="00EF3860"/>
    <w:rsid w:val="00EF4111"/>
    <w:rsid w:val="00EF6944"/>
    <w:rsid w:val="00EF6BF4"/>
    <w:rsid w:val="00F0000B"/>
    <w:rsid w:val="00F006F8"/>
    <w:rsid w:val="00F02642"/>
    <w:rsid w:val="00F041D0"/>
    <w:rsid w:val="00F047A9"/>
    <w:rsid w:val="00F05B55"/>
    <w:rsid w:val="00F0643E"/>
    <w:rsid w:val="00F0681E"/>
    <w:rsid w:val="00F1157A"/>
    <w:rsid w:val="00F118D5"/>
    <w:rsid w:val="00F13291"/>
    <w:rsid w:val="00F13D25"/>
    <w:rsid w:val="00F1497C"/>
    <w:rsid w:val="00F1702C"/>
    <w:rsid w:val="00F17041"/>
    <w:rsid w:val="00F17689"/>
    <w:rsid w:val="00F2010E"/>
    <w:rsid w:val="00F2020F"/>
    <w:rsid w:val="00F3015F"/>
    <w:rsid w:val="00F30935"/>
    <w:rsid w:val="00F311C5"/>
    <w:rsid w:val="00F3169A"/>
    <w:rsid w:val="00F338A2"/>
    <w:rsid w:val="00F33AD8"/>
    <w:rsid w:val="00F346DC"/>
    <w:rsid w:val="00F34861"/>
    <w:rsid w:val="00F35C0D"/>
    <w:rsid w:val="00F362C5"/>
    <w:rsid w:val="00F36A0A"/>
    <w:rsid w:val="00F37866"/>
    <w:rsid w:val="00F37882"/>
    <w:rsid w:val="00F415EF"/>
    <w:rsid w:val="00F441C6"/>
    <w:rsid w:val="00F4567F"/>
    <w:rsid w:val="00F5013F"/>
    <w:rsid w:val="00F52D76"/>
    <w:rsid w:val="00F54CC7"/>
    <w:rsid w:val="00F57BEC"/>
    <w:rsid w:val="00F63D74"/>
    <w:rsid w:val="00F6453A"/>
    <w:rsid w:val="00F64C00"/>
    <w:rsid w:val="00F71B75"/>
    <w:rsid w:val="00F71DC1"/>
    <w:rsid w:val="00F749EF"/>
    <w:rsid w:val="00F80FD0"/>
    <w:rsid w:val="00F85BC5"/>
    <w:rsid w:val="00F87C53"/>
    <w:rsid w:val="00F903AE"/>
    <w:rsid w:val="00F90B7F"/>
    <w:rsid w:val="00F9419E"/>
    <w:rsid w:val="00F95C1B"/>
    <w:rsid w:val="00F97636"/>
    <w:rsid w:val="00FA117E"/>
    <w:rsid w:val="00FA13C9"/>
    <w:rsid w:val="00FA16F7"/>
    <w:rsid w:val="00FA76A2"/>
    <w:rsid w:val="00FB163A"/>
    <w:rsid w:val="00FB4C60"/>
    <w:rsid w:val="00FB4DE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369"/>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84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spacing w:before="120"/>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spacing w:before="120"/>
      <w:outlineLvl w:val="2"/>
    </w:pPr>
    <w:rPr>
      <w:rFonts w:ascii="Arial" w:hAnsi="Arial"/>
      <w:b/>
    </w:rPr>
  </w:style>
  <w:style w:type="paragraph" w:styleId="Heading4">
    <w:name w:val="heading 4"/>
    <w:aliases w:val="H4"/>
    <w:basedOn w:val="Normal"/>
    <w:next w:val="Normal"/>
    <w:link w:val="Heading4Char"/>
    <w:qFormat/>
    <w:rsid w:val="006B71B1"/>
    <w:pPr>
      <w:keepNext/>
      <w:spacing w:before="120"/>
      <w:outlineLvl w:val="3"/>
    </w:pPr>
    <w:rPr>
      <w:b/>
      <w:bCs/>
      <w:szCs w:val="28"/>
    </w:rPr>
  </w:style>
  <w:style w:type="paragraph" w:styleId="Heading5">
    <w:name w:val="heading 5"/>
    <w:aliases w:val="h5"/>
    <w:basedOn w:val="Normal"/>
    <w:next w:val="Normal"/>
    <w:link w:val="Heading5Char"/>
    <w:qFormat/>
    <w:rsid w:val="006B71B1"/>
    <w:pPr>
      <w:keepNext/>
      <w:spacing w:before="120"/>
      <w:outlineLvl w:val="4"/>
    </w:pPr>
    <w:rPr>
      <w:b/>
      <w:bCs/>
      <w:i/>
      <w:iCs/>
      <w:szCs w:val="26"/>
    </w:rPr>
  </w:style>
  <w:style w:type="paragraph" w:styleId="Heading6">
    <w:name w:val="heading 6"/>
    <w:aliases w:val="figure,h6"/>
    <w:basedOn w:val="Normal"/>
    <w:next w:val="Normal"/>
    <w:link w:val="Heading6Char"/>
    <w:qFormat/>
    <w:rsid w:val="006B71B1"/>
    <w:pPr>
      <w:spacing w:before="240" w:after="60"/>
      <w:outlineLvl w:val="5"/>
    </w:pPr>
    <w:rPr>
      <w:b/>
      <w:bCs/>
    </w:rPr>
  </w:style>
  <w:style w:type="paragraph" w:styleId="Heading7">
    <w:name w:val="heading 7"/>
    <w:aliases w:val="table,st,h7"/>
    <w:basedOn w:val="Normal"/>
    <w:next w:val="Normal"/>
    <w:link w:val="Heading7Char"/>
    <w:qFormat/>
    <w:rsid w:val="006B71B1"/>
    <w:pPr>
      <w:spacing w:before="240" w:after="60"/>
      <w:outlineLvl w:val="6"/>
    </w:pPr>
    <w:rPr>
      <w:sz w:val="24"/>
      <w:szCs w:val="24"/>
    </w:rPr>
  </w:style>
  <w:style w:type="paragraph" w:styleId="Heading8">
    <w:name w:val="heading 8"/>
    <w:aliases w:val="acronym"/>
    <w:basedOn w:val="Normal"/>
    <w:next w:val="Normal"/>
    <w:link w:val="Heading8Char"/>
    <w:qFormat/>
    <w:rsid w:val="006B71B1"/>
    <w:pPr>
      <w:spacing w:before="240" w:after="60"/>
      <w:outlineLvl w:val="7"/>
    </w:pPr>
    <w:rPr>
      <w:i/>
      <w:iCs/>
      <w:sz w:val="24"/>
      <w:szCs w:val="24"/>
    </w:rPr>
  </w:style>
  <w:style w:type="paragraph" w:styleId="Heading9">
    <w:name w:val="heading 9"/>
    <w:aliases w:val="appendix"/>
    <w:basedOn w:val="Normal"/>
    <w:next w:val="Normal"/>
    <w:link w:val="Heading9Char"/>
    <w:qFormat/>
    <w:rsid w:val="006B71B1"/>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 w:type="paragraph" w:styleId="Footer">
    <w:name w:val="footer"/>
    <w:basedOn w:val="Normal"/>
    <w:link w:val="FooterChar"/>
    <w:uiPriority w:val="99"/>
    <w:unhideWhenUsed/>
    <w:rsid w:val="006C28A0"/>
    <w:pPr>
      <w:tabs>
        <w:tab w:val="center" w:pos="4513"/>
        <w:tab w:val="right" w:pos="9026"/>
      </w:tabs>
      <w:spacing w:after="0"/>
    </w:pPr>
  </w:style>
  <w:style w:type="character" w:customStyle="1" w:styleId="FooterChar">
    <w:name w:val="Footer Char"/>
    <w:basedOn w:val="DefaultParagraphFont"/>
    <w:link w:val="Footer"/>
    <w:uiPriority w:val="99"/>
    <w:rsid w:val="006C28A0"/>
    <w:rPr>
      <w:rFonts w:ascii="Times New Roman" w:eastAsia="SimSun" w:hAnsi="Times New Roman" w:cs="Times New Roman"/>
      <w:kern w:val="0"/>
      <w:lang w:val="en-US"/>
      <w14:ligatures w14:val="none"/>
    </w:rPr>
  </w:style>
  <w:style w:type="paragraph" w:customStyle="1" w:styleId="Reference">
    <w:name w:val="Reference"/>
    <w:basedOn w:val="BodyText"/>
    <w:rsid w:val="00DC35B5"/>
    <w:pPr>
      <w:tabs>
        <w:tab w:val="num" w:pos="567"/>
      </w:tabs>
      <w:autoSpaceDE/>
      <w:autoSpaceDN/>
      <w:adjustRightInd/>
      <w:snapToGrid/>
      <w:spacing w:line="278" w:lineRule="auto"/>
      <w:ind w:left="567" w:hanging="567"/>
    </w:pPr>
    <w:rPr>
      <w:rFonts w:asciiTheme="minorHAnsi" w:eastAsiaTheme="minorHAnsi" w:hAnsiTheme="minorHAnsi" w:cstheme="minorBidi"/>
      <w:kern w:val="2"/>
      <w:sz w:val="24"/>
      <w:szCs w:val="24"/>
      <w:lang w:val="en-IN"/>
      <w14:ligatures w14:val="standardContextual"/>
    </w:rPr>
  </w:style>
  <w:style w:type="paragraph" w:styleId="BodyText">
    <w:name w:val="Body Text"/>
    <w:basedOn w:val="Normal"/>
    <w:link w:val="BodyTextChar"/>
    <w:uiPriority w:val="99"/>
    <w:semiHidden/>
    <w:unhideWhenUsed/>
    <w:rsid w:val="00DC35B5"/>
  </w:style>
  <w:style w:type="character" w:customStyle="1" w:styleId="BodyTextChar">
    <w:name w:val="Body Text Char"/>
    <w:basedOn w:val="DefaultParagraphFont"/>
    <w:link w:val="BodyText"/>
    <w:uiPriority w:val="99"/>
    <w:semiHidden/>
    <w:rsid w:val="00DC35B5"/>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552">
      <w:bodyDiv w:val="1"/>
      <w:marLeft w:val="0"/>
      <w:marRight w:val="0"/>
      <w:marTop w:val="0"/>
      <w:marBottom w:val="0"/>
      <w:divBdr>
        <w:top w:val="none" w:sz="0" w:space="0" w:color="auto"/>
        <w:left w:val="none" w:sz="0" w:space="0" w:color="auto"/>
        <w:bottom w:val="none" w:sz="0" w:space="0" w:color="auto"/>
        <w:right w:val="none" w:sz="0" w:space="0" w:color="auto"/>
      </w:divBdr>
    </w:div>
    <w:div w:id="15615649">
      <w:bodyDiv w:val="1"/>
      <w:marLeft w:val="0"/>
      <w:marRight w:val="0"/>
      <w:marTop w:val="0"/>
      <w:marBottom w:val="0"/>
      <w:divBdr>
        <w:top w:val="none" w:sz="0" w:space="0" w:color="auto"/>
        <w:left w:val="none" w:sz="0" w:space="0" w:color="auto"/>
        <w:bottom w:val="none" w:sz="0" w:space="0" w:color="auto"/>
        <w:right w:val="none" w:sz="0" w:space="0" w:color="auto"/>
      </w:divBdr>
    </w:div>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33425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141624276">
      <w:bodyDiv w:val="1"/>
      <w:marLeft w:val="0"/>
      <w:marRight w:val="0"/>
      <w:marTop w:val="0"/>
      <w:marBottom w:val="0"/>
      <w:divBdr>
        <w:top w:val="none" w:sz="0" w:space="0" w:color="auto"/>
        <w:left w:val="none" w:sz="0" w:space="0" w:color="auto"/>
        <w:bottom w:val="none" w:sz="0" w:space="0" w:color="auto"/>
        <w:right w:val="none" w:sz="0" w:space="0" w:color="auto"/>
      </w:divBdr>
    </w:div>
    <w:div w:id="155997329">
      <w:bodyDiv w:val="1"/>
      <w:marLeft w:val="0"/>
      <w:marRight w:val="0"/>
      <w:marTop w:val="0"/>
      <w:marBottom w:val="0"/>
      <w:divBdr>
        <w:top w:val="none" w:sz="0" w:space="0" w:color="auto"/>
        <w:left w:val="none" w:sz="0" w:space="0" w:color="auto"/>
        <w:bottom w:val="none" w:sz="0" w:space="0" w:color="auto"/>
        <w:right w:val="none" w:sz="0" w:space="0" w:color="auto"/>
      </w:divBdr>
    </w:div>
    <w:div w:id="166555692">
      <w:bodyDiv w:val="1"/>
      <w:marLeft w:val="0"/>
      <w:marRight w:val="0"/>
      <w:marTop w:val="0"/>
      <w:marBottom w:val="0"/>
      <w:divBdr>
        <w:top w:val="none" w:sz="0" w:space="0" w:color="auto"/>
        <w:left w:val="none" w:sz="0" w:space="0" w:color="auto"/>
        <w:bottom w:val="none" w:sz="0" w:space="0" w:color="auto"/>
        <w:right w:val="none" w:sz="0" w:space="0" w:color="auto"/>
      </w:divBdr>
    </w:div>
    <w:div w:id="212891934">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283541157">
      <w:bodyDiv w:val="1"/>
      <w:marLeft w:val="0"/>
      <w:marRight w:val="0"/>
      <w:marTop w:val="0"/>
      <w:marBottom w:val="0"/>
      <w:divBdr>
        <w:top w:val="none" w:sz="0" w:space="0" w:color="auto"/>
        <w:left w:val="none" w:sz="0" w:space="0" w:color="auto"/>
        <w:bottom w:val="none" w:sz="0" w:space="0" w:color="auto"/>
        <w:right w:val="none" w:sz="0" w:space="0" w:color="auto"/>
      </w:divBdr>
    </w:div>
    <w:div w:id="335545895">
      <w:bodyDiv w:val="1"/>
      <w:marLeft w:val="0"/>
      <w:marRight w:val="0"/>
      <w:marTop w:val="0"/>
      <w:marBottom w:val="0"/>
      <w:divBdr>
        <w:top w:val="none" w:sz="0" w:space="0" w:color="auto"/>
        <w:left w:val="none" w:sz="0" w:space="0" w:color="auto"/>
        <w:bottom w:val="none" w:sz="0" w:space="0" w:color="auto"/>
        <w:right w:val="none" w:sz="0" w:space="0" w:color="auto"/>
      </w:divBdr>
    </w:div>
    <w:div w:id="343478766">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54376834">
      <w:bodyDiv w:val="1"/>
      <w:marLeft w:val="0"/>
      <w:marRight w:val="0"/>
      <w:marTop w:val="0"/>
      <w:marBottom w:val="0"/>
      <w:divBdr>
        <w:top w:val="none" w:sz="0" w:space="0" w:color="auto"/>
        <w:left w:val="none" w:sz="0" w:space="0" w:color="auto"/>
        <w:bottom w:val="none" w:sz="0" w:space="0" w:color="auto"/>
        <w:right w:val="none" w:sz="0" w:space="0" w:color="auto"/>
      </w:divBdr>
    </w:div>
    <w:div w:id="45930288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67473548">
      <w:bodyDiv w:val="1"/>
      <w:marLeft w:val="0"/>
      <w:marRight w:val="0"/>
      <w:marTop w:val="0"/>
      <w:marBottom w:val="0"/>
      <w:divBdr>
        <w:top w:val="none" w:sz="0" w:space="0" w:color="auto"/>
        <w:left w:val="none" w:sz="0" w:space="0" w:color="auto"/>
        <w:bottom w:val="none" w:sz="0" w:space="0" w:color="auto"/>
        <w:right w:val="none" w:sz="0" w:space="0" w:color="auto"/>
      </w:divBdr>
    </w:div>
    <w:div w:id="473530106">
      <w:bodyDiv w:val="1"/>
      <w:marLeft w:val="0"/>
      <w:marRight w:val="0"/>
      <w:marTop w:val="0"/>
      <w:marBottom w:val="0"/>
      <w:divBdr>
        <w:top w:val="none" w:sz="0" w:space="0" w:color="auto"/>
        <w:left w:val="none" w:sz="0" w:space="0" w:color="auto"/>
        <w:bottom w:val="none" w:sz="0" w:space="0" w:color="auto"/>
        <w:right w:val="none" w:sz="0" w:space="0" w:color="auto"/>
      </w:divBdr>
    </w:div>
    <w:div w:id="495655129">
      <w:bodyDiv w:val="1"/>
      <w:marLeft w:val="0"/>
      <w:marRight w:val="0"/>
      <w:marTop w:val="0"/>
      <w:marBottom w:val="0"/>
      <w:divBdr>
        <w:top w:val="none" w:sz="0" w:space="0" w:color="auto"/>
        <w:left w:val="none" w:sz="0" w:space="0" w:color="auto"/>
        <w:bottom w:val="none" w:sz="0" w:space="0" w:color="auto"/>
        <w:right w:val="none" w:sz="0" w:space="0" w:color="auto"/>
      </w:divBdr>
    </w:div>
    <w:div w:id="603461688">
      <w:bodyDiv w:val="1"/>
      <w:marLeft w:val="0"/>
      <w:marRight w:val="0"/>
      <w:marTop w:val="0"/>
      <w:marBottom w:val="0"/>
      <w:divBdr>
        <w:top w:val="none" w:sz="0" w:space="0" w:color="auto"/>
        <w:left w:val="none" w:sz="0" w:space="0" w:color="auto"/>
        <w:bottom w:val="none" w:sz="0" w:space="0" w:color="auto"/>
        <w:right w:val="none" w:sz="0" w:space="0" w:color="auto"/>
      </w:divBdr>
    </w:div>
    <w:div w:id="611285938">
      <w:bodyDiv w:val="1"/>
      <w:marLeft w:val="0"/>
      <w:marRight w:val="0"/>
      <w:marTop w:val="0"/>
      <w:marBottom w:val="0"/>
      <w:divBdr>
        <w:top w:val="none" w:sz="0" w:space="0" w:color="auto"/>
        <w:left w:val="none" w:sz="0" w:space="0" w:color="auto"/>
        <w:bottom w:val="none" w:sz="0" w:space="0" w:color="auto"/>
        <w:right w:val="none" w:sz="0" w:space="0" w:color="auto"/>
      </w:divBdr>
    </w:div>
    <w:div w:id="686712057">
      <w:bodyDiv w:val="1"/>
      <w:marLeft w:val="0"/>
      <w:marRight w:val="0"/>
      <w:marTop w:val="0"/>
      <w:marBottom w:val="0"/>
      <w:divBdr>
        <w:top w:val="none" w:sz="0" w:space="0" w:color="auto"/>
        <w:left w:val="none" w:sz="0" w:space="0" w:color="auto"/>
        <w:bottom w:val="none" w:sz="0" w:space="0" w:color="auto"/>
        <w:right w:val="none" w:sz="0" w:space="0" w:color="auto"/>
      </w:divBdr>
    </w:div>
    <w:div w:id="708070069">
      <w:bodyDiv w:val="1"/>
      <w:marLeft w:val="0"/>
      <w:marRight w:val="0"/>
      <w:marTop w:val="0"/>
      <w:marBottom w:val="0"/>
      <w:divBdr>
        <w:top w:val="none" w:sz="0" w:space="0" w:color="auto"/>
        <w:left w:val="none" w:sz="0" w:space="0" w:color="auto"/>
        <w:bottom w:val="none" w:sz="0" w:space="0" w:color="auto"/>
        <w:right w:val="none" w:sz="0" w:space="0" w:color="auto"/>
      </w:divBdr>
    </w:div>
    <w:div w:id="720204214">
      <w:bodyDiv w:val="1"/>
      <w:marLeft w:val="0"/>
      <w:marRight w:val="0"/>
      <w:marTop w:val="0"/>
      <w:marBottom w:val="0"/>
      <w:divBdr>
        <w:top w:val="none" w:sz="0" w:space="0" w:color="auto"/>
        <w:left w:val="none" w:sz="0" w:space="0" w:color="auto"/>
        <w:bottom w:val="none" w:sz="0" w:space="0" w:color="auto"/>
        <w:right w:val="none" w:sz="0" w:space="0" w:color="auto"/>
      </w:divBdr>
    </w:div>
    <w:div w:id="732234890">
      <w:bodyDiv w:val="1"/>
      <w:marLeft w:val="0"/>
      <w:marRight w:val="0"/>
      <w:marTop w:val="0"/>
      <w:marBottom w:val="0"/>
      <w:divBdr>
        <w:top w:val="none" w:sz="0" w:space="0" w:color="auto"/>
        <w:left w:val="none" w:sz="0" w:space="0" w:color="auto"/>
        <w:bottom w:val="none" w:sz="0" w:space="0" w:color="auto"/>
        <w:right w:val="none" w:sz="0" w:space="0" w:color="auto"/>
      </w:divBdr>
    </w:div>
    <w:div w:id="733158122">
      <w:bodyDiv w:val="1"/>
      <w:marLeft w:val="0"/>
      <w:marRight w:val="0"/>
      <w:marTop w:val="0"/>
      <w:marBottom w:val="0"/>
      <w:divBdr>
        <w:top w:val="none" w:sz="0" w:space="0" w:color="auto"/>
        <w:left w:val="none" w:sz="0" w:space="0" w:color="auto"/>
        <w:bottom w:val="none" w:sz="0" w:space="0" w:color="auto"/>
        <w:right w:val="none" w:sz="0" w:space="0" w:color="auto"/>
      </w:divBdr>
    </w:div>
    <w:div w:id="737292657">
      <w:bodyDiv w:val="1"/>
      <w:marLeft w:val="0"/>
      <w:marRight w:val="0"/>
      <w:marTop w:val="0"/>
      <w:marBottom w:val="0"/>
      <w:divBdr>
        <w:top w:val="none" w:sz="0" w:space="0" w:color="auto"/>
        <w:left w:val="none" w:sz="0" w:space="0" w:color="auto"/>
        <w:bottom w:val="none" w:sz="0" w:space="0" w:color="auto"/>
        <w:right w:val="none" w:sz="0" w:space="0" w:color="auto"/>
      </w:divBdr>
    </w:div>
    <w:div w:id="782963391">
      <w:bodyDiv w:val="1"/>
      <w:marLeft w:val="0"/>
      <w:marRight w:val="0"/>
      <w:marTop w:val="0"/>
      <w:marBottom w:val="0"/>
      <w:divBdr>
        <w:top w:val="none" w:sz="0" w:space="0" w:color="auto"/>
        <w:left w:val="none" w:sz="0" w:space="0" w:color="auto"/>
        <w:bottom w:val="none" w:sz="0" w:space="0" w:color="auto"/>
        <w:right w:val="none" w:sz="0" w:space="0" w:color="auto"/>
      </w:divBdr>
    </w:div>
    <w:div w:id="796293286">
      <w:bodyDiv w:val="1"/>
      <w:marLeft w:val="0"/>
      <w:marRight w:val="0"/>
      <w:marTop w:val="0"/>
      <w:marBottom w:val="0"/>
      <w:divBdr>
        <w:top w:val="none" w:sz="0" w:space="0" w:color="auto"/>
        <w:left w:val="none" w:sz="0" w:space="0" w:color="auto"/>
        <w:bottom w:val="none" w:sz="0" w:space="0" w:color="auto"/>
        <w:right w:val="none" w:sz="0" w:space="0" w:color="auto"/>
      </w:divBdr>
    </w:div>
    <w:div w:id="865800525">
      <w:bodyDiv w:val="1"/>
      <w:marLeft w:val="0"/>
      <w:marRight w:val="0"/>
      <w:marTop w:val="0"/>
      <w:marBottom w:val="0"/>
      <w:divBdr>
        <w:top w:val="none" w:sz="0" w:space="0" w:color="auto"/>
        <w:left w:val="none" w:sz="0" w:space="0" w:color="auto"/>
        <w:bottom w:val="none" w:sz="0" w:space="0" w:color="auto"/>
        <w:right w:val="none" w:sz="0" w:space="0" w:color="auto"/>
      </w:divBdr>
    </w:div>
    <w:div w:id="874200465">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68126438">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58698955">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65181407">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35299774">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169642386">
      <w:bodyDiv w:val="1"/>
      <w:marLeft w:val="0"/>
      <w:marRight w:val="0"/>
      <w:marTop w:val="0"/>
      <w:marBottom w:val="0"/>
      <w:divBdr>
        <w:top w:val="none" w:sz="0" w:space="0" w:color="auto"/>
        <w:left w:val="none" w:sz="0" w:space="0" w:color="auto"/>
        <w:bottom w:val="none" w:sz="0" w:space="0" w:color="auto"/>
        <w:right w:val="none" w:sz="0" w:space="0" w:color="auto"/>
      </w:divBdr>
    </w:div>
    <w:div w:id="1203325061">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29849652">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9481238">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359741960">
      <w:bodyDiv w:val="1"/>
      <w:marLeft w:val="0"/>
      <w:marRight w:val="0"/>
      <w:marTop w:val="0"/>
      <w:marBottom w:val="0"/>
      <w:divBdr>
        <w:top w:val="none" w:sz="0" w:space="0" w:color="auto"/>
        <w:left w:val="none" w:sz="0" w:space="0" w:color="auto"/>
        <w:bottom w:val="none" w:sz="0" w:space="0" w:color="auto"/>
        <w:right w:val="none" w:sz="0" w:space="0" w:color="auto"/>
      </w:divBdr>
    </w:div>
    <w:div w:id="1372651919">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53327776">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492328763">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6107053">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35347149">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768228392">
      <w:bodyDiv w:val="1"/>
      <w:marLeft w:val="0"/>
      <w:marRight w:val="0"/>
      <w:marTop w:val="0"/>
      <w:marBottom w:val="0"/>
      <w:divBdr>
        <w:top w:val="none" w:sz="0" w:space="0" w:color="auto"/>
        <w:left w:val="none" w:sz="0" w:space="0" w:color="auto"/>
        <w:bottom w:val="none" w:sz="0" w:space="0" w:color="auto"/>
        <w:right w:val="none" w:sz="0" w:space="0" w:color="auto"/>
      </w:divBdr>
    </w:div>
    <w:div w:id="1769539353">
      <w:bodyDiv w:val="1"/>
      <w:marLeft w:val="0"/>
      <w:marRight w:val="0"/>
      <w:marTop w:val="0"/>
      <w:marBottom w:val="0"/>
      <w:divBdr>
        <w:top w:val="none" w:sz="0" w:space="0" w:color="auto"/>
        <w:left w:val="none" w:sz="0" w:space="0" w:color="auto"/>
        <w:bottom w:val="none" w:sz="0" w:space="0" w:color="auto"/>
        <w:right w:val="none" w:sz="0" w:space="0" w:color="auto"/>
      </w:divBdr>
    </w:div>
    <w:div w:id="1795366612">
      <w:bodyDiv w:val="1"/>
      <w:marLeft w:val="0"/>
      <w:marRight w:val="0"/>
      <w:marTop w:val="0"/>
      <w:marBottom w:val="0"/>
      <w:divBdr>
        <w:top w:val="none" w:sz="0" w:space="0" w:color="auto"/>
        <w:left w:val="none" w:sz="0" w:space="0" w:color="auto"/>
        <w:bottom w:val="none" w:sz="0" w:space="0" w:color="auto"/>
        <w:right w:val="none" w:sz="0" w:space="0" w:color="auto"/>
      </w:divBdr>
    </w:div>
    <w:div w:id="1797984078">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1988901978">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54843886">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89038589">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5890</TotalTime>
  <Pages>5</Pages>
  <Words>2062</Words>
  <Characters>11756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Chethan R</cp:lastModifiedBy>
  <cp:revision>1470</cp:revision>
  <dcterms:created xsi:type="dcterms:W3CDTF">2023-05-14T09:22:00Z</dcterms:created>
  <dcterms:modified xsi:type="dcterms:W3CDTF">2025-08-15T21:05:00Z</dcterms:modified>
</cp:coreProperties>
</file>