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0D00" w14:textId="4D95948B" w:rsidR="00504694" w:rsidRPr="00DD3077" w:rsidRDefault="00504694" w:rsidP="00504694">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22</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Pr>
          <w:rFonts w:ascii="Arial" w:eastAsia="宋体" w:hAnsi="Arial"/>
          <w:b/>
          <w:sz w:val="28"/>
          <w:szCs w:val="28"/>
          <w:lang w:eastAsia="zh-CN"/>
        </w:rPr>
        <w:t>0</w:t>
      </w:r>
      <w:r w:rsidR="00524D78">
        <w:rPr>
          <w:rFonts w:ascii="Arial" w:eastAsia="宋体" w:hAnsi="Arial"/>
          <w:b/>
          <w:sz w:val="28"/>
          <w:szCs w:val="28"/>
          <w:lang w:eastAsia="zh-CN"/>
        </w:rPr>
        <w:t>5738</w:t>
      </w:r>
    </w:p>
    <w:p w14:paraId="52FF93E3" w14:textId="77777777" w:rsidR="00504694" w:rsidRDefault="00504694" w:rsidP="00504694">
      <w:pPr>
        <w:pStyle w:val="Header"/>
        <w:tabs>
          <w:tab w:val="clear" w:pos="4536"/>
          <w:tab w:val="left" w:pos="1800"/>
        </w:tabs>
        <w:ind w:left="1800" w:hanging="1800"/>
        <w:rPr>
          <w:rFonts w:eastAsiaTheme="minorEastAsia" w:cs="Arial"/>
          <w:bCs/>
          <w:sz w:val="28"/>
          <w:lang w:eastAsia="zh-CN"/>
        </w:rPr>
      </w:pPr>
      <w:r w:rsidRPr="003543AE">
        <w:rPr>
          <w:rFonts w:eastAsiaTheme="minorEastAsia" w:cs="Arial"/>
          <w:bCs/>
          <w:sz w:val="28"/>
          <w:lang w:eastAsia="zh-CN"/>
        </w:rPr>
        <w:t>Bengaluru</w:t>
      </w:r>
      <w:r w:rsidRPr="003046A7">
        <w:rPr>
          <w:rFonts w:eastAsiaTheme="minorEastAsia" w:cs="Arial"/>
          <w:bCs/>
          <w:sz w:val="28"/>
          <w:lang w:eastAsia="zh-CN"/>
        </w:rPr>
        <w:t xml:space="preserve">, </w:t>
      </w:r>
      <w:r>
        <w:rPr>
          <w:rFonts w:eastAsiaTheme="minorEastAsia" w:cs="Arial" w:hint="eastAsia"/>
          <w:bCs/>
          <w:sz w:val="28"/>
          <w:lang w:eastAsia="zh-CN"/>
        </w:rPr>
        <w:t>India</w:t>
      </w:r>
      <w:r w:rsidRPr="003046A7">
        <w:rPr>
          <w:rFonts w:eastAsiaTheme="minorEastAsia" w:cs="Arial"/>
          <w:bCs/>
          <w:sz w:val="28"/>
          <w:lang w:eastAsia="zh-CN"/>
        </w:rPr>
        <w:t xml:space="preserve">, </w:t>
      </w:r>
      <w:r>
        <w:rPr>
          <w:rFonts w:eastAsiaTheme="minorEastAsia" w:cs="Arial" w:hint="eastAsia"/>
          <w:bCs/>
          <w:sz w:val="28"/>
          <w:lang w:eastAsia="zh-CN"/>
        </w:rPr>
        <w:t>August 25</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29</w:t>
      </w:r>
      <w:r>
        <w:rPr>
          <w:rFonts w:eastAsiaTheme="minorEastAsia" w:cs="Arial" w:hint="eastAsia"/>
          <w:bCs/>
          <w:sz w:val="28"/>
          <w:vertAlign w:val="superscript"/>
          <w:lang w:eastAsia="zh-CN"/>
        </w:rPr>
        <w:t>th</w:t>
      </w:r>
      <w:r w:rsidRPr="003046A7">
        <w:rPr>
          <w:rFonts w:eastAsiaTheme="minorEastAsia" w:cs="Arial"/>
          <w:bCs/>
          <w:sz w:val="28"/>
          <w:lang w:eastAsia="zh-CN"/>
        </w:rPr>
        <w:t>, 2025</w:t>
      </w:r>
    </w:p>
    <w:p w14:paraId="0691FDD7" w14:textId="77777777" w:rsidR="003046A7" w:rsidRPr="00504694" w:rsidRDefault="003046A7" w:rsidP="00E470F5">
      <w:pPr>
        <w:pStyle w:val="Header"/>
        <w:tabs>
          <w:tab w:val="clear" w:pos="4536"/>
          <w:tab w:val="left" w:pos="1800"/>
        </w:tabs>
        <w:ind w:left="1800" w:hanging="1800"/>
        <w:rPr>
          <w:rFonts w:eastAsia="宋体"/>
          <w:sz w:val="22"/>
          <w:lang w:eastAsia="zh-CN"/>
        </w:rPr>
      </w:pPr>
    </w:p>
    <w:p w14:paraId="2B08C5DA" w14:textId="77777777"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14:paraId="0A9B15E3" w14:textId="77777777"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7AA36932" w14:textId="2F2D4D86"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EA4112">
        <w:rPr>
          <w:rFonts w:eastAsia="宋体"/>
          <w:sz w:val="24"/>
          <w:lang w:eastAsia="zh-CN"/>
        </w:rPr>
        <w:t>8</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3A432A2C"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E7DE7">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F231D7">
        <w:rPr>
          <w:rFonts w:eastAsia="宋体"/>
          <w:lang w:eastAsia="zh-CN"/>
        </w:rPr>
        <w:t>are</w:t>
      </w:r>
      <w:r w:rsidR="0067012F">
        <w:rPr>
          <w:rFonts w:eastAsia="宋体"/>
          <w:lang w:eastAsia="zh-CN"/>
        </w:rPr>
        <w:t xml:space="preserve">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txbxContent>
                </v:textbox>
                <w10:anchorlock/>
              </v:shape>
            </w:pict>
          </mc:Fallback>
        </mc:AlternateContent>
      </w:r>
    </w:p>
    <w:p w14:paraId="4BF8AF65" w14:textId="77777777"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sTRP and UL mTRP scenario</w:t>
      </w:r>
      <w:r>
        <w:rPr>
          <w:rFonts w:eastAsia="宋体"/>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(HetNets) is a strategy to improve user experience by combining macro</w:t>
      </w:r>
      <w:r w:rsidR="0056017B">
        <w:rPr>
          <w:lang w:eastAsia="zh-CN"/>
        </w:rPr>
        <w:t xml:space="preserve"> </w:t>
      </w:r>
      <w:r w:rsidRPr="00BB6B77">
        <w:rPr>
          <w:lang w:eastAsia="zh-CN"/>
        </w:rPr>
        <w:t>cells with smaller cells (e.g., micro, pico, and femtocells). This setup caters to the differing needs of users and helps improve overall network coverage and capacity, particularly for uplink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62.8pt" o:ole="">
            <v:imagedata r:id="rId9" o:title=""/>
          </v:shape>
          <o:OLEObject Type="Embed" ProgID="Visio.Drawing.15" ShapeID="_x0000_i1025" DrawAspect="Content" ObjectID="_1816690022"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58065990"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 xml:space="preserve">this agenda item </w:t>
      </w:r>
      <w:r w:rsidR="004D0CDA">
        <w:rPr>
          <w:lang w:eastAsia="zh-CN"/>
        </w:rPr>
        <w:t>were</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DL sTRP/UL mTRP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Intra-band &amp; intra DU &amp; non-co-located mTRP</w:t>
      </w:r>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7A726687" w14:textId="78B4C3EC" w:rsidR="00122ED7" w:rsidRPr="006B539C" w:rsidRDefault="00490451" w:rsidP="00122ED7">
      <w:pPr>
        <w:pStyle w:val="Heading1"/>
        <w:spacing w:after="120"/>
        <w:ind w:left="795" w:hangingChars="283" w:hanging="795"/>
        <w:rPr>
          <w:rFonts w:ascii="Arial" w:eastAsia="宋体" w:hAnsi="Arial"/>
          <w:lang w:eastAsia="zh-CN"/>
        </w:rPr>
      </w:pPr>
      <w:r>
        <w:rPr>
          <w:rFonts w:ascii="Arial" w:eastAsia="宋体" w:hAnsi="Arial" w:hint="eastAsia"/>
          <w:lang w:eastAsia="zh-CN"/>
        </w:rPr>
        <w:t xml:space="preserve">Remaining issues </w:t>
      </w:r>
    </w:p>
    <w:p w14:paraId="6FA61D2D" w14:textId="1C0BD783" w:rsidR="00E71AE3" w:rsidRDefault="003B6A2D" w:rsidP="00122ED7">
      <w:pPr>
        <w:pStyle w:val="BodyText"/>
        <w:rPr>
          <w:rFonts w:eastAsiaTheme="minorEastAsia"/>
          <w:lang w:val="en-GB" w:eastAsia="zh-CN"/>
        </w:rPr>
      </w:pPr>
      <w:r>
        <w:rPr>
          <w:rFonts w:eastAsiaTheme="minorEastAsia" w:hint="eastAsia"/>
          <w:lang w:val="en-GB" w:eastAsia="zh-CN"/>
        </w:rPr>
        <w:t>For</w:t>
      </w:r>
      <w:r w:rsidR="008E5E6F">
        <w:rPr>
          <w:lang w:val="en-GB" w:eastAsia="zh-CN"/>
        </w:rPr>
        <w:t xml:space="preserve"> the asymmetric deployment scenario, </w:t>
      </w:r>
      <w:r>
        <w:rPr>
          <w:rFonts w:eastAsiaTheme="minorEastAsia" w:hint="eastAsia"/>
          <w:lang w:val="en-GB" w:eastAsia="zh-CN"/>
        </w:rPr>
        <w:t xml:space="preserve">we believe most of essential issues have been addressed </w:t>
      </w:r>
      <w:r>
        <w:rPr>
          <w:rFonts w:eastAsiaTheme="minorEastAsia"/>
          <w:lang w:val="en-GB" w:eastAsia="zh-CN"/>
        </w:rPr>
        <w:t>until</w:t>
      </w:r>
      <w:r>
        <w:rPr>
          <w:rFonts w:eastAsiaTheme="minorEastAsia" w:hint="eastAsia"/>
          <w:lang w:val="en-GB" w:eastAsia="zh-CN"/>
        </w:rPr>
        <w:t xml:space="preserve"> RAN1#120bis. </w:t>
      </w:r>
      <w:r w:rsidR="00E71AE3">
        <w:rPr>
          <w:rFonts w:eastAsiaTheme="minorEastAsia" w:hint="eastAsia"/>
          <w:lang w:val="en-GB" w:eastAsia="zh-CN"/>
        </w:rPr>
        <w:t xml:space="preserve">In this section, we present remaining issue(s) for certain </w:t>
      </w:r>
      <w:r w:rsidR="00830712">
        <w:rPr>
          <w:rFonts w:eastAsiaTheme="minorEastAsia"/>
          <w:lang w:val="en-GB" w:eastAsia="zh-CN"/>
        </w:rPr>
        <w:t>scenario</w:t>
      </w:r>
      <w:r w:rsidR="00E71AE3">
        <w:rPr>
          <w:rFonts w:eastAsiaTheme="minorEastAsia" w:hint="eastAsia"/>
          <w:lang w:val="en-GB" w:eastAsia="zh-CN"/>
        </w:rPr>
        <w:t xml:space="preserve">. </w:t>
      </w:r>
    </w:p>
    <w:p w14:paraId="11D45576" w14:textId="465C5B71" w:rsidR="008E5E6F" w:rsidRDefault="00E71AE3" w:rsidP="00122ED7">
      <w:pPr>
        <w:pStyle w:val="BodyText"/>
        <w:rPr>
          <w:rFonts w:eastAsia="等线"/>
          <w:lang w:val="en-CA" w:eastAsia="zh-CN"/>
        </w:rPr>
      </w:pPr>
      <w:r>
        <w:rPr>
          <w:rFonts w:eastAsiaTheme="minorEastAsia" w:hint="eastAsia"/>
          <w:lang w:val="en-GB" w:eastAsia="zh-CN"/>
        </w:rPr>
        <w:t xml:space="preserve">For </w:t>
      </w:r>
      <w:r w:rsidR="00830712">
        <w:rPr>
          <w:rFonts w:eastAsiaTheme="minorEastAsia" w:hint="eastAsia"/>
          <w:lang w:val="en-GB" w:eastAsia="zh-CN"/>
        </w:rPr>
        <w:t xml:space="preserve">UE configured with Rel-19 2 TAGs, </w:t>
      </w:r>
      <w:r w:rsidR="000C49B2">
        <w:rPr>
          <w:rFonts w:eastAsiaTheme="minorEastAsia" w:hint="eastAsia"/>
          <w:lang w:val="en-GB" w:eastAsia="zh-CN"/>
        </w:rPr>
        <w:t xml:space="preserve">UE needs to </w:t>
      </w:r>
      <w:r w:rsidR="0091666A">
        <w:rPr>
          <w:rFonts w:eastAsiaTheme="minorEastAsia" w:hint="eastAsia"/>
          <w:lang w:val="en-GB" w:eastAsia="zh-CN"/>
        </w:rPr>
        <w:t xml:space="preserve">send PDCCH-order PRACH to one particular TRP to obtain </w:t>
      </w:r>
      <w:r w:rsidR="0012009C">
        <w:rPr>
          <w:rFonts w:eastAsiaTheme="minorEastAsia" w:hint="eastAsia"/>
          <w:lang w:val="en-GB" w:eastAsia="zh-CN"/>
        </w:rPr>
        <w:t xml:space="preserve">its corresponding </w:t>
      </w:r>
      <w:r w:rsidR="0091666A">
        <w:rPr>
          <w:rFonts w:eastAsiaTheme="minorEastAsia" w:hint="eastAsia"/>
          <w:lang w:val="en-GB" w:eastAsia="zh-CN"/>
        </w:rPr>
        <w:t xml:space="preserve">TA value. But </w:t>
      </w:r>
      <w:r w:rsidR="00222E60">
        <w:rPr>
          <w:rFonts w:eastAsia="等线" w:hint="eastAsia"/>
          <w:lang w:val="en-CA" w:eastAsia="zh-CN"/>
        </w:rPr>
        <w:t>if</w:t>
      </w:r>
      <w:r w:rsidR="00830712">
        <w:rPr>
          <w:rFonts w:eastAsia="等线"/>
          <w:lang w:val="en-CA" w:eastAsia="zh-CN"/>
        </w:rPr>
        <w:t xml:space="preserve"> the UE is not configured with PL offset in joint/UL TCI state(s)</w:t>
      </w:r>
      <w:r w:rsidR="00830712">
        <w:rPr>
          <w:rFonts w:eastAsia="等线" w:hint="eastAsia"/>
          <w:lang w:val="en-CA" w:eastAsia="zh-CN"/>
        </w:rPr>
        <w:t xml:space="preserve">, </w:t>
      </w:r>
      <w:r w:rsidR="00222E60">
        <w:rPr>
          <w:rFonts w:eastAsia="等线" w:hint="eastAsia"/>
          <w:lang w:val="en-CA" w:eastAsia="zh-CN"/>
        </w:rPr>
        <w:t xml:space="preserve">it is not clear to UE which PL RS to be applied for PDCCH-order </w:t>
      </w:r>
      <w:r w:rsidR="000C49B2">
        <w:rPr>
          <w:rFonts w:eastAsia="等线" w:hint="eastAsia"/>
          <w:lang w:val="en-CA" w:eastAsia="zh-CN"/>
        </w:rPr>
        <w:t xml:space="preserve">PRACH. </w:t>
      </w:r>
      <w:r w:rsidR="0012009C">
        <w:rPr>
          <w:rFonts w:eastAsia="等线" w:hint="eastAsia"/>
          <w:lang w:val="en-CA" w:eastAsia="zh-CN"/>
        </w:rPr>
        <w:t>A few of options are still available</w:t>
      </w:r>
      <w:r w:rsidR="00416CF0">
        <w:rPr>
          <w:rFonts w:eastAsia="等线" w:hint="eastAsia"/>
          <w:lang w:val="en-CA" w:eastAsia="zh-CN"/>
        </w:rPr>
        <w:t xml:space="preserve">, e.g. obtaining PL RS from the DMRS of PDCCH-order </w:t>
      </w:r>
      <w:r w:rsidR="007B2D32">
        <w:rPr>
          <w:rFonts w:eastAsia="等线" w:hint="eastAsia"/>
          <w:lang w:val="en-CA" w:eastAsia="zh-CN"/>
        </w:rPr>
        <w:t xml:space="preserve">or from the SSB indicated in the PDCCH order. </w:t>
      </w:r>
    </w:p>
    <w:p w14:paraId="315ACEE9" w14:textId="62B5FB23" w:rsidR="007B2D32" w:rsidRDefault="007B2D32" w:rsidP="00122ED7">
      <w:pPr>
        <w:pStyle w:val="BodyText"/>
        <w:rPr>
          <w:rFonts w:eastAsia="等线"/>
          <w:lang w:val="en-CA" w:eastAsia="zh-CN"/>
        </w:rPr>
      </w:pPr>
      <w:r>
        <w:rPr>
          <w:rFonts w:eastAsia="等线" w:hint="eastAsia"/>
          <w:lang w:val="en-CA" w:eastAsia="zh-CN"/>
        </w:rPr>
        <w:t xml:space="preserve">To address this issue, we may borrow the solution </w:t>
      </w:r>
      <w:r w:rsidR="00AE3B83">
        <w:rPr>
          <w:rFonts w:eastAsia="等线" w:hint="eastAsia"/>
          <w:lang w:val="en-CA" w:eastAsia="zh-CN"/>
        </w:rPr>
        <w:t xml:space="preserve">(by reusing the field of </w:t>
      </w:r>
      <w:r w:rsidR="000B7E2D">
        <w:rPr>
          <w:rFonts w:eastAsia="等线" w:hint="eastAsia"/>
          <w:lang w:val="en-CA" w:eastAsia="zh-CN"/>
        </w:rPr>
        <w:t>PRACH association indicator in PDCCH-order</w:t>
      </w:r>
      <w:r w:rsidR="00AE3B83">
        <w:rPr>
          <w:rFonts w:eastAsia="等线" w:hint="eastAsia"/>
          <w:lang w:val="en-CA" w:eastAsia="zh-CN"/>
        </w:rPr>
        <w:t xml:space="preserve">) </w:t>
      </w:r>
      <w:r>
        <w:rPr>
          <w:rFonts w:eastAsia="等线" w:hint="eastAsia"/>
          <w:lang w:val="en-CA" w:eastAsia="zh-CN"/>
        </w:rPr>
        <w:t xml:space="preserve">from Rel-18 2 TA enhancement for M-DCI MTRP. The only difference </w:t>
      </w:r>
      <w:r w:rsidR="00AE3B83">
        <w:rPr>
          <w:rFonts w:eastAsia="等线" w:hint="eastAsia"/>
          <w:lang w:val="en-CA" w:eastAsia="zh-CN"/>
        </w:rPr>
        <w:t xml:space="preserve">lies in the fact that in Rel-19 2 TA, the </w:t>
      </w:r>
      <w:r w:rsidR="00AE3B83">
        <w:rPr>
          <w:rFonts w:eastAsia="等线"/>
          <w:lang w:val="en-CA" w:eastAsia="zh-CN"/>
        </w:rPr>
        <w:t>restriction</w:t>
      </w:r>
      <w:r w:rsidR="00AE3B83">
        <w:rPr>
          <w:rFonts w:eastAsia="等线" w:hint="eastAsia"/>
          <w:lang w:val="en-CA" w:eastAsia="zh-CN"/>
        </w:rPr>
        <w:t xml:space="preserve"> of M-DCI MTRP, i.e. the RRC parameter </w:t>
      </w:r>
      <w:r w:rsidR="00AE3B83" w:rsidRPr="00AE3B83">
        <w:rPr>
          <w:rFonts w:eastAsia="等线" w:hint="eastAsia"/>
          <w:i/>
          <w:iCs/>
          <w:lang w:val="en-CA" w:eastAsia="zh-CN"/>
        </w:rPr>
        <w:t>CORESETPoolIndex</w:t>
      </w:r>
      <w:r w:rsidR="00AE3B83">
        <w:rPr>
          <w:rFonts w:eastAsia="等线" w:hint="eastAsia"/>
          <w:lang w:val="en-CA" w:eastAsia="zh-CN"/>
        </w:rPr>
        <w:t xml:space="preserve"> can be removed. </w:t>
      </w:r>
      <w:r>
        <w:rPr>
          <w:rFonts w:eastAsia="等线" w:hint="eastAsia"/>
          <w:lang w:val="en-CA" w:eastAsia="zh-CN"/>
        </w:rPr>
        <w:t xml:space="preserve"> </w:t>
      </w:r>
    </w:p>
    <w:p w14:paraId="44A8F3E4" w14:textId="102558DF" w:rsidR="000B7E2D" w:rsidRDefault="000B7E2D" w:rsidP="00122ED7">
      <w:pPr>
        <w:pStyle w:val="000proposal"/>
        <w:numPr>
          <w:ilvl w:val="0"/>
          <w:numId w:val="44"/>
        </w:numPr>
        <w:tabs>
          <w:tab w:val="left" w:pos="1134"/>
        </w:tabs>
        <w:adjustRightInd w:val="0"/>
        <w:snapToGrid w:val="0"/>
        <w:ind w:left="0" w:firstLine="0"/>
        <w:rPr>
          <w:rFonts w:ascii="Arial" w:hAnsi="Arial" w:cs="Arial"/>
          <w:szCs w:val="20"/>
          <w:lang w:val="x-none"/>
        </w:rPr>
      </w:pPr>
      <w:r>
        <w:rPr>
          <w:rFonts w:ascii="Arial" w:hAnsi="Arial" w:cs="Arial" w:hint="eastAsia"/>
          <w:szCs w:val="20"/>
          <w:lang w:val="x-none"/>
        </w:rPr>
        <w:t xml:space="preserve">For </w:t>
      </w:r>
      <w:r w:rsidR="009A1DC2">
        <w:rPr>
          <w:rFonts w:ascii="Arial" w:hAnsi="Arial" w:cs="Arial" w:hint="eastAsia"/>
          <w:szCs w:val="20"/>
          <w:lang w:val="x-none"/>
        </w:rPr>
        <w:t xml:space="preserve">UE configured with Rel-19 2 TAGs, when the UE is not configured with PL offset in joint/UL TCI state(s), support to reuse the DCI field </w:t>
      </w:r>
      <w:r w:rsidR="009A1DC2">
        <w:rPr>
          <w:rFonts w:ascii="Arial" w:hAnsi="Arial" w:cs="Arial"/>
          <w:szCs w:val="20"/>
          <w:lang w:val="x-none"/>
        </w:rPr>
        <w:t>‘</w:t>
      </w:r>
      <w:r w:rsidR="009A1DC2">
        <w:rPr>
          <w:rFonts w:ascii="Arial" w:hAnsi="Arial" w:cs="Arial" w:hint="eastAsia"/>
          <w:szCs w:val="20"/>
          <w:lang w:val="x-none"/>
        </w:rPr>
        <w:t>PRACH association indicator</w:t>
      </w:r>
      <w:r w:rsidR="009A1DC2">
        <w:rPr>
          <w:rFonts w:ascii="Arial" w:hAnsi="Arial" w:cs="Arial"/>
          <w:szCs w:val="20"/>
          <w:lang w:val="x-none"/>
        </w:rPr>
        <w:t>’</w:t>
      </w:r>
      <w:r w:rsidR="009A1DC2">
        <w:rPr>
          <w:rFonts w:ascii="Arial" w:hAnsi="Arial" w:cs="Arial" w:hint="eastAsia"/>
          <w:szCs w:val="20"/>
          <w:lang w:val="x-none"/>
        </w:rPr>
        <w:t xml:space="preserve"> to indicate PL RS for </w:t>
      </w:r>
      <w:r w:rsidR="00AF6FEC">
        <w:rPr>
          <w:rFonts w:ascii="Arial" w:hAnsi="Arial" w:cs="Arial" w:hint="eastAsia"/>
          <w:szCs w:val="20"/>
          <w:lang w:val="x-none"/>
        </w:rPr>
        <w:t>PDCCH-order PRACH</w:t>
      </w:r>
      <w:r w:rsidRPr="0051241F">
        <w:rPr>
          <w:rFonts w:ascii="Arial" w:hAnsi="Arial" w:cs="Arial"/>
          <w:szCs w:val="20"/>
          <w:lang w:val="x-none"/>
        </w:rPr>
        <w:t>.</w:t>
      </w:r>
    </w:p>
    <w:p w14:paraId="214E4D08" w14:textId="2E5F0595" w:rsidR="00327F81" w:rsidRDefault="00327F81" w:rsidP="00327F81">
      <w:pPr>
        <w:pStyle w:val="BodyText"/>
        <w:rPr>
          <w:rFonts w:eastAsia="等线"/>
          <w:lang w:val="en-CA" w:eastAsia="zh-CN"/>
        </w:rPr>
      </w:pPr>
      <w:r>
        <w:rPr>
          <w:rFonts w:eastAsiaTheme="minorEastAsia"/>
          <w:lang w:val="en-GB" w:eastAsia="zh-CN"/>
        </w:rPr>
        <w:t>The next issue for UL TRP can be introduced by BFR operation</w:t>
      </w:r>
      <w:r w:rsidR="00973C41">
        <w:rPr>
          <w:rFonts w:eastAsiaTheme="minorEastAsia"/>
          <w:lang w:val="en-GB" w:eastAsia="zh-CN"/>
        </w:rPr>
        <w:t xml:space="preserve"> of DL/UL TRP</w:t>
      </w:r>
      <w:r>
        <w:rPr>
          <w:rFonts w:eastAsia="等线" w:hint="eastAsia"/>
          <w:lang w:val="en-CA" w:eastAsia="zh-CN"/>
        </w:rPr>
        <w:t>.</w:t>
      </w:r>
      <w:r>
        <w:rPr>
          <w:rFonts w:eastAsia="等线"/>
          <w:lang w:val="en-CA" w:eastAsia="zh-CN"/>
        </w:rPr>
        <w:t xml:space="preserve"> For instance, </w:t>
      </w:r>
      <w:r w:rsidR="00C97341">
        <w:rPr>
          <w:rFonts w:eastAsia="等线"/>
          <w:lang w:val="en-CA" w:eastAsia="zh-CN"/>
        </w:rPr>
        <w:t>if a UE finds the beam failure of DL/UL TRP and sends BFRQ to NW</w:t>
      </w:r>
      <w:r w:rsidR="006D41E2">
        <w:rPr>
          <w:rFonts w:eastAsia="等线"/>
          <w:lang w:val="en-CA" w:eastAsia="zh-CN"/>
        </w:rPr>
        <w:t>, the BF</w:t>
      </w:r>
      <w:r w:rsidR="00225784">
        <w:rPr>
          <w:rFonts w:eastAsia="等线"/>
          <w:lang w:val="en-CA" w:eastAsia="zh-CN"/>
        </w:rPr>
        <w:t>R procedure is successfully completed. According to the UE behavior</w:t>
      </w:r>
      <w:r w:rsidR="00753308">
        <w:rPr>
          <w:rFonts w:eastAsia="等线"/>
          <w:lang w:val="en-CA" w:eastAsia="zh-CN"/>
        </w:rPr>
        <w:t xml:space="preserve"> in current specification, </w:t>
      </w:r>
      <w:r w:rsidR="00973C41">
        <w:rPr>
          <w:rFonts w:eastAsia="等线"/>
          <w:lang w:val="en-CA" w:eastAsia="zh-CN"/>
        </w:rPr>
        <w:t xml:space="preserve">the UE applies the power control parameters, including PL RS, </w:t>
      </w:r>
      <w:r w:rsidR="00ED3EE7">
        <w:rPr>
          <w:rFonts w:eastAsia="等线"/>
          <w:lang w:val="en-CA" w:eastAsia="zh-CN"/>
        </w:rPr>
        <w:t xml:space="preserve">P0, alpha and CLPC associated with </w:t>
      </w:r>
      <w:r w:rsidR="000E31EC">
        <w:rPr>
          <w:rFonts w:eastAsia="等线"/>
          <w:lang w:val="en-CA" w:eastAsia="zh-CN"/>
        </w:rPr>
        <w:t xml:space="preserve">the </w:t>
      </w:r>
      <w:r w:rsidR="00ED3EE7">
        <w:rPr>
          <w:rFonts w:eastAsia="等线"/>
          <w:lang w:val="en-CA" w:eastAsia="zh-CN"/>
        </w:rPr>
        <w:t xml:space="preserve">indicated TCI state of new beam. However, for UL TRP, </w:t>
      </w:r>
      <w:r w:rsidR="000E31EC">
        <w:rPr>
          <w:rFonts w:eastAsia="等线"/>
          <w:lang w:val="en-CA" w:eastAsia="zh-CN"/>
        </w:rPr>
        <w:t xml:space="preserve">the UE should also apply the PL offset associated with the indicated TCI state too. Therefore, the UL power control contains the full package. </w:t>
      </w:r>
      <w:r w:rsidR="00973C41">
        <w:rPr>
          <w:rFonts w:eastAsia="等线"/>
          <w:lang w:val="en-CA" w:eastAsia="zh-CN"/>
        </w:rPr>
        <w:t xml:space="preserve"> </w:t>
      </w:r>
    </w:p>
    <w:p w14:paraId="58C4BBC5" w14:textId="2BE8DFB5" w:rsidR="00327F81" w:rsidRPr="007320B8" w:rsidRDefault="007320B8" w:rsidP="006675C8">
      <w:pPr>
        <w:pStyle w:val="000proposal"/>
        <w:numPr>
          <w:ilvl w:val="0"/>
          <w:numId w:val="44"/>
        </w:numPr>
        <w:tabs>
          <w:tab w:val="left" w:pos="1134"/>
        </w:tabs>
        <w:adjustRightInd w:val="0"/>
        <w:snapToGrid w:val="0"/>
        <w:ind w:left="0" w:firstLine="0"/>
        <w:rPr>
          <w:rFonts w:ascii="Arial" w:hAnsi="Arial" w:cs="Arial"/>
          <w:szCs w:val="20"/>
          <w:lang w:val="x-none"/>
        </w:rPr>
      </w:pPr>
      <w:r w:rsidRPr="007320B8">
        <w:rPr>
          <w:rFonts w:ascii="Arial" w:hAnsi="Arial" w:cs="Arial"/>
          <w:szCs w:val="20"/>
          <w:lang w:val="x-none"/>
        </w:rPr>
        <w:t>For asymmetric DL sTRP/UL mTRP deployment scenarios, after successful</w:t>
      </w:r>
      <w:r w:rsidR="002D0933">
        <w:rPr>
          <w:rFonts w:ascii="Arial" w:hAnsi="Arial" w:cs="Arial"/>
          <w:szCs w:val="20"/>
          <w:lang w:val="x-none"/>
        </w:rPr>
        <w:t xml:space="preserve"> BFR</w:t>
      </w:r>
      <w:r w:rsidRPr="007320B8">
        <w:rPr>
          <w:rFonts w:ascii="Arial" w:hAnsi="Arial" w:cs="Arial"/>
          <w:szCs w:val="20"/>
          <w:lang w:val="x-none"/>
        </w:rPr>
        <w:t xml:space="preserve"> for DL/UL TRP, the UE sh</w:t>
      </w:r>
      <w:r w:rsidR="002D0933">
        <w:rPr>
          <w:rFonts w:ascii="Arial" w:hAnsi="Arial" w:cs="Arial"/>
          <w:szCs w:val="20"/>
          <w:lang w:val="x-none"/>
        </w:rPr>
        <w:t>ould</w:t>
      </w:r>
      <w:r w:rsidRPr="007320B8">
        <w:rPr>
          <w:rFonts w:ascii="Arial" w:hAnsi="Arial" w:cs="Arial"/>
          <w:szCs w:val="20"/>
          <w:lang w:val="x-none"/>
        </w:rPr>
        <w:t xml:space="preserve"> include the PL offset of the indicated TCI state </w:t>
      </w:r>
      <w:r w:rsidR="002D0933">
        <w:rPr>
          <w:rFonts w:ascii="Arial" w:hAnsi="Arial" w:cs="Arial"/>
          <w:szCs w:val="20"/>
          <w:lang w:val="x-none"/>
        </w:rPr>
        <w:t>for</w:t>
      </w:r>
      <w:r w:rsidRPr="007320B8">
        <w:rPr>
          <w:rFonts w:ascii="Arial" w:hAnsi="Arial" w:cs="Arial"/>
          <w:szCs w:val="20"/>
          <w:lang w:val="x-none"/>
        </w:rPr>
        <w:t xml:space="preserve"> PUSCH/PUCCH/SRS towards the UL TRP</w:t>
      </w:r>
      <w:r w:rsidR="002D0933">
        <w:rPr>
          <w:rFonts w:ascii="Arial" w:hAnsi="Arial" w:cs="Arial"/>
          <w:szCs w:val="20"/>
          <w:lang w:val="x-none"/>
        </w:rPr>
        <w:t>.</w:t>
      </w:r>
    </w:p>
    <w:p w14:paraId="5ADA15E1" w14:textId="77777777"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14:paraId="67603D26" w14:textId="58E512CD" w:rsidR="00D51BAB" w:rsidRPr="00191E2E" w:rsidRDefault="00A350A1" w:rsidP="00191E2E">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D51BAB">
        <w:rPr>
          <w:rFonts w:cs="Times"/>
          <w:sz w:val="24"/>
          <w:szCs w:val="22"/>
          <w:lang w:val="x-none"/>
        </w:rPr>
        <w:t xml:space="preserve"> </w:t>
      </w:r>
    </w:p>
    <w:p w14:paraId="057A0238" w14:textId="5EC3B0CB" w:rsidR="00275194" w:rsidRDefault="00AF6FEC" w:rsidP="00275194">
      <w:pPr>
        <w:pStyle w:val="000proposal"/>
        <w:numPr>
          <w:ilvl w:val="0"/>
          <w:numId w:val="48"/>
        </w:numPr>
        <w:tabs>
          <w:tab w:val="left" w:pos="1134"/>
        </w:tabs>
        <w:adjustRightInd w:val="0"/>
        <w:snapToGrid w:val="0"/>
        <w:spacing w:line="240" w:lineRule="auto"/>
        <w:ind w:left="0" w:firstLine="0"/>
        <w:rPr>
          <w:rFonts w:ascii="Arial" w:hAnsi="Arial" w:cs="Arial"/>
          <w:szCs w:val="20"/>
          <w:lang w:val="x-none"/>
        </w:rPr>
      </w:pPr>
      <w:r>
        <w:rPr>
          <w:rFonts w:ascii="Arial" w:hAnsi="Arial" w:cs="Arial" w:hint="eastAsia"/>
          <w:szCs w:val="20"/>
          <w:lang w:val="x-none"/>
        </w:rPr>
        <w:t xml:space="preserve">For UE configured with Rel-19 2 TAGs, when the UE is not configured with PL offset in joint/UL TCI state(s), support to reuse the DCI field </w:t>
      </w:r>
      <w:r>
        <w:rPr>
          <w:rFonts w:ascii="Arial" w:hAnsi="Arial" w:cs="Arial"/>
          <w:szCs w:val="20"/>
          <w:lang w:val="x-none"/>
        </w:rPr>
        <w:t>‘</w:t>
      </w:r>
      <w:r>
        <w:rPr>
          <w:rFonts w:ascii="Arial" w:hAnsi="Arial" w:cs="Arial" w:hint="eastAsia"/>
          <w:szCs w:val="20"/>
          <w:lang w:val="x-none"/>
        </w:rPr>
        <w:t>PRACH association indicator</w:t>
      </w:r>
      <w:r>
        <w:rPr>
          <w:rFonts w:ascii="Arial" w:hAnsi="Arial" w:cs="Arial"/>
          <w:szCs w:val="20"/>
          <w:lang w:val="x-none"/>
        </w:rPr>
        <w:t>’</w:t>
      </w:r>
      <w:r>
        <w:rPr>
          <w:rFonts w:ascii="Arial" w:hAnsi="Arial" w:cs="Arial" w:hint="eastAsia"/>
          <w:szCs w:val="20"/>
          <w:lang w:val="x-none"/>
        </w:rPr>
        <w:t xml:space="preserve"> to indicate PL RS for PDCCH-order PRACH</w:t>
      </w:r>
      <w:r w:rsidRPr="0051241F">
        <w:rPr>
          <w:rFonts w:ascii="Arial" w:hAnsi="Arial" w:cs="Arial"/>
          <w:szCs w:val="20"/>
          <w:lang w:val="x-none"/>
        </w:rPr>
        <w:t>.</w:t>
      </w:r>
    </w:p>
    <w:p w14:paraId="299CAAE7" w14:textId="20F8DA5E" w:rsidR="002D0933" w:rsidRPr="002D0933" w:rsidRDefault="002D0933" w:rsidP="002D0933">
      <w:pPr>
        <w:pStyle w:val="000proposal"/>
        <w:numPr>
          <w:ilvl w:val="0"/>
          <w:numId w:val="48"/>
        </w:numPr>
        <w:tabs>
          <w:tab w:val="left" w:pos="1134"/>
        </w:tabs>
        <w:adjustRightInd w:val="0"/>
        <w:snapToGrid w:val="0"/>
        <w:spacing w:line="240" w:lineRule="auto"/>
        <w:ind w:left="0" w:firstLine="0"/>
        <w:rPr>
          <w:rFonts w:ascii="Arial" w:hAnsi="Arial" w:cs="Arial"/>
          <w:szCs w:val="20"/>
          <w:lang w:val="x-none"/>
        </w:rPr>
      </w:pPr>
      <w:r w:rsidRPr="007320B8">
        <w:rPr>
          <w:rFonts w:ascii="Arial" w:hAnsi="Arial" w:cs="Arial"/>
          <w:szCs w:val="20"/>
          <w:lang w:val="x-none"/>
        </w:rPr>
        <w:t>For asymmetric DL sTRP/UL mTRP deployment scenarios, after successful</w:t>
      </w:r>
      <w:r>
        <w:rPr>
          <w:rFonts w:ascii="Arial" w:hAnsi="Arial" w:cs="Arial"/>
          <w:szCs w:val="20"/>
          <w:lang w:val="x-none"/>
        </w:rPr>
        <w:t xml:space="preserve"> BFR</w:t>
      </w:r>
      <w:r w:rsidRPr="007320B8">
        <w:rPr>
          <w:rFonts w:ascii="Arial" w:hAnsi="Arial" w:cs="Arial"/>
          <w:szCs w:val="20"/>
          <w:lang w:val="x-none"/>
        </w:rPr>
        <w:t xml:space="preserve"> for DL/UL TRP, the UE sh</w:t>
      </w:r>
      <w:r>
        <w:rPr>
          <w:rFonts w:ascii="Arial" w:hAnsi="Arial" w:cs="Arial"/>
          <w:szCs w:val="20"/>
          <w:lang w:val="x-none"/>
        </w:rPr>
        <w:t>ould</w:t>
      </w:r>
      <w:r w:rsidRPr="007320B8">
        <w:rPr>
          <w:rFonts w:ascii="Arial" w:hAnsi="Arial" w:cs="Arial"/>
          <w:szCs w:val="20"/>
          <w:lang w:val="x-none"/>
        </w:rPr>
        <w:t xml:space="preserve"> include the PL offset of the indicated TCI state </w:t>
      </w:r>
      <w:r>
        <w:rPr>
          <w:rFonts w:ascii="Arial" w:hAnsi="Arial" w:cs="Arial"/>
          <w:szCs w:val="20"/>
          <w:lang w:val="x-none"/>
        </w:rPr>
        <w:t>for</w:t>
      </w:r>
      <w:r w:rsidRPr="007320B8">
        <w:rPr>
          <w:rFonts w:ascii="Arial" w:hAnsi="Arial" w:cs="Arial"/>
          <w:szCs w:val="20"/>
          <w:lang w:val="x-none"/>
        </w:rPr>
        <w:t xml:space="preserve"> PUSCH/PUCCH/SRS towards the UL TRP</w:t>
      </w:r>
      <w:r>
        <w:rPr>
          <w:rFonts w:ascii="Arial" w:hAnsi="Arial" w:cs="Arial"/>
          <w:szCs w:val="20"/>
          <w:lang w:val="x-none"/>
        </w:rPr>
        <w:t>.</w:t>
      </w:r>
    </w:p>
    <w:p w14:paraId="70A07B9F" w14:textId="77777777" w:rsidR="007F66C0" w:rsidRPr="0083681C" w:rsidRDefault="007F66C0" w:rsidP="007F66C0">
      <w:pPr>
        <w:pStyle w:val="Heading1"/>
      </w:pPr>
      <w:r w:rsidRPr="0083681C">
        <w:t>References</w:t>
      </w:r>
    </w:p>
    <w:p w14:paraId="57B37B78" w14:textId="286AEA5D" w:rsidR="00BB3B06" w:rsidRPr="00170FB3" w:rsidRDefault="00303E3F" w:rsidP="00170FB3">
      <w:pPr>
        <w:numPr>
          <w:ilvl w:val="0"/>
          <w:numId w:val="2"/>
        </w:numPr>
        <w:jc w:val="both"/>
        <w:rPr>
          <w:rFonts w:eastAsia="宋体"/>
          <w:szCs w:val="20"/>
          <w:lang w:eastAsia="zh-CN"/>
        </w:rPr>
      </w:pPr>
      <w:bookmarkStart w:id="2" w:name="_Ref95401583"/>
      <w:bookmarkStart w:id="3" w:name="_Ref100677722"/>
      <w:bookmarkStart w:id="4" w:name="_Ref157506917"/>
      <w:r w:rsidRPr="00303E3F">
        <w:rPr>
          <w:rFonts w:eastAsia="宋体"/>
          <w:szCs w:val="20"/>
          <w:lang w:eastAsia="zh-CN"/>
        </w:rPr>
        <w:t>RP-</w:t>
      </w:r>
      <w:r w:rsidR="0067012F">
        <w:rPr>
          <w:rFonts w:eastAsia="宋体"/>
          <w:szCs w:val="20"/>
          <w:lang w:eastAsia="zh-CN"/>
        </w:rPr>
        <w:t>2</w:t>
      </w:r>
      <w:r w:rsidR="00DB758A">
        <w:rPr>
          <w:rFonts w:eastAsia="宋体" w:hint="eastAsia"/>
          <w:szCs w:val="20"/>
          <w:lang w:eastAsia="zh-CN"/>
        </w:rPr>
        <w:t>42394</w:t>
      </w:r>
      <w:r w:rsidR="0044631A">
        <w:rPr>
          <w:rFonts w:eastAsia="宋体" w:hint="eastAsia"/>
          <w:szCs w:val="20"/>
          <w:lang w:eastAsia="zh-CN"/>
        </w:rPr>
        <w:t xml:space="preserve">, </w:t>
      </w:r>
      <w:r w:rsidR="00DB758A" w:rsidRPr="00DB758A">
        <w:rPr>
          <w:rFonts w:eastAsia="宋体"/>
          <w:szCs w:val="20"/>
          <w:lang w:eastAsia="zh-CN"/>
        </w:rPr>
        <w:t>WID revision: 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DB758A">
        <w:rPr>
          <w:rFonts w:eastAsia="宋体" w:hint="eastAsia"/>
          <w:szCs w:val="20"/>
          <w:lang w:eastAsia="zh-CN"/>
        </w:rPr>
        <w:t>5</w:t>
      </w:r>
      <w:r w:rsidR="0044631A" w:rsidRPr="00905C09">
        <w:rPr>
          <w:rFonts w:hint="eastAsia"/>
          <w:szCs w:val="20"/>
        </w:rPr>
        <w:t xml:space="preserve">, </w:t>
      </w:r>
      <w:r w:rsidR="00304970">
        <w:rPr>
          <w:rFonts w:eastAsia="宋体" w:hint="eastAsia"/>
          <w:szCs w:val="20"/>
          <w:lang w:eastAsia="zh-CN"/>
        </w:rPr>
        <w:t>Sept</w:t>
      </w:r>
      <w:r w:rsidR="0044631A">
        <w:rPr>
          <w:rFonts w:eastAsia="宋体"/>
          <w:szCs w:val="20"/>
          <w:lang w:eastAsia="zh-CN"/>
        </w:rPr>
        <w:t>.</w:t>
      </w:r>
      <w:r w:rsidR="0044631A" w:rsidRPr="006740D7">
        <w:rPr>
          <w:rFonts w:eastAsia="宋体"/>
          <w:szCs w:val="20"/>
          <w:lang w:eastAsia="zh-CN"/>
        </w:rPr>
        <w:t xml:space="preserve"> 20</w:t>
      </w:r>
      <w:r w:rsidR="0044631A">
        <w:rPr>
          <w:rFonts w:eastAsia="宋体"/>
          <w:szCs w:val="20"/>
          <w:lang w:eastAsia="zh-CN"/>
        </w:rPr>
        <w:t>2</w:t>
      </w:r>
      <w:bookmarkEnd w:id="2"/>
      <w:bookmarkEnd w:id="3"/>
      <w:bookmarkEnd w:id="4"/>
      <w:r w:rsidR="00304970">
        <w:rPr>
          <w:rFonts w:eastAsia="宋体" w:hint="eastAsia"/>
          <w:szCs w:val="20"/>
          <w:lang w:eastAsia="zh-CN"/>
        </w:rPr>
        <w:t>4</w:t>
      </w:r>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3EB3" w14:textId="77777777" w:rsidR="00927D14" w:rsidRDefault="00927D14" w:rsidP="001B3EB1">
      <w:r>
        <w:separator/>
      </w:r>
    </w:p>
  </w:endnote>
  <w:endnote w:type="continuationSeparator" w:id="0">
    <w:p w14:paraId="00FCB166" w14:textId="77777777" w:rsidR="00927D14" w:rsidRDefault="00927D14" w:rsidP="001B3EB1">
      <w:r>
        <w:continuationSeparator/>
      </w:r>
    </w:p>
  </w:endnote>
  <w:endnote w:type="continuationNotice" w:id="1">
    <w:p w14:paraId="7E1B6B58" w14:textId="77777777" w:rsidR="00927D14" w:rsidRDefault="00927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78E9D" w14:textId="77777777" w:rsidR="00927D14" w:rsidRDefault="00927D14" w:rsidP="001B3EB1">
      <w:r>
        <w:separator/>
      </w:r>
    </w:p>
  </w:footnote>
  <w:footnote w:type="continuationSeparator" w:id="0">
    <w:p w14:paraId="79C7F0A3" w14:textId="77777777" w:rsidR="00927D14" w:rsidRDefault="00927D14" w:rsidP="001B3EB1">
      <w:r>
        <w:continuationSeparator/>
      </w:r>
    </w:p>
  </w:footnote>
  <w:footnote w:type="continuationNotice" w:id="1">
    <w:p w14:paraId="4D4BC36E" w14:textId="77777777" w:rsidR="00927D14" w:rsidRDefault="00927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169F9"/>
    <w:multiLevelType w:val="hybridMultilevel"/>
    <w:tmpl w:val="FCD8A28C"/>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7"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0"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2B26A19C"/>
    <w:lvl w:ilvl="0">
      <w:start w:val="1"/>
      <w:numFmt w:val="decimal"/>
      <w:pStyle w:val="Heading1"/>
      <w:lvlText w:val="%1."/>
      <w:lvlJc w:val="left"/>
      <w:pPr>
        <w:tabs>
          <w:tab w:val="num" w:pos="567"/>
        </w:tabs>
        <w:ind w:left="567" w:hanging="567"/>
      </w:pPr>
      <w:rPr>
        <w:rFonts w:ascii="Arial" w:hAnsi="Arial" w:cs="Arial" w:hint="default"/>
        <w:u w:val="none"/>
        <w:lang w:val="en-GB"/>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5"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3"/>
  </w:num>
  <w:num w:numId="2" w16cid:durableId="899285808">
    <w:abstractNumId w:val="10"/>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9"/>
  </w:num>
  <w:num w:numId="5" w16cid:durableId="736783132">
    <w:abstractNumId w:val="2"/>
  </w:num>
  <w:num w:numId="6" w16cid:durableId="867375356">
    <w:abstractNumId w:val="32"/>
  </w:num>
  <w:num w:numId="7" w16cid:durableId="999237953">
    <w:abstractNumId w:val="27"/>
  </w:num>
  <w:num w:numId="8" w16cid:durableId="496118455">
    <w:abstractNumId w:val="40"/>
  </w:num>
  <w:num w:numId="9" w16cid:durableId="1272204521">
    <w:abstractNumId w:val="35"/>
  </w:num>
  <w:num w:numId="10" w16cid:durableId="1015233243">
    <w:abstractNumId w:val="44"/>
  </w:num>
  <w:num w:numId="11" w16cid:durableId="4751138">
    <w:abstractNumId w:val="5"/>
  </w:num>
  <w:num w:numId="12" w16cid:durableId="643778641">
    <w:abstractNumId w:val="13"/>
  </w:num>
  <w:num w:numId="13" w16cid:durableId="987199959">
    <w:abstractNumId w:val="4"/>
  </w:num>
  <w:num w:numId="14" w16cid:durableId="1872717031">
    <w:abstractNumId w:val="22"/>
  </w:num>
  <w:num w:numId="15" w16cid:durableId="442194480">
    <w:abstractNumId w:val="6"/>
  </w:num>
  <w:num w:numId="16" w16cid:durableId="1801343343">
    <w:abstractNumId w:val="37"/>
  </w:num>
  <w:num w:numId="17" w16cid:durableId="1777556840">
    <w:abstractNumId w:val="39"/>
  </w:num>
  <w:num w:numId="18" w16cid:durableId="1352225683">
    <w:abstractNumId w:val="43"/>
  </w:num>
  <w:num w:numId="19" w16cid:durableId="1737900894">
    <w:abstractNumId w:val="43"/>
  </w:num>
  <w:num w:numId="20" w16cid:durableId="719978863">
    <w:abstractNumId w:val="20"/>
  </w:num>
  <w:num w:numId="21" w16cid:durableId="245304541">
    <w:abstractNumId w:val="11"/>
  </w:num>
  <w:num w:numId="22" w16cid:durableId="1678077087">
    <w:abstractNumId w:val="12"/>
  </w:num>
  <w:num w:numId="23" w16cid:durableId="1065032108">
    <w:abstractNumId w:val="9"/>
  </w:num>
  <w:num w:numId="24" w16cid:durableId="1861116292">
    <w:abstractNumId w:val="24"/>
  </w:num>
  <w:num w:numId="25" w16cid:durableId="93282115">
    <w:abstractNumId w:val="14"/>
  </w:num>
  <w:num w:numId="26" w16cid:durableId="251017269">
    <w:abstractNumId w:val="34"/>
  </w:num>
  <w:num w:numId="27" w16cid:durableId="479882440">
    <w:abstractNumId w:val="19"/>
  </w:num>
  <w:num w:numId="28" w16cid:durableId="1656882794">
    <w:abstractNumId w:val="17"/>
  </w:num>
  <w:num w:numId="29" w16cid:durableId="864944808">
    <w:abstractNumId w:val="26"/>
  </w:num>
  <w:num w:numId="30" w16cid:durableId="1634824798">
    <w:abstractNumId w:val="31"/>
  </w:num>
  <w:num w:numId="31" w16cid:durableId="343441114">
    <w:abstractNumId w:val="30"/>
  </w:num>
  <w:num w:numId="32" w16cid:durableId="367344153">
    <w:abstractNumId w:val="42"/>
  </w:num>
  <w:num w:numId="33" w16cid:durableId="2127696378">
    <w:abstractNumId w:val="7"/>
  </w:num>
  <w:num w:numId="34" w16cid:durableId="1345403062">
    <w:abstractNumId w:val="23"/>
  </w:num>
  <w:num w:numId="35" w16cid:durableId="1592816130">
    <w:abstractNumId w:val="33"/>
  </w:num>
  <w:num w:numId="36" w16cid:durableId="2146385401">
    <w:abstractNumId w:val="36"/>
  </w:num>
  <w:num w:numId="37" w16cid:durableId="264654938">
    <w:abstractNumId w:val="45"/>
  </w:num>
  <w:num w:numId="38" w16cid:durableId="368116234">
    <w:abstractNumId w:val="15"/>
  </w:num>
  <w:num w:numId="39" w16cid:durableId="1113479139">
    <w:abstractNumId w:val="41"/>
  </w:num>
  <w:num w:numId="40" w16cid:durableId="409544617">
    <w:abstractNumId w:val="16"/>
  </w:num>
  <w:num w:numId="41" w16cid:durableId="2100439638">
    <w:abstractNumId w:val="38"/>
  </w:num>
  <w:num w:numId="42" w16cid:durableId="974216041">
    <w:abstractNumId w:val="25"/>
  </w:num>
  <w:num w:numId="43" w16cid:durableId="1389037768">
    <w:abstractNumId w:val="8"/>
  </w:num>
  <w:num w:numId="44" w16cid:durableId="1858353057">
    <w:abstractNumId w:val="3"/>
  </w:num>
  <w:num w:numId="45" w16cid:durableId="1783768480">
    <w:abstractNumId w:val="21"/>
  </w:num>
  <w:num w:numId="46" w16cid:durableId="113913989">
    <w:abstractNumId w:val="28"/>
  </w:num>
  <w:num w:numId="47" w16cid:durableId="1715929635">
    <w:abstractNumId w:val="18"/>
  </w:num>
  <w:num w:numId="48" w16cid:durableId="85531310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DBF"/>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B7E2D"/>
    <w:rsid w:val="000C1B52"/>
    <w:rsid w:val="000C3C9F"/>
    <w:rsid w:val="000C49B2"/>
    <w:rsid w:val="000C4CE9"/>
    <w:rsid w:val="000C5B0C"/>
    <w:rsid w:val="000C711F"/>
    <w:rsid w:val="000D04E0"/>
    <w:rsid w:val="000D0A89"/>
    <w:rsid w:val="000D1399"/>
    <w:rsid w:val="000D1423"/>
    <w:rsid w:val="000D264E"/>
    <w:rsid w:val="000D4229"/>
    <w:rsid w:val="000D4FAC"/>
    <w:rsid w:val="000D53C2"/>
    <w:rsid w:val="000D6229"/>
    <w:rsid w:val="000E1040"/>
    <w:rsid w:val="000E13D9"/>
    <w:rsid w:val="000E2E46"/>
    <w:rsid w:val="000E31EC"/>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648"/>
    <w:rsid w:val="00114B6F"/>
    <w:rsid w:val="00115098"/>
    <w:rsid w:val="00115662"/>
    <w:rsid w:val="0012009C"/>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22D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1E15"/>
    <w:rsid w:val="001C2744"/>
    <w:rsid w:val="001C33AD"/>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0926"/>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2E60"/>
    <w:rsid w:val="00223955"/>
    <w:rsid w:val="00223FFE"/>
    <w:rsid w:val="00224B81"/>
    <w:rsid w:val="00224DCD"/>
    <w:rsid w:val="00225784"/>
    <w:rsid w:val="00225CB4"/>
    <w:rsid w:val="002270BA"/>
    <w:rsid w:val="00227B50"/>
    <w:rsid w:val="00227D24"/>
    <w:rsid w:val="00227FB9"/>
    <w:rsid w:val="0023031F"/>
    <w:rsid w:val="00230C65"/>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6E14"/>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933"/>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E7E4D"/>
    <w:rsid w:val="002F005D"/>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46A7"/>
    <w:rsid w:val="00304970"/>
    <w:rsid w:val="003055D3"/>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4AAC"/>
    <w:rsid w:val="00325253"/>
    <w:rsid w:val="003254AC"/>
    <w:rsid w:val="0032550D"/>
    <w:rsid w:val="0032678B"/>
    <w:rsid w:val="00326A15"/>
    <w:rsid w:val="00326A8F"/>
    <w:rsid w:val="00326C6D"/>
    <w:rsid w:val="00327070"/>
    <w:rsid w:val="0032780D"/>
    <w:rsid w:val="0032781B"/>
    <w:rsid w:val="0032786F"/>
    <w:rsid w:val="0032790D"/>
    <w:rsid w:val="00327F81"/>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47D8B"/>
    <w:rsid w:val="0035096F"/>
    <w:rsid w:val="00351AB9"/>
    <w:rsid w:val="00351C2A"/>
    <w:rsid w:val="003526E7"/>
    <w:rsid w:val="00352BAD"/>
    <w:rsid w:val="00353C89"/>
    <w:rsid w:val="00354C97"/>
    <w:rsid w:val="003557DE"/>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2E35"/>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99"/>
    <w:rsid w:val="003B05F9"/>
    <w:rsid w:val="003B0AC5"/>
    <w:rsid w:val="003B1486"/>
    <w:rsid w:val="003B1A80"/>
    <w:rsid w:val="003B2878"/>
    <w:rsid w:val="003B3E3E"/>
    <w:rsid w:val="003B4A6B"/>
    <w:rsid w:val="003B533A"/>
    <w:rsid w:val="003B6583"/>
    <w:rsid w:val="003B6A2D"/>
    <w:rsid w:val="003B6B0E"/>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4C6"/>
    <w:rsid w:val="00411611"/>
    <w:rsid w:val="00413A4F"/>
    <w:rsid w:val="00415D7D"/>
    <w:rsid w:val="00416CF0"/>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5575F"/>
    <w:rsid w:val="00460F89"/>
    <w:rsid w:val="00461010"/>
    <w:rsid w:val="00461F8F"/>
    <w:rsid w:val="00462196"/>
    <w:rsid w:val="00462436"/>
    <w:rsid w:val="004628CE"/>
    <w:rsid w:val="004629B1"/>
    <w:rsid w:val="0046653E"/>
    <w:rsid w:val="00467803"/>
    <w:rsid w:val="00467912"/>
    <w:rsid w:val="004702F1"/>
    <w:rsid w:val="00470B06"/>
    <w:rsid w:val="00470E14"/>
    <w:rsid w:val="00471F7C"/>
    <w:rsid w:val="0047253E"/>
    <w:rsid w:val="00473493"/>
    <w:rsid w:val="00473A0B"/>
    <w:rsid w:val="00473F31"/>
    <w:rsid w:val="00473FA5"/>
    <w:rsid w:val="004745DB"/>
    <w:rsid w:val="00474A2A"/>
    <w:rsid w:val="004755DA"/>
    <w:rsid w:val="004755F5"/>
    <w:rsid w:val="00475B9B"/>
    <w:rsid w:val="00475F54"/>
    <w:rsid w:val="00476C83"/>
    <w:rsid w:val="00480A9B"/>
    <w:rsid w:val="0048171A"/>
    <w:rsid w:val="00481D54"/>
    <w:rsid w:val="00482E54"/>
    <w:rsid w:val="004847A4"/>
    <w:rsid w:val="00484F83"/>
    <w:rsid w:val="004854A4"/>
    <w:rsid w:val="004857D4"/>
    <w:rsid w:val="00486273"/>
    <w:rsid w:val="00487F9F"/>
    <w:rsid w:val="00490451"/>
    <w:rsid w:val="00490D59"/>
    <w:rsid w:val="00491D4D"/>
    <w:rsid w:val="004920F7"/>
    <w:rsid w:val="0049241D"/>
    <w:rsid w:val="0049259D"/>
    <w:rsid w:val="004930DA"/>
    <w:rsid w:val="004935FA"/>
    <w:rsid w:val="0049413F"/>
    <w:rsid w:val="00494E68"/>
    <w:rsid w:val="00495BA2"/>
    <w:rsid w:val="00495D35"/>
    <w:rsid w:val="00496500"/>
    <w:rsid w:val="00496A2C"/>
    <w:rsid w:val="00497A34"/>
    <w:rsid w:val="004A245D"/>
    <w:rsid w:val="004A2574"/>
    <w:rsid w:val="004A4386"/>
    <w:rsid w:val="004A4767"/>
    <w:rsid w:val="004A526C"/>
    <w:rsid w:val="004A629F"/>
    <w:rsid w:val="004A799E"/>
    <w:rsid w:val="004B0A9B"/>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3B4"/>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4694"/>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4D78"/>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69B"/>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A78C6"/>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64B"/>
    <w:rsid w:val="0061580D"/>
    <w:rsid w:val="00616F66"/>
    <w:rsid w:val="00620370"/>
    <w:rsid w:val="00621124"/>
    <w:rsid w:val="0062122B"/>
    <w:rsid w:val="006216EE"/>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C8A"/>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3D0"/>
    <w:rsid w:val="00666E51"/>
    <w:rsid w:val="0066719E"/>
    <w:rsid w:val="0067012F"/>
    <w:rsid w:val="006727CC"/>
    <w:rsid w:val="006738F6"/>
    <w:rsid w:val="00674BFE"/>
    <w:rsid w:val="00675871"/>
    <w:rsid w:val="006760A4"/>
    <w:rsid w:val="00676F12"/>
    <w:rsid w:val="00677C0F"/>
    <w:rsid w:val="00677E01"/>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41E2"/>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0B8"/>
    <w:rsid w:val="007321D6"/>
    <w:rsid w:val="00732527"/>
    <w:rsid w:val="0073268C"/>
    <w:rsid w:val="00733099"/>
    <w:rsid w:val="00733F44"/>
    <w:rsid w:val="007343DC"/>
    <w:rsid w:val="00735351"/>
    <w:rsid w:val="00735932"/>
    <w:rsid w:val="00736516"/>
    <w:rsid w:val="007371EE"/>
    <w:rsid w:val="007403C5"/>
    <w:rsid w:val="007412AD"/>
    <w:rsid w:val="0074206C"/>
    <w:rsid w:val="00742110"/>
    <w:rsid w:val="00742651"/>
    <w:rsid w:val="007436B9"/>
    <w:rsid w:val="00743C73"/>
    <w:rsid w:val="007461EA"/>
    <w:rsid w:val="00746869"/>
    <w:rsid w:val="00747666"/>
    <w:rsid w:val="00751BD7"/>
    <w:rsid w:val="007521DA"/>
    <w:rsid w:val="00753308"/>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536"/>
    <w:rsid w:val="00771E4E"/>
    <w:rsid w:val="007725FD"/>
    <w:rsid w:val="0077324C"/>
    <w:rsid w:val="00773335"/>
    <w:rsid w:val="00773560"/>
    <w:rsid w:val="00773779"/>
    <w:rsid w:val="007739E1"/>
    <w:rsid w:val="00773EAC"/>
    <w:rsid w:val="00774623"/>
    <w:rsid w:val="00774828"/>
    <w:rsid w:val="00775CB6"/>
    <w:rsid w:val="0077608B"/>
    <w:rsid w:val="00777482"/>
    <w:rsid w:val="007774F6"/>
    <w:rsid w:val="0077761B"/>
    <w:rsid w:val="007802E9"/>
    <w:rsid w:val="00781598"/>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2D32"/>
    <w:rsid w:val="007B4516"/>
    <w:rsid w:val="007B687E"/>
    <w:rsid w:val="007B6E33"/>
    <w:rsid w:val="007B7026"/>
    <w:rsid w:val="007B7B77"/>
    <w:rsid w:val="007C0045"/>
    <w:rsid w:val="007C0129"/>
    <w:rsid w:val="007C0992"/>
    <w:rsid w:val="007C0B2B"/>
    <w:rsid w:val="007C1054"/>
    <w:rsid w:val="007C19DC"/>
    <w:rsid w:val="007C29A0"/>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5A5F"/>
    <w:rsid w:val="007D68B7"/>
    <w:rsid w:val="007D7B81"/>
    <w:rsid w:val="007D7DC5"/>
    <w:rsid w:val="007E1EC6"/>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712"/>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282"/>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8EC"/>
    <w:rsid w:val="0090395F"/>
    <w:rsid w:val="009039AC"/>
    <w:rsid w:val="00903D53"/>
    <w:rsid w:val="00904EF0"/>
    <w:rsid w:val="00907707"/>
    <w:rsid w:val="0091005F"/>
    <w:rsid w:val="00910958"/>
    <w:rsid w:val="00910B17"/>
    <w:rsid w:val="009111EE"/>
    <w:rsid w:val="009119D0"/>
    <w:rsid w:val="00912463"/>
    <w:rsid w:val="00912496"/>
    <w:rsid w:val="00912C94"/>
    <w:rsid w:val="00912F0D"/>
    <w:rsid w:val="00914077"/>
    <w:rsid w:val="00914293"/>
    <w:rsid w:val="0091475A"/>
    <w:rsid w:val="009148F6"/>
    <w:rsid w:val="00915F5D"/>
    <w:rsid w:val="0091666A"/>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085"/>
    <w:rsid w:val="0092771A"/>
    <w:rsid w:val="00927A57"/>
    <w:rsid w:val="00927D14"/>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588A"/>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3C4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1DC2"/>
    <w:rsid w:val="009A250B"/>
    <w:rsid w:val="009A2AA7"/>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3E4D"/>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0B20"/>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3B83"/>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6FEC"/>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5EBB"/>
    <w:rsid w:val="00B56983"/>
    <w:rsid w:val="00B571B0"/>
    <w:rsid w:val="00B577AC"/>
    <w:rsid w:val="00B60D45"/>
    <w:rsid w:val="00B613D4"/>
    <w:rsid w:val="00B6297D"/>
    <w:rsid w:val="00B640B7"/>
    <w:rsid w:val="00B647C7"/>
    <w:rsid w:val="00B64A5E"/>
    <w:rsid w:val="00B66A67"/>
    <w:rsid w:val="00B678A9"/>
    <w:rsid w:val="00B67C63"/>
    <w:rsid w:val="00B709F2"/>
    <w:rsid w:val="00B70CC4"/>
    <w:rsid w:val="00B7161D"/>
    <w:rsid w:val="00B71CEF"/>
    <w:rsid w:val="00B72311"/>
    <w:rsid w:val="00B72E40"/>
    <w:rsid w:val="00B7318E"/>
    <w:rsid w:val="00B73324"/>
    <w:rsid w:val="00B73795"/>
    <w:rsid w:val="00B761D3"/>
    <w:rsid w:val="00B76C0C"/>
    <w:rsid w:val="00B77095"/>
    <w:rsid w:val="00B800BD"/>
    <w:rsid w:val="00B804E6"/>
    <w:rsid w:val="00B807EE"/>
    <w:rsid w:val="00B808F4"/>
    <w:rsid w:val="00B814F9"/>
    <w:rsid w:val="00B8179C"/>
    <w:rsid w:val="00B82661"/>
    <w:rsid w:val="00B82D0D"/>
    <w:rsid w:val="00B82FF8"/>
    <w:rsid w:val="00B830BB"/>
    <w:rsid w:val="00B84014"/>
    <w:rsid w:val="00B84623"/>
    <w:rsid w:val="00B84810"/>
    <w:rsid w:val="00B85BE9"/>
    <w:rsid w:val="00B8694C"/>
    <w:rsid w:val="00B86CBF"/>
    <w:rsid w:val="00B8786A"/>
    <w:rsid w:val="00B87E78"/>
    <w:rsid w:val="00B90643"/>
    <w:rsid w:val="00B910FE"/>
    <w:rsid w:val="00B91868"/>
    <w:rsid w:val="00B91B11"/>
    <w:rsid w:val="00B91ED5"/>
    <w:rsid w:val="00B928D4"/>
    <w:rsid w:val="00B92CB6"/>
    <w:rsid w:val="00B92EBD"/>
    <w:rsid w:val="00B938A2"/>
    <w:rsid w:val="00B95635"/>
    <w:rsid w:val="00B95A50"/>
    <w:rsid w:val="00B960D3"/>
    <w:rsid w:val="00B96530"/>
    <w:rsid w:val="00B96806"/>
    <w:rsid w:val="00B96CA8"/>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A45"/>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758"/>
    <w:rsid w:val="00C04A93"/>
    <w:rsid w:val="00C04CEC"/>
    <w:rsid w:val="00C04DA9"/>
    <w:rsid w:val="00C050CD"/>
    <w:rsid w:val="00C05B89"/>
    <w:rsid w:val="00C05CD3"/>
    <w:rsid w:val="00C05DE7"/>
    <w:rsid w:val="00C061DE"/>
    <w:rsid w:val="00C06F5E"/>
    <w:rsid w:val="00C073ED"/>
    <w:rsid w:val="00C07CF0"/>
    <w:rsid w:val="00C10999"/>
    <w:rsid w:val="00C109E5"/>
    <w:rsid w:val="00C10BFA"/>
    <w:rsid w:val="00C13A30"/>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6FB"/>
    <w:rsid w:val="00C52FE9"/>
    <w:rsid w:val="00C53719"/>
    <w:rsid w:val="00C54185"/>
    <w:rsid w:val="00C54907"/>
    <w:rsid w:val="00C56984"/>
    <w:rsid w:val="00C571C3"/>
    <w:rsid w:val="00C572F7"/>
    <w:rsid w:val="00C57456"/>
    <w:rsid w:val="00C57521"/>
    <w:rsid w:val="00C60806"/>
    <w:rsid w:val="00C61BEC"/>
    <w:rsid w:val="00C61E72"/>
    <w:rsid w:val="00C64427"/>
    <w:rsid w:val="00C64540"/>
    <w:rsid w:val="00C65348"/>
    <w:rsid w:val="00C66BBB"/>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341"/>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0968"/>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49AD"/>
    <w:rsid w:val="00DD4C86"/>
    <w:rsid w:val="00DD4F10"/>
    <w:rsid w:val="00DD5541"/>
    <w:rsid w:val="00DD66F9"/>
    <w:rsid w:val="00DD74DC"/>
    <w:rsid w:val="00DE0927"/>
    <w:rsid w:val="00DE10D4"/>
    <w:rsid w:val="00DE209A"/>
    <w:rsid w:val="00DE2BA9"/>
    <w:rsid w:val="00DE3D15"/>
    <w:rsid w:val="00DE4303"/>
    <w:rsid w:val="00DE4FD9"/>
    <w:rsid w:val="00DE6B88"/>
    <w:rsid w:val="00DF0A6A"/>
    <w:rsid w:val="00DF1162"/>
    <w:rsid w:val="00DF1873"/>
    <w:rsid w:val="00DF18D0"/>
    <w:rsid w:val="00DF25D4"/>
    <w:rsid w:val="00DF33D9"/>
    <w:rsid w:val="00DF3A06"/>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1AE3"/>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4112"/>
    <w:rsid w:val="00EA6602"/>
    <w:rsid w:val="00EA69E2"/>
    <w:rsid w:val="00EA702C"/>
    <w:rsid w:val="00EA7C25"/>
    <w:rsid w:val="00EB076E"/>
    <w:rsid w:val="00EB0B20"/>
    <w:rsid w:val="00EB3516"/>
    <w:rsid w:val="00EB5016"/>
    <w:rsid w:val="00EB66BC"/>
    <w:rsid w:val="00EB7EDC"/>
    <w:rsid w:val="00EC0056"/>
    <w:rsid w:val="00EC0301"/>
    <w:rsid w:val="00EC172D"/>
    <w:rsid w:val="00EC200A"/>
    <w:rsid w:val="00EC24B5"/>
    <w:rsid w:val="00EC2B4C"/>
    <w:rsid w:val="00EC2B4D"/>
    <w:rsid w:val="00EC311E"/>
    <w:rsid w:val="00EC494B"/>
    <w:rsid w:val="00EC61A6"/>
    <w:rsid w:val="00EC61B5"/>
    <w:rsid w:val="00EC6227"/>
    <w:rsid w:val="00EC67E7"/>
    <w:rsid w:val="00EC68D9"/>
    <w:rsid w:val="00EC74CC"/>
    <w:rsid w:val="00EC7DA6"/>
    <w:rsid w:val="00ED0F33"/>
    <w:rsid w:val="00ED0F51"/>
    <w:rsid w:val="00ED3C7C"/>
    <w:rsid w:val="00ED3EE7"/>
    <w:rsid w:val="00ED605B"/>
    <w:rsid w:val="00ED6C89"/>
    <w:rsid w:val="00ED753F"/>
    <w:rsid w:val="00EE0C5B"/>
    <w:rsid w:val="00EE1F4A"/>
    <w:rsid w:val="00EE2F67"/>
    <w:rsid w:val="00EE3794"/>
    <w:rsid w:val="00EE40F8"/>
    <w:rsid w:val="00EE4256"/>
    <w:rsid w:val="00EE467D"/>
    <w:rsid w:val="00EE4689"/>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CD1"/>
    <w:rsid w:val="00F13411"/>
    <w:rsid w:val="00F1356A"/>
    <w:rsid w:val="00F1391D"/>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5BA"/>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5C9"/>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5F"/>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4</cp:revision>
  <dcterms:created xsi:type="dcterms:W3CDTF">2025-08-14T02:01:00Z</dcterms:created>
  <dcterms:modified xsi:type="dcterms:W3CDTF">2025-08-14T07:20:00Z</dcterms:modified>
</cp:coreProperties>
</file>