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70F7" w14:textId="77777777" w:rsidR="00EF154D" w:rsidRDefault="00EF154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8"/>
        <w:gridCol w:w="2358"/>
      </w:tblGrid>
      <w:tr w:rsidR="00EF154D" w14:paraId="6B92F9E8" w14:textId="77777777" w:rsidTr="00D0317F">
        <w:tc>
          <w:tcPr>
            <w:tcW w:w="6941" w:type="dxa"/>
          </w:tcPr>
          <w:p w14:paraId="29B67BD8" w14:textId="77777777" w:rsidR="00EF154D" w:rsidRDefault="00EF154D" w:rsidP="00D0317F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#122</w:t>
            </w:r>
          </w:p>
        </w:tc>
        <w:tc>
          <w:tcPr>
            <w:tcW w:w="2409" w:type="dxa"/>
          </w:tcPr>
          <w:p w14:paraId="58B9D0FA" w14:textId="71BFD28D" w:rsidR="00EF154D" w:rsidRDefault="00EF154D" w:rsidP="00D0317F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Pr="005A64A2">
              <w:rPr>
                <w:b/>
                <w:bCs/>
                <w:sz w:val="32"/>
                <w:szCs w:val="32"/>
              </w:rPr>
              <w:t>250</w:t>
            </w:r>
            <w:r>
              <w:rPr>
                <w:b/>
                <w:bCs/>
                <w:sz w:val="32"/>
                <w:szCs w:val="32"/>
              </w:rPr>
              <w:t>568</w:t>
            </w:r>
            <w:r w:rsidR="005A0276"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EF154D" w14:paraId="51CC1BCB" w14:textId="77777777" w:rsidTr="00D0317F">
        <w:tc>
          <w:tcPr>
            <w:tcW w:w="9350" w:type="dxa"/>
            <w:gridSpan w:val="2"/>
          </w:tcPr>
          <w:p w14:paraId="008A397D" w14:textId="77777777" w:rsidR="00EF154D" w:rsidRDefault="00EF154D" w:rsidP="00D0317F">
            <w:pPr>
              <w:ind w:left="-113"/>
              <w:jc w:val="both"/>
            </w:pPr>
            <w:r>
              <w:rPr>
                <w:b/>
                <w:bCs/>
                <w:sz w:val="32"/>
                <w:szCs w:val="32"/>
              </w:rPr>
              <w:t>Bengaluru, India,</w:t>
            </w:r>
            <w:r w:rsidRPr="42EE5CAD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>Aug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25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 xml:space="preserve"> – 29</w:t>
            </w:r>
            <w:r w:rsidRPr="0044700C">
              <w:rPr>
                <w:rFonts w:ascii="Calibri" w:eastAsia="Calibri" w:hAnsi="Calibri" w:cs="Calibri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, 2025</w:t>
            </w:r>
          </w:p>
        </w:tc>
      </w:tr>
    </w:tbl>
    <w:p w14:paraId="1E531B1C" w14:textId="77777777" w:rsidR="00EF154D" w:rsidRDefault="00EF154D" w:rsidP="00EF154D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EF154D" w14:paraId="5C885D84" w14:textId="77777777" w:rsidTr="00D031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43B060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40D23D59" w14:textId="00B261BA" w:rsidR="00EF154D" w:rsidRDefault="00EF154D" w:rsidP="00D0317F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  <w:r w:rsidRPr="42EE5CAD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</w:rPr>
              <w:t>3.</w:t>
            </w:r>
            <w:r w:rsidR="00E0152D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EF154D" w14:paraId="790F854B" w14:textId="77777777" w:rsidTr="00D03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6787727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06800A15" w14:textId="77777777" w:rsidR="00EF154D" w:rsidRDefault="00EF154D" w:rsidP="00D0317F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IITH and WiSig</w:t>
            </w:r>
          </w:p>
        </w:tc>
      </w:tr>
      <w:tr w:rsidR="00EF154D" w14:paraId="47791672" w14:textId="77777777" w:rsidTr="00D03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3797AE4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66C655A" w14:textId="35054805" w:rsidR="00EF154D" w:rsidRDefault="005A0276" w:rsidP="00EF15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A0276">
              <w:rPr>
                <w:sz w:val="24"/>
                <w:szCs w:val="24"/>
              </w:rPr>
              <w:t>Dual Waveform for 6G DL</w:t>
            </w:r>
          </w:p>
        </w:tc>
      </w:tr>
      <w:tr w:rsidR="00EF154D" w14:paraId="7BAAC1A0" w14:textId="77777777" w:rsidTr="00D031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B5EEAB6" w14:textId="77777777" w:rsidR="00EF154D" w:rsidRDefault="00EF154D" w:rsidP="00D0317F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535EECAE" w14:textId="77777777" w:rsidR="00EF154D" w:rsidRDefault="00EF154D" w:rsidP="00D0317F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</w:t>
            </w:r>
          </w:p>
        </w:tc>
      </w:tr>
    </w:tbl>
    <w:p w14:paraId="60D2FEF9" w14:textId="77777777" w:rsidR="00EF154D" w:rsidRDefault="00EF154D" w:rsidP="00EF154D">
      <w:pPr>
        <w:rPr>
          <w:b/>
          <w:bCs/>
        </w:rPr>
      </w:pPr>
    </w:p>
    <w:p w14:paraId="2440D51B" w14:textId="21114635" w:rsidR="005A0276" w:rsidRPr="005A0276" w:rsidRDefault="005A0276" w:rsidP="005A0276">
      <w:pPr>
        <w:rPr>
          <w:b/>
          <w:bCs/>
          <w:sz w:val="24"/>
          <w:szCs w:val="24"/>
        </w:rPr>
      </w:pPr>
      <w:r w:rsidRPr="005A0276">
        <w:rPr>
          <w:b/>
          <w:bCs/>
          <w:sz w:val="24"/>
          <w:szCs w:val="24"/>
        </w:rPr>
        <w:t>Summary</w:t>
      </w:r>
    </w:p>
    <w:p w14:paraId="663C345D" w14:textId="4D13C6C0" w:rsidR="005A0276" w:rsidRPr="005A0276" w:rsidRDefault="005A0276" w:rsidP="005A0276">
      <w:pPr>
        <w:rPr>
          <w:sz w:val="24"/>
          <w:szCs w:val="24"/>
        </w:rPr>
      </w:pPr>
      <w:r w:rsidRPr="005A0276">
        <w:rPr>
          <w:sz w:val="24"/>
          <w:szCs w:val="24"/>
        </w:rPr>
        <w:t>This contribution proposes a dual-waveform downlink for 6G NR: retaining CP-OFDM for capacity, high-order MU-MIMO, and spectral agility, while introducing a coverage-oriented low-PAPR waveform (OTFDM) for cell-edge and upper-midband operation (e.g., 6.425–7.125 GHz). The objective is to recover the PA back-off penalty associated with OFDM PAPR (illustratively ~7 dB with DPD), thereby improving DL coverage—particularly for indoor penetration—without disturbing the existing OFDM/MIMO framework. The proposal outlines scheduling, reference signal</w:t>
      </w:r>
      <w:r>
        <w:rPr>
          <w:sz w:val="24"/>
          <w:szCs w:val="24"/>
        </w:rPr>
        <w:t>s</w:t>
      </w:r>
      <w:r w:rsidRPr="005A0276">
        <w:rPr>
          <w:sz w:val="24"/>
          <w:szCs w:val="24"/>
        </w:rPr>
        <w:t>, beamforming compatibility, and minimal implementation impact.</w:t>
      </w:r>
    </w:p>
    <w:p w14:paraId="2EB1BF89" w14:textId="77777777" w:rsidR="005A0276" w:rsidRPr="005A0276" w:rsidRDefault="00000000" w:rsidP="005A0276">
      <w:pPr>
        <w:rPr>
          <w:sz w:val="24"/>
          <w:szCs w:val="24"/>
        </w:rPr>
      </w:pPr>
      <w:r>
        <w:rPr>
          <w:sz w:val="24"/>
          <w:szCs w:val="24"/>
        </w:rPr>
        <w:pict w14:anchorId="6092A5E0">
          <v:rect id="_x0000_i1025" style="width:0;height:1.5pt" o:hralign="center" o:hrstd="t" o:hr="t" fillcolor="#a0a0a0" stroked="f"/>
        </w:pict>
      </w:r>
    </w:p>
    <w:p w14:paraId="740DA5E3" w14:textId="77777777" w:rsidR="005A0276" w:rsidRPr="005A0276" w:rsidRDefault="005A0276" w:rsidP="005A0276">
      <w:pPr>
        <w:rPr>
          <w:b/>
          <w:bCs/>
          <w:sz w:val="24"/>
          <w:szCs w:val="24"/>
        </w:rPr>
      </w:pPr>
      <w:r w:rsidRPr="005A0276">
        <w:rPr>
          <w:b/>
          <w:bCs/>
          <w:sz w:val="24"/>
          <w:szCs w:val="24"/>
        </w:rPr>
        <w:t>1. Background and Motivation</w:t>
      </w:r>
    </w:p>
    <w:p w14:paraId="4AA1DB5E" w14:textId="77777777" w:rsidR="005A0276" w:rsidRPr="005A0276" w:rsidRDefault="005A0276" w:rsidP="005A0276">
      <w:pPr>
        <w:numPr>
          <w:ilvl w:val="0"/>
          <w:numId w:val="21"/>
        </w:numPr>
        <w:rPr>
          <w:sz w:val="24"/>
          <w:szCs w:val="24"/>
        </w:rPr>
      </w:pPr>
      <w:r w:rsidRPr="005A0276">
        <w:rPr>
          <w:sz w:val="24"/>
          <w:szCs w:val="24"/>
        </w:rPr>
        <w:t>OFDM PAPR and PA back-off: Conventional DL CP-OFDM exhibits high PAPR; meeting ACLR/EVM targets typically requires several dB of PA back-off, effectively reducing DL coverage at the cell edge.</w:t>
      </w:r>
    </w:p>
    <w:p w14:paraId="3E698030" w14:textId="77777777" w:rsidR="005A0276" w:rsidRPr="005A0276" w:rsidRDefault="005A0276" w:rsidP="005A0276">
      <w:pPr>
        <w:numPr>
          <w:ilvl w:val="0"/>
          <w:numId w:val="21"/>
        </w:numPr>
        <w:rPr>
          <w:sz w:val="24"/>
          <w:szCs w:val="24"/>
        </w:rPr>
      </w:pPr>
      <w:r w:rsidRPr="005A0276">
        <w:rPr>
          <w:sz w:val="24"/>
          <w:szCs w:val="24"/>
        </w:rPr>
        <w:t>Upper-midband coverage: In bands such as 6.425–7.125 GHz, path loss and wall attenuation make indoor coverage a key challenge.</w:t>
      </w:r>
    </w:p>
    <w:p w14:paraId="70677F83" w14:textId="77777777" w:rsidR="005A0276" w:rsidRPr="005A0276" w:rsidRDefault="005A0276" w:rsidP="005A0276">
      <w:pPr>
        <w:numPr>
          <w:ilvl w:val="0"/>
          <w:numId w:val="21"/>
        </w:numPr>
        <w:rPr>
          <w:sz w:val="24"/>
          <w:szCs w:val="24"/>
        </w:rPr>
      </w:pPr>
      <w:r w:rsidRPr="005A0276">
        <w:rPr>
          <w:sz w:val="24"/>
          <w:szCs w:val="24"/>
        </w:rPr>
        <w:t>MIMO benefits retained: CP-OFDM remains attractive for SU/MU-MIMO with many layers, rich precoding, and multi-UE frequency-domain multiplexing. The goal is not to replace OFDM, but to augment it with a coverage mode that maximizes PA utilization.</w:t>
      </w:r>
    </w:p>
    <w:p w14:paraId="4D93A8C5" w14:textId="77777777" w:rsidR="005A0276" w:rsidRPr="005A0276" w:rsidRDefault="00000000" w:rsidP="005A0276">
      <w:pPr>
        <w:rPr>
          <w:sz w:val="24"/>
          <w:szCs w:val="24"/>
        </w:rPr>
      </w:pPr>
      <w:r>
        <w:rPr>
          <w:sz w:val="24"/>
          <w:szCs w:val="24"/>
        </w:rPr>
        <w:pict w14:anchorId="74F259AA">
          <v:rect id="_x0000_i1026" style="width:0;height:1.5pt" o:hralign="center" o:hrstd="t" o:hr="t" fillcolor="#a0a0a0" stroked="f"/>
        </w:pict>
      </w:r>
    </w:p>
    <w:p w14:paraId="34BE61DD" w14:textId="77777777" w:rsidR="005A0276" w:rsidRPr="005A0276" w:rsidRDefault="005A0276" w:rsidP="005A0276">
      <w:pPr>
        <w:rPr>
          <w:b/>
          <w:bCs/>
          <w:sz w:val="24"/>
          <w:szCs w:val="24"/>
        </w:rPr>
      </w:pPr>
      <w:r w:rsidRPr="005A0276">
        <w:rPr>
          <w:b/>
          <w:bCs/>
          <w:sz w:val="24"/>
          <w:szCs w:val="24"/>
        </w:rPr>
        <w:t>2. Proposal Overview: Dual-Waveform DL</w:t>
      </w:r>
    </w:p>
    <w:p w14:paraId="06BD1C07" w14:textId="77777777" w:rsidR="005A0276" w:rsidRPr="005A0276" w:rsidRDefault="005A0276" w:rsidP="005A0276">
      <w:pPr>
        <w:rPr>
          <w:sz w:val="24"/>
          <w:szCs w:val="24"/>
        </w:rPr>
      </w:pPr>
      <w:r w:rsidRPr="005A0276">
        <w:rPr>
          <w:sz w:val="24"/>
          <w:szCs w:val="24"/>
        </w:rPr>
        <w:t>We propose enabling two downlink transmission modes selectable per TTI/UE by the scheduler:</w:t>
      </w:r>
    </w:p>
    <w:p w14:paraId="1FE8E9A0" w14:textId="3174195C" w:rsidR="005A0276" w:rsidRPr="005A0276" w:rsidRDefault="005A0276" w:rsidP="005A0276">
      <w:pPr>
        <w:rPr>
          <w:sz w:val="24"/>
          <w:szCs w:val="24"/>
        </w:rPr>
      </w:pPr>
      <w:r w:rsidRPr="005A0276">
        <w:rPr>
          <w:b/>
          <w:bCs/>
          <w:sz w:val="24"/>
          <w:szCs w:val="24"/>
        </w:rPr>
        <w:t>Mode-A (Capacity mode):</w:t>
      </w:r>
      <w:r w:rsidRPr="005A0276">
        <w:rPr>
          <w:sz w:val="24"/>
          <w:szCs w:val="24"/>
        </w:rPr>
        <w:t xml:space="preserve"> CP-OFDM (as today) — optimized for throughput, high-order MU-MIMO, and UE multiplexing.</w:t>
      </w:r>
      <w:r w:rsidRPr="005A0276">
        <w:rPr>
          <w:sz w:val="24"/>
          <w:szCs w:val="24"/>
        </w:rPr>
        <w:br/>
      </w:r>
      <w:r w:rsidRPr="005A0276">
        <w:rPr>
          <w:b/>
          <w:bCs/>
          <w:sz w:val="24"/>
          <w:szCs w:val="24"/>
        </w:rPr>
        <w:t>Mode-B (Coverage mode):</w:t>
      </w:r>
      <w:r w:rsidRPr="005A0276">
        <w:rPr>
          <w:sz w:val="24"/>
          <w:szCs w:val="24"/>
        </w:rPr>
        <w:t xml:space="preserve"> OTFDM (</w:t>
      </w:r>
      <w:r w:rsidR="007977C1">
        <w:rPr>
          <w:sz w:val="24"/>
          <w:szCs w:val="24"/>
        </w:rPr>
        <w:t xml:space="preserve">see </w:t>
      </w:r>
      <w:r w:rsidR="007977C1" w:rsidRPr="007977C1">
        <w:rPr>
          <w:sz w:val="24"/>
          <w:szCs w:val="24"/>
        </w:rPr>
        <w:t>R1-2505679</w:t>
      </w:r>
      <w:r w:rsidR="007977C1">
        <w:rPr>
          <w:sz w:val="24"/>
          <w:szCs w:val="24"/>
        </w:rPr>
        <w:t xml:space="preserve"> for further details)</w:t>
      </w:r>
      <w:r w:rsidRPr="005A0276">
        <w:rPr>
          <w:sz w:val="24"/>
          <w:szCs w:val="24"/>
        </w:rPr>
        <w:t xml:space="preserve"> — low-PAPR, single-symbol or short-TTI capable, with intra-symbol DM-RS placement, allowing operation near </w:t>
      </w:r>
      <w:r w:rsidRPr="005A0276">
        <w:rPr>
          <w:sz w:val="24"/>
          <w:szCs w:val="24"/>
        </w:rPr>
        <w:lastRenderedPageBreak/>
        <w:t>PA saturation (e.g., π/2-BPSK primary, optional QPSK) while using all available antennas for beamforming.</w:t>
      </w:r>
    </w:p>
    <w:p w14:paraId="2E8E119C" w14:textId="77777777" w:rsidR="00A214E4" w:rsidRDefault="005A0276" w:rsidP="0080769E">
      <w:pPr>
        <w:rPr>
          <w:b/>
          <w:bCs/>
          <w:sz w:val="24"/>
          <w:szCs w:val="24"/>
        </w:rPr>
      </w:pPr>
      <w:r w:rsidRPr="005A0276">
        <w:rPr>
          <w:b/>
          <w:bCs/>
          <w:sz w:val="24"/>
          <w:szCs w:val="24"/>
        </w:rPr>
        <w:t>Key properties of Mode-B (OTFDM) DL</w:t>
      </w:r>
      <w:r w:rsidR="00A214E4">
        <w:rPr>
          <w:b/>
          <w:bCs/>
          <w:sz w:val="24"/>
          <w:szCs w:val="24"/>
        </w:rPr>
        <w:t xml:space="preserve">: </w:t>
      </w:r>
    </w:p>
    <w:p w14:paraId="58917D8C" w14:textId="6E4BCE38" w:rsidR="0080769E" w:rsidRPr="00A214E4" w:rsidRDefault="0080769E" w:rsidP="0080769E">
      <w:pPr>
        <w:rPr>
          <w:b/>
          <w:bCs/>
          <w:sz w:val="24"/>
          <w:szCs w:val="24"/>
        </w:rPr>
      </w:pPr>
      <w:r>
        <w:rPr>
          <w:sz w:val="24"/>
          <w:szCs w:val="24"/>
        </w:rPr>
        <w:t>Refer</w:t>
      </w:r>
      <w:r w:rsidR="00A214E4">
        <w:rPr>
          <w:sz w:val="24"/>
          <w:szCs w:val="24"/>
        </w:rPr>
        <w:t>ring</w:t>
      </w:r>
      <w:r>
        <w:rPr>
          <w:sz w:val="24"/>
          <w:szCs w:val="24"/>
        </w:rPr>
        <w:t xml:space="preserve"> to </w:t>
      </w:r>
      <w:r w:rsidRPr="0080769E">
        <w:rPr>
          <w:sz w:val="24"/>
          <w:szCs w:val="24"/>
        </w:rPr>
        <w:t>R1-2505679</w:t>
      </w:r>
      <w:r w:rsidR="00A214E4">
        <w:rPr>
          <w:sz w:val="24"/>
          <w:szCs w:val="24"/>
        </w:rPr>
        <w:t>:</w:t>
      </w:r>
    </w:p>
    <w:p w14:paraId="41E3514C" w14:textId="11147321" w:rsidR="005A0276" w:rsidRPr="005A0276" w:rsidRDefault="005A0276" w:rsidP="005A0276">
      <w:pPr>
        <w:numPr>
          <w:ilvl w:val="0"/>
          <w:numId w:val="22"/>
        </w:numPr>
        <w:rPr>
          <w:sz w:val="24"/>
          <w:szCs w:val="24"/>
        </w:rPr>
      </w:pPr>
      <w:r w:rsidRPr="005A0276">
        <w:rPr>
          <w:sz w:val="24"/>
          <w:szCs w:val="24"/>
        </w:rPr>
        <w:t xml:space="preserve">Low PAPR &amp; PA efficiency: </w:t>
      </w:r>
      <w:r w:rsidR="001C4731">
        <w:rPr>
          <w:sz w:val="24"/>
          <w:szCs w:val="24"/>
        </w:rPr>
        <w:t>pi/2 BPSK version of OTFDM with</w:t>
      </w:r>
      <w:r w:rsidRPr="005A0276">
        <w:rPr>
          <w:sz w:val="24"/>
          <w:szCs w:val="24"/>
        </w:rPr>
        <w:t xml:space="preserve"> strong spectrum shaping to reduce PAPR and recover back-off.</w:t>
      </w:r>
    </w:p>
    <w:p w14:paraId="48B2B936" w14:textId="77777777" w:rsidR="005A0276" w:rsidRPr="005A0276" w:rsidRDefault="005A0276" w:rsidP="005A0276">
      <w:pPr>
        <w:numPr>
          <w:ilvl w:val="0"/>
          <w:numId w:val="22"/>
        </w:numPr>
        <w:rPr>
          <w:sz w:val="24"/>
          <w:szCs w:val="24"/>
        </w:rPr>
      </w:pPr>
      <w:r w:rsidRPr="005A0276">
        <w:rPr>
          <w:sz w:val="24"/>
          <w:szCs w:val="24"/>
        </w:rPr>
        <w:t>Intra-symbol time division: Time-orthogonal segments within one OFDM symbol (or a short block) carry DM-RS and data; enables single-symbol TTI for latency-critical bursts.</w:t>
      </w:r>
    </w:p>
    <w:p w14:paraId="0B7815FA" w14:textId="77777777" w:rsidR="005A0276" w:rsidRPr="005A0276" w:rsidRDefault="005A0276" w:rsidP="005A0276">
      <w:pPr>
        <w:numPr>
          <w:ilvl w:val="0"/>
          <w:numId w:val="22"/>
        </w:numPr>
        <w:rPr>
          <w:sz w:val="24"/>
          <w:szCs w:val="24"/>
        </w:rPr>
      </w:pPr>
      <w:r w:rsidRPr="005A0276">
        <w:rPr>
          <w:sz w:val="24"/>
          <w:szCs w:val="24"/>
        </w:rPr>
        <w:t>Beamforming compatible: Precoding/beamforming applied per segment; UEs in the same beam can be time-multiplexed within a symbol; UEs in different beams can be scheduled in different symbols.</w:t>
      </w:r>
    </w:p>
    <w:p w14:paraId="18EFC4A1" w14:textId="77777777" w:rsidR="005A0276" w:rsidRPr="005A0276" w:rsidRDefault="005A0276" w:rsidP="005A0276">
      <w:pPr>
        <w:numPr>
          <w:ilvl w:val="0"/>
          <w:numId w:val="22"/>
        </w:numPr>
        <w:rPr>
          <w:sz w:val="24"/>
          <w:szCs w:val="24"/>
        </w:rPr>
      </w:pPr>
      <w:r w:rsidRPr="005A0276">
        <w:rPr>
          <w:sz w:val="24"/>
          <w:szCs w:val="24"/>
        </w:rPr>
        <w:t>Scheduler flexibility: Per-UE/per-HARQ selection of Mode-A vs. Mode-B based on path loss, mobility, and service requirements.</w:t>
      </w:r>
    </w:p>
    <w:p w14:paraId="41571FCB" w14:textId="77777777" w:rsidR="005A0276" w:rsidRPr="005A0276" w:rsidRDefault="00000000" w:rsidP="005A0276">
      <w:pPr>
        <w:rPr>
          <w:sz w:val="24"/>
          <w:szCs w:val="24"/>
        </w:rPr>
      </w:pPr>
      <w:r>
        <w:rPr>
          <w:sz w:val="24"/>
          <w:szCs w:val="24"/>
        </w:rPr>
        <w:pict w14:anchorId="1066C00D">
          <v:rect id="_x0000_i1027" style="width:0;height:1.5pt" o:hralign="center" o:hrstd="t" o:hr="t" fillcolor="#a0a0a0" stroked="f"/>
        </w:pict>
      </w:r>
    </w:p>
    <w:p w14:paraId="466B7747" w14:textId="77777777" w:rsidR="005A0276" w:rsidRPr="005A0276" w:rsidRDefault="005A0276" w:rsidP="005A0276">
      <w:pPr>
        <w:rPr>
          <w:b/>
          <w:bCs/>
          <w:sz w:val="24"/>
          <w:szCs w:val="24"/>
        </w:rPr>
      </w:pPr>
      <w:r w:rsidRPr="005A0276">
        <w:rPr>
          <w:b/>
          <w:bCs/>
          <w:sz w:val="24"/>
          <w:szCs w:val="24"/>
        </w:rPr>
        <w:t>3. Technical Outline (Mode-B / OTFDM DL)</w:t>
      </w:r>
    </w:p>
    <w:p w14:paraId="23CBB20A" w14:textId="77777777" w:rsidR="005A0276" w:rsidRPr="005A0276" w:rsidRDefault="005A0276" w:rsidP="005A0276">
      <w:pPr>
        <w:rPr>
          <w:b/>
          <w:bCs/>
          <w:sz w:val="24"/>
          <w:szCs w:val="24"/>
        </w:rPr>
      </w:pPr>
      <w:r w:rsidRPr="005A0276">
        <w:rPr>
          <w:b/>
          <w:bCs/>
          <w:sz w:val="24"/>
          <w:szCs w:val="24"/>
        </w:rPr>
        <w:t>Transmitter (gNB):</w:t>
      </w:r>
    </w:p>
    <w:p w14:paraId="5879FBE7" w14:textId="77777777" w:rsidR="005A0276" w:rsidRPr="005A0276" w:rsidRDefault="005A0276" w:rsidP="005A0276">
      <w:pPr>
        <w:numPr>
          <w:ilvl w:val="0"/>
          <w:numId w:val="23"/>
        </w:numPr>
        <w:rPr>
          <w:sz w:val="24"/>
          <w:szCs w:val="24"/>
        </w:rPr>
      </w:pPr>
      <w:r w:rsidRPr="005A0276">
        <w:rPr>
          <w:sz w:val="24"/>
          <w:szCs w:val="24"/>
        </w:rPr>
        <w:t>Segmentation &amp; mapping: For a scheduled UE (or small set within a beam), place a short DM-RS segment and a data segment within the same OFDM symbol (or short TTI).</w:t>
      </w:r>
    </w:p>
    <w:p w14:paraId="5AC1B7B1" w14:textId="49CD5B1B" w:rsidR="005A0276" w:rsidRPr="005A0276" w:rsidRDefault="005A0276" w:rsidP="005A0276">
      <w:pPr>
        <w:numPr>
          <w:ilvl w:val="0"/>
          <w:numId w:val="23"/>
        </w:numPr>
        <w:rPr>
          <w:sz w:val="24"/>
          <w:szCs w:val="24"/>
        </w:rPr>
      </w:pPr>
      <w:r w:rsidRPr="005A0276">
        <w:rPr>
          <w:sz w:val="24"/>
          <w:szCs w:val="24"/>
        </w:rPr>
        <w:t>DFT-precoding &amp; shaping: Apply OTFDM</w:t>
      </w:r>
      <w:r w:rsidR="00971016">
        <w:rPr>
          <w:sz w:val="24"/>
          <w:szCs w:val="24"/>
        </w:rPr>
        <w:t xml:space="preserve"> transmission principles</w:t>
      </w:r>
      <w:r w:rsidR="00C371FA">
        <w:rPr>
          <w:sz w:val="24"/>
          <w:szCs w:val="24"/>
        </w:rPr>
        <w:t>.</w:t>
      </w:r>
    </w:p>
    <w:p w14:paraId="54B0D4EB" w14:textId="77777777" w:rsidR="005A0276" w:rsidRPr="005A0276" w:rsidRDefault="005A0276" w:rsidP="005A0276">
      <w:pPr>
        <w:numPr>
          <w:ilvl w:val="0"/>
          <w:numId w:val="23"/>
        </w:numPr>
        <w:rPr>
          <w:sz w:val="24"/>
          <w:szCs w:val="24"/>
        </w:rPr>
      </w:pPr>
      <w:r w:rsidRPr="005A0276">
        <w:rPr>
          <w:sz w:val="24"/>
          <w:szCs w:val="24"/>
        </w:rPr>
        <w:t>Precoding/beamforming: Apply beamforming consistent with existing NR procedures;</w:t>
      </w:r>
    </w:p>
    <w:p w14:paraId="1EE5307D" w14:textId="77777777" w:rsidR="005A0276" w:rsidRPr="005A0276" w:rsidRDefault="005A0276" w:rsidP="005A0276">
      <w:pPr>
        <w:numPr>
          <w:ilvl w:val="0"/>
          <w:numId w:val="23"/>
        </w:numPr>
        <w:rPr>
          <w:sz w:val="24"/>
          <w:szCs w:val="24"/>
        </w:rPr>
      </w:pPr>
      <w:r w:rsidRPr="005A0276">
        <w:rPr>
          <w:sz w:val="24"/>
          <w:szCs w:val="24"/>
        </w:rPr>
        <w:t>Modulation/coding: Emphasize π/2-BPSK for maximum PA headroom (optional QPSK where appropriate); standard MCS/TBS derivations with Mode-B profiles.</w:t>
      </w:r>
    </w:p>
    <w:p w14:paraId="5981DB37" w14:textId="77777777" w:rsidR="005A0276" w:rsidRPr="00385A27" w:rsidRDefault="005A0276" w:rsidP="005A0276">
      <w:pPr>
        <w:rPr>
          <w:b/>
          <w:bCs/>
          <w:sz w:val="24"/>
          <w:szCs w:val="24"/>
        </w:rPr>
      </w:pPr>
      <w:r w:rsidRPr="00385A27">
        <w:rPr>
          <w:b/>
          <w:bCs/>
          <w:sz w:val="24"/>
          <w:szCs w:val="24"/>
        </w:rPr>
        <w:t>Receiver (UE):</w:t>
      </w:r>
    </w:p>
    <w:p w14:paraId="65C3A279" w14:textId="77777777" w:rsidR="005A0276" w:rsidRPr="005A0276" w:rsidRDefault="005A0276" w:rsidP="005A0276">
      <w:pPr>
        <w:numPr>
          <w:ilvl w:val="0"/>
          <w:numId w:val="24"/>
        </w:numPr>
        <w:rPr>
          <w:sz w:val="24"/>
          <w:szCs w:val="24"/>
        </w:rPr>
      </w:pPr>
      <w:r w:rsidRPr="005A0276">
        <w:rPr>
          <w:sz w:val="24"/>
          <w:szCs w:val="24"/>
        </w:rPr>
        <w:t>Timing/frequency/CSI: Use the intra-symbol DM-RS for acquisition and channel estimation; equalize the following data segment.</w:t>
      </w:r>
    </w:p>
    <w:p w14:paraId="1D3CDF77" w14:textId="77777777" w:rsidR="005A0276" w:rsidRPr="005A0276" w:rsidRDefault="005A0276" w:rsidP="005A0276">
      <w:pPr>
        <w:numPr>
          <w:ilvl w:val="0"/>
          <w:numId w:val="24"/>
        </w:numPr>
        <w:rPr>
          <w:sz w:val="24"/>
          <w:szCs w:val="24"/>
        </w:rPr>
      </w:pPr>
      <w:r w:rsidRPr="005A0276">
        <w:rPr>
          <w:sz w:val="24"/>
          <w:szCs w:val="24"/>
        </w:rPr>
        <w:t>Detection: Demap, decode, and HARQ as in NR; no change to higher-layer procedures.</w:t>
      </w:r>
    </w:p>
    <w:p w14:paraId="43559419" w14:textId="77777777" w:rsidR="005A0276" w:rsidRPr="00385A27" w:rsidRDefault="005A0276" w:rsidP="005A0276">
      <w:pPr>
        <w:rPr>
          <w:b/>
          <w:bCs/>
          <w:sz w:val="24"/>
          <w:szCs w:val="24"/>
        </w:rPr>
      </w:pPr>
      <w:r w:rsidRPr="00385A27">
        <w:rPr>
          <w:b/>
          <w:bCs/>
          <w:sz w:val="24"/>
          <w:szCs w:val="24"/>
        </w:rPr>
        <w:t>Reference signaling options (for study):</w:t>
      </w:r>
    </w:p>
    <w:p w14:paraId="451F61F1" w14:textId="77777777" w:rsidR="005A0276" w:rsidRPr="005A0276" w:rsidRDefault="005A0276" w:rsidP="005A0276">
      <w:pPr>
        <w:numPr>
          <w:ilvl w:val="0"/>
          <w:numId w:val="25"/>
        </w:numPr>
        <w:rPr>
          <w:sz w:val="24"/>
          <w:szCs w:val="24"/>
        </w:rPr>
      </w:pPr>
      <w:r w:rsidRPr="005A0276">
        <w:rPr>
          <w:sz w:val="24"/>
          <w:szCs w:val="24"/>
        </w:rPr>
        <w:t>Common vs. per-segment DM-RS: (a) common DM-RS for all time-segments within the symbol, or (b) short per-segment DM-RS to enhance isolation—both remain time-orthogonal.</w:t>
      </w:r>
    </w:p>
    <w:p w14:paraId="5FFD32BD" w14:textId="77777777" w:rsidR="005A0276" w:rsidRPr="005A0276" w:rsidRDefault="005A0276" w:rsidP="005A0276">
      <w:pPr>
        <w:numPr>
          <w:ilvl w:val="0"/>
          <w:numId w:val="25"/>
        </w:numPr>
        <w:rPr>
          <w:sz w:val="24"/>
          <w:szCs w:val="24"/>
        </w:rPr>
      </w:pPr>
      <w:r w:rsidRPr="005A0276">
        <w:rPr>
          <w:sz w:val="24"/>
          <w:szCs w:val="24"/>
        </w:rPr>
        <w:lastRenderedPageBreak/>
        <w:t>Density control: Per-symbol DM-RS for high mobility; reduced density for benign channels.</w:t>
      </w:r>
    </w:p>
    <w:p w14:paraId="0F9074D9" w14:textId="77777777" w:rsidR="005A0276" w:rsidRPr="005A0276" w:rsidRDefault="00000000" w:rsidP="005A0276">
      <w:pPr>
        <w:rPr>
          <w:sz w:val="24"/>
          <w:szCs w:val="24"/>
        </w:rPr>
      </w:pPr>
      <w:r>
        <w:rPr>
          <w:sz w:val="24"/>
          <w:szCs w:val="24"/>
        </w:rPr>
        <w:pict w14:anchorId="50E27EC6">
          <v:rect id="_x0000_i1028" style="width:0;height:1.5pt" o:hralign="center" o:hrstd="t" o:hr="t" fillcolor="#a0a0a0" stroked="f"/>
        </w:pict>
      </w:r>
    </w:p>
    <w:p w14:paraId="33DF69CC" w14:textId="77777777" w:rsidR="005A0276" w:rsidRPr="00385A27" w:rsidRDefault="005A0276" w:rsidP="005A0276">
      <w:pPr>
        <w:rPr>
          <w:b/>
          <w:bCs/>
          <w:sz w:val="24"/>
          <w:szCs w:val="24"/>
        </w:rPr>
      </w:pPr>
      <w:r w:rsidRPr="00385A27">
        <w:rPr>
          <w:b/>
          <w:bCs/>
          <w:sz w:val="24"/>
          <w:szCs w:val="24"/>
        </w:rPr>
        <w:t>4. Coexistence, Scheduling, and Signaling</w:t>
      </w:r>
    </w:p>
    <w:p w14:paraId="1CEA7D18" w14:textId="77777777" w:rsidR="005A0276" w:rsidRPr="005A0276" w:rsidRDefault="005A0276" w:rsidP="005A0276">
      <w:pPr>
        <w:numPr>
          <w:ilvl w:val="0"/>
          <w:numId w:val="26"/>
        </w:numPr>
        <w:rPr>
          <w:sz w:val="24"/>
          <w:szCs w:val="24"/>
        </w:rPr>
      </w:pPr>
      <w:r w:rsidRPr="005A0276">
        <w:rPr>
          <w:sz w:val="24"/>
          <w:szCs w:val="24"/>
        </w:rPr>
        <w:t>Coexistence: Mode-A and Mode-B coexist in the same carrier. The scheduler selects per UE/TTI; PDCCH/DCI indicates Mode-B usage (e.g., a DL coverage waveform flag, DM-RS pattern, and beam ID).</w:t>
      </w:r>
    </w:p>
    <w:p w14:paraId="6ACDCE38" w14:textId="77777777" w:rsidR="005A0276" w:rsidRPr="005A0276" w:rsidRDefault="005A0276" w:rsidP="005A0276">
      <w:pPr>
        <w:numPr>
          <w:ilvl w:val="0"/>
          <w:numId w:val="26"/>
        </w:numPr>
        <w:rPr>
          <w:sz w:val="24"/>
          <w:szCs w:val="24"/>
        </w:rPr>
      </w:pPr>
      <w:r w:rsidRPr="005A0276">
        <w:rPr>
          <w:sz w:val="24"/>
          <w:szCs w:val="24"/>
        </w:rPr>
        <w:t>MIMO &amp; multiplexing:</w:t>
      </w:r>
    </w:p>
    <w:p w14:paraId="746D25A3" w14:textId="77777777" w:rsidR="005A0276" w:rsidRPr="005A0276" w:rsidRDefault="005A0276" w:rsidP="005A0276">
      <w:pPr>
        <w:numPr>
          <w:ilvl w:val="1"/>
          <w:numId w:val="26"/>
        </w:numPr>
        <w:rPr>
          <w:sz w:val="24"/>
          <w:szCs w:val="24"/>
        </w:rPr>
      </w:pPr>
      <w:r w:rsidRPr="005A0276">
        <w:rPr>
          <w:sz w:val="24"/>
          <w:szCs w:val="24"/>
        </w:rPr>
        <w:t>Mode-A: full MU-MIMO and frequency-domain multiplexing as today.</w:t>
      </w:r>
    </w:p>
    <w:p w14:paraId="1A49E29E" w14:textId="77777777" w:rsidR="005A0276" w:rsidRPr="005A0276" w:rsidRDefault="005A0276" w:rsidP="005A0276">
      <w:pPr>
        <w:numPr>
          <w:ilvl w:val="1"/>
          <w:numId w:val="26"/>
        </w:numPr>
        <w:rPr>
          <w:sz w:val="24"/>
          <w:szCs w:val="24"/>
        </w:rPr>
      </w:pPr>
      <w:r w:rsidRPr="005A0276">
        <w:rPr>
          <w:sz w:val="24"/>
          <w:szCs w:val="24"/>
        </w:rPr>
        <w:t>Mode-B: time-multiplexing within a symbol for UEs in the same beam; multiplex across symbols for different beams.</w:t>
      </w:r>
    </w:p>
    <w:p w14:paraId="1F877961" w14:textId="77777777" w:rsidR="005A0276" w:rsidRPr="005A0276" w:rsidRDefault="005A0276" w:rsidP="005A0276">
      <w:pPr>
        <w:numPr>
          <w:ilvl w:val="0"/>
          <w:numId w:val="26"/>
        </w:numPr>
        <w:rPr>
          <w:sz w:val="24"/>
          <w:szCs w:val="24"/>
        </w:rPr>
      </w:pPr>
      <w:r w:rsidRPr="005A0276">
        <w:rPr>
          <w:sz w:val="24"/>
          <w:szCs w:val="24"/>
        </w:rPr>
        <w:t>Backward compatibility: Legacy OFDM UEs operate unchanged; Mode-B requires UE capability signaling (RRC).</w:t>
      </w:r>
    </w:p>
    <w:p w14:paraId="2B4837A3" w14:textId="77777777" w:rsidR="005A0276" w:rsidRPr="005A0276" w:rsidRDefault="005A0276" w:rsidP="005A0276">
      <w:pPr>
        <w:numPr>
          <w:ilvl w:val="0"/>
          <w:numId w:val="26"/>
        </w:numPr>
        <w:rPr>
          <w:sz w:val="24"/>
          <w:szCs w:val="24"/>
        </w:rPr>
      </w:pPr>
      <w:r w:rsidRPr="005A0276">
        <w:rPr>
          <w:sz w:val="24"/>
          <w:szCs w:val="24"/>
        </w:rPr>
        <w:t>Implementation impact: RU RF/PA chain remains unchanged; changes are DU/baseband for OTFDM mapping and shaping.</w:t>
      </w:r>
    </w:p>
    <w:p w14:paraId="0C8B20F0" w14:textId="77777777" w:rsidR="005A0276" w:rsidRPr="005A0276" w:rsidRDefault="00000000" w:rsidP="005A0276">
      <w:pPr>
        <w:rPr>
          <w:sz w:val="24"/>
          <w:szCs w:val="24"/>
        </w:rPr>
      </w:pPr>
      <w:r>
        <w:rPr>
          <w:sz w:val="24"/>
          <w:szCs w:val="24"/>
        </w:rPr>
        <w:pict w14:anchorId="1C2659C8">
          <v:rect id="_x0000_i1029" style="width:0;height:1.5pt" o:hralign="center" o:hrstd="t" o:hr="t" fillcolor="#a0a0a0" stroked="f"/>
        </w:pict>
      </w:r>
    </w:p>
    <w:p w14:paraId="507B5DEB" w14:textId="77777777" w:rsidR="005A0276" w:rsidRPr="00385A27" w:rsidRDefault="005A0276" w:rsidP="005A0276">
      <w:pPr>
        <w:rPr>
          <w:b/>
          <w:bCs/>
          <w:sz w:val="24"/>
          <w:szCs w:val="24"/>
        </w:rPr>
      </w:pPr>
      <w:r w:rsidRPr="00385A27">
        <w:rPr>
          <w:b/>
          <w:bCs/>
          <w:sz w:val="24"/>
          <w:szCs w:val="24"/>
        </w:rPr>
        <w:t>5. Evaluation Items for RAN1 Study</w:t>
      </w:r>
    </w:p>
    <w:p w14:paraId="27CEEC32" w14:textId="77777777" w:rsidR="005A0276" w:rsidRPr="005A0276" w:rsidRDefault="005A0276" w:rsidP="005A0276">
      <w:pPr>
        <w:rPr>
          <w:sz w:val="24"/>
          <w:szCs w:val="24"/>
        </w:rPr>
      </w:pPr>
      <w:r w:rsidRPr="005A0276">
        <w:rPr>
          <w:sz w:val="24"/>
          <w:szCs w:val="24"/>
        </w:rPr>
        <w:t>We request inclusion of the following in the study TR:</w:t>
      </w:r>
    </w:p>
    <w:p w14:paraId="4847FC40" w14:textId="0B5AC5FD" w:rsidR="005A0276" w:rsidRPr="005A0276" w:rsidRDefault="005A0276" w:rsidP="005A0276">
      <w:pPr>
        <w:numPr>
          <w:ilvl w:val="0"/>
          <w:numId w:val="27"/>
        </w:numPr>
        <w:rPr>
          <w:sz w:val="24"/>
          <w:szCs w:val="24"/>
        </w:rPr>
      </w:pPr>
      <w:r w:rsidRPr="005A0276">
        <w:rPr>
          <w:sz w:val="24"/>
          <w:szCs w:val="24"/>
        </w:rPr>
        <w:t>PA efficiency: MPR for OTFDM, ACLR/EVM vs. shaping;</w:t>
      </w:r>
    </w:p>
    <w:p w14:paraId="0CA50509" w14:textId="77777777" w:rsidR="005A0276" w:rsidRPr="005A0276" w:rsidRDefault="005A0276" w:rsidP="005A0276">
      <w:pPr>
        <w:numPr>
          <w:ilvl w:val="0"/>
          <w:numId w:val="27"/>
        </w:numPr>
        <w:rPr>
          <w:sz w:val="24"/>
          <w:szCs w:val="24"/>
        </w:rPr>
      </w:pPr>
      <w:r w:rsidRPr="005A0276">
        <w:rPr>
          <w:sz w:val="24"/>
          <w:szCs w:val="24"/>
        </w:rPr>
        <w:t>Coverage &amp; throughput trade-offs: BLER vs. SNR/path loss; indoor penetration at upper-midband; scheduler-level throughput with mixed Mode-A/Mode-B traffic.</w:t>
      </w:r>
    </w:p>
    <w:p w14:paraId="31BEDF52" w14:textId="77777777" w:rsidR="005A0276" w:rsidRPr="005A0276" w:rsidRDefault="005A0276" w:rsidP="005A0276">
      <w:pPr>
        <w:numPr>
          <w:ilvl w:val="0"/>
          <w:numId w:val="27"/>
        </w:numPr>
        <w:rPr>
          <w:sz w:val="24"/>
          <w:szCs w:val="24"/>
        </w:rPr>
      </w:pPr>
      <w:r w:rsidRPr="005A0276">
        <w:rPr>
          <w:sz w:val="24"/>
          <w:szCs w:val="24"/>
        </w:rPr>
        <w:t>Beamforming &amp; mobility: Performance under large arrays and high Doppler; impact of per-segment DM-RS density.</w:t>
      </w:r>
    </w:p>
    <w:p w14:paraId="028A1759" w14:textId="77777777" w:rsidR="005A0276" w:rsidRPr="005A0276" w:rsidRDefault="005A0276" w:rsidP="005A0276">
      <w:pPr>
        <w:numPr>
          <w:ilvl w:val="0"/>
          <w:numId w:val="27"/>
        </w:numPr>
        <w:rPr>
          <w:sz w:val="24"/>
          <w:szCs w:val="24"/>
        </w:rPr>
      </w:pPr>
      <w:r w:rsidRPr="005A0276">
        <w:rPr>
          <w:sz w:val="24"/>
          <w:szCs w:val="24"/>
        </w:rPr>
        <w:t>Complexity: DU processing load; UE Rx complexity and power.</w:t>
      </w:r>
    </w:p>
    <w:p w14:paraId="06AE5A8C" w14:textId="77777777" w:rsidR="005A0276" w:rsidRPr="005A0276" w:rsidRDefault="00000000" w:rsidP="005A0276">
      <w:pPr>
        <w:rPr>
          <w:sz w:val="24"/>
          <w:szCs w:val="24"/>
        </w:rPr>
      </w:pPr>
      <w:r>
        <w:rPr>
          <w:sz w:val="24"/>
          <w:szCs w:val="24"/>
        </w:rPr>
        <w:pict w14:anchorId="064F1E0F">
          <v:rect id="_x0000_i1030" style="width:0;height:1.5pt" o:hralign="center" o:hrstd="t" o:hr="t" fillcolor="#a0a0a0" stroked="f"/>
        </w:pict>
      </w:r>
    </w:p>
    <w:p w14:paraId="69D45C97" w14:textId="77777777" w:rsidR="005A0276" w:rsidRPr="00385A27" w:rsidRDefault="005A0276" w:rsidP="005A0276">
      <w:pPr>
        <w:rPr>
          <w:b/>
          <w:bCs/>
          <w:sz w:val="24"/>
          <w:szCs w:val="24"/>
        </w:rPr>
      </w:pPr>
      <w:r w:rsidRPr="00385A27">
        <w:rPr>
          <w:b/>
          <w:bCs/>
          <w:sz w:val="24"/>
          <w:szCs w:val="24"/>
        </w:rPr>
        <w:t>6. Conclusions and Proposed Way Forward</w:t>
      </w:r>
    </w:p>
    <w:p w14:paraId="12F0F261" w14:textId="77777777" w:rsidR="005A0276" w:rsidRPr="005A0276" w:rsidRDefault="005A0276" w:rsidP="005A0276">
      <w:pPr>
        <w:rPr>
          <w:sz w:val="24"/>
          <w:szCs w:val="24"/>
        </w:rPr>
      </w:pPr>
      <w:r w:rsidRPr="005A0276">
        <w:rPr>
          <w:sz w:val="24"/>
          <w:szCs w:val="24"/>
        </w:rPr>
        <w:t>Introducing a dual-waveform DL enables 6G NR to retain OFDM’s capacity gains while unlocking a coverage mode that recovers PA back-off losses—particularly valuable for upper-midband indoor scenarios and cell-edge users. We propose that RAN1:</w:t>
      </w:r>
    </w:p>
    <w:p w14:paraId="408F1C26" w14:textId="77777777" w:rsidR="005A0276" w:rsidRPr="005A0276" w:rsidRDefault="005A0276" w:rsidP="005A0276">
      <w:pPr>
        <w:numPr>
          <w:ilvl w:val="0"/>
          <w:numId w:val="28"/>
        </w:numPr>
        <w:rPr>
          <w:sz w:val="24"/>
          <w:szCs w:val="24"/>
        </w:rPr>
      </w:pPr>
      <w:r w:rsidRPr="005A0276">
        <w:rPr>
          <w:sz w:val="24"/>
          <w:szCs w:val="24"/>
        </w:rPr>
        <w:t>Include OTFDM-based Mode-B as a candidate DL waveform in the 6G waveform study.</w:t>
      </w:r>
    </w:p>
    <w:p w14:paraId="4D37BE63" w14:textId="77777777" w:rsidR="005A0276" w:rsidRPr="005A0276" w:rsidRDefault="005A0276" w:rsidP="005A0276">
      <w:pPr>
        <w:numPr>
          <w:ilvl w:val="0"/>
          <w:numId w:val="28"/>
        </w:numPr>
        <w:rPr>
          <w:sz w:val="24"/>
          <w:szCs w:val="24"/>
        </w:rPr>
      </w:pPr>
      <w:r w:rsidRPr="005A0276">
        <w:rPr>
          <w:sz w:val="24"/>
          <w:szCs w:val="24"/>
        </w:rPr>
        <w:t>Define baseline DM-RS patterns and shaping profiles for Mode-B single-symbol/short-TTI operation.</w:t>
      </w:r>
    </w:p>
    <w:p w14:paraId="6E8FBAF9" w14:textId="77777777" w:rsidR="005A0276" w:rsidRPr="005A0276" w:rsidRDefault="005A0276" w:rsidP="005A0276">
      <w:pPr>
        <w:numPr>
          <w:ilvl w:val="0"/>
          <w:numId w:val="28"/>
        </w:numPr>
        <w:rPr>
          <w:sz w:val="24"/>
          <w:szCs w:val="24"/>
        </w:rPr>
      </w:pPr>
      <w:r w:rsidRPr="005A0276">
        <w:rPr>
          <w:sz w:val="24"/>
          <w:szCs w:val="24"/>
        </w:rPr>
        <w:lastRenderedPageBreak/>
        <w:t>Specify scheduler/DCI hooks for per-TTI mode selection and beam association.</w:t>
      </w:r>
    </w:p>
    <w:p w14:paraId="1B04C896" w14:textId="77777777" w:rsidR="005A0276" w:rsidRPr="005A0276" w:rsidRDefault="005A0276" w:rsidP="005A0276">
      <w:pPr>
        <w:numPr>
          <w:ilvl w:val="0"/>
          <w:numId w:val="28"/>
        </w:numPr>
        <w:rPr>
          <w:sz w:val="24"/>
          <w:szCs w:val="24"/>
        </w:rPr>
      </w:pPr>
      <w:r w:rsidRPr="005A0276">
        <w:rPr>
          <w:sz w:val="24"/>
          <w:szCs w:val="24"/>
        </w:rPr>
        <w:t>Run agreed evaluation items (Section 5) to quantify coverage/throughput/complexity trade-offs.</w:t>
      </w:r>
    </w:p>
    <w:p w14:paraId="218FEC26" w14:textId="77777777" w:rsidR="005A0276" w:rsidRPr="005A0276" w:rsidRDefault="005A0276" w:rsidP="005A0276">
      <w:pPr>
        <w:rPr>
          <w:sz w:val="24"/>
          <w:szCs w:val="24"/>
        </w:rPr>
      </w:pPr>
    </w:p>
    <w:p w14:paraId="2546DDE0" w14:textId="77777777" w:rsidR="00006821" w:rsidRPr="005A0276" w:rsidRDefault="00006821" w:rsidP="005A0276">
      <w:pPr>
        <w:rPr>
          <w:sz w:val="24"/>
          <w:szCs w:val="24"/>
        </w:rPr>
      </w:pPr>
    </w:p>
    <w:sectPr w:rsidR="00006821" w:rsidRPr="005A02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3ED4"/>
    <w:multiLevelType w:val="multilevel"/>
    <w:tmpl w:val="F1F25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C95E5E"/>
    <w:multiLevelType w:val="multilevel"/>
    <w:tmpl w:val="F7BA2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AE370F"/>
    <w:multiLevelType w:val="multilevel"/>
    <w:tmpl w:val="DFF8B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324BC"/>
    <w:multiLevelType w:val="multilevel"/>
    <w:tmpl w:val="DECAA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62EB6"/>
    <w:multiLevelType w:val="multilevel"/>
    <w:tmpl w:val="5D90C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2607E"/>
    <w:multiLevelType w:val="multilevel"/>
    <w:tmpl w:val="03B2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3C13"/>
    <w:multiLevelType w:val="multilevel"/>
    <w:tmpl w:val="C7D8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113DB"/>
    <w:multiLevelType w:val="multilevel"/>
    <w:tmpl w:val="B616F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0B2FD6"/>
    <w:multiLevelType w:val="multilevel"/>
    <w:tmpl w:val="CAC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C050F4"/>
    <w:multiLevelType w:val="multilevel"/>
    <w:tmpl w:val="D5CC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CA475C"/>
    <w:multiLevelType w:val="multilevel"/>
    <w:tmpl w:val="A2D0A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3D7C7D"/>
    <w:multiLevelType w:val="multilevel"/>
    <w:tmpl w:val="424CE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12CCF"/>
    <w:multiLevelType w:val="multilevel"/>
    <w:tmpl w:val="694AB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B11779"/>
    <w:multiLevelType w:val="multilevel"/>
    <w:tmpl w:val="78B2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754E03"/>
    <w:multiLevelType w:val="multilevel"/>
    <w:tmpl w:val="2A8E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EB7AAF"/>
    <w:multiLevelType w:val="multilevel"/>
    <w:tmpl w:val="D77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DE2AF1"/>
    <w:multiLevelType w:val="multilevel"/>
    <w:tmpl w:val="0F76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22392D"/>
    <w:multiLevelType w:val="multilevel"/>
    <w:tmpl w:val="7C78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AA2B96"/>
    <w:multiLevelType w:val="multilevel"/>
    <w:tmpl w:val="CF9C5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B25F1B"/>
    <w:multiLevelType w:val="multilevel"/>
    <w:tmpl w:val="CC78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816D80"/>
    <w:multiLevelType w:val="multilevel"/>
    <w:tmpl w:val="5222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657065"/>
    <w:multiLevelType w:val="multilevel"/>
    <w:tmpl w:val="487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997B4B"/>
    <w:multiLevelType w:val="multilevel"/>
    <w:tmpl w:val="5EA0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D77922"/>
    <w:multiLevelType w:val="multilevel"/>
    <w:tmpl w:val="CC76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4F6FC0"/>
    <w:multiLevelType w:val="multilevel"/>
    <w:tmpl w:val="BC9C3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9B0F64"/>
    <w:multiLevelType w:val="multilevel"/>
    <w:tmpl w:val="6466F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FE2640"/>
    <w:multiLevelType w:val="multilevel"/>
    <w:tmpl w:val="631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2834A1"/>
    <w:multiLevelType w:val="multilevel"/>
    <w:tmpl w:val="A0C2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1083798">
    <w:abstractNumId w:val="23"/>
  </w:num>
  <w:num w:numId="2" w16cid:durableId="916789562">
    <w:abstractNumId w:val="2"/>
  </w:num>
  <w:num w:numId="3" w16cid:durableId="953905105">
    <w:abstractNumId w:val="26"/>
  </w:num>
  <w:num w:numId="4" w16cid:durableId="1402294225">
    <w:abstractNumId w:val="0"/>
  </w:num>
  <w:num w:numId="5" w16cid:durableId="358045371">
    <w:abstractNumId w:val="8"/>
  </w:num>
  <w:num w:numId="6" w16cid:durableId="1047073357">
    <w:abstractNumId w:val="27"/>
  </w:num>
  <w:num w:numId="7" w16cid:durableId="2134209308">
    <w:abstractNumId w:val="16"/>
  </w:num>
  <w:num w:numId="8" w16cid:durableId="1110012716">
    <w:abstractNumId w:val="13"/>
  </w:num>
  <w:num w:numId="9" w16cid:durableId="1675379895">
    <w:abstractNumId w:val="6"/>
  </w:num>
  <w:num w:numId="10" w16cid:durableId="176384411">
    <w:abstractNumId w:val="19"/>
  </w:num>
  <w:num w:numId="11" w16cid:durableId="1039013897">
    <w:abstractNumId w:val="5"/>
  </w:num>
  <w:num w:numId="12" w16cid:durableId="1902671617">
    <w:abstractNumId w:val="10"/>
  </w:num>
  <w:num w:numId="13" w16cid:durableId="1265839916">
    <w:abstractNumId w:val="4"/>
  </w:num>
  <w:num w:numId="14" w16cid:durableId="1246303414">
    <w:abstractNumId w:val="21"/>
  </w:num>
  <w:num w:numId="15" w16cid:durableId="880673924">
    <w:abstractNumId w:val="12"/>
  </w:num>
  <w:num w:numId="16" w16cid:durableId="142894058">
    <w:abstractNumId w:val="24"/>
  </w:num>
  <w:num w:numId="17" w16cid:durableId="2116248918">
    <w:abstractNumId w:val="17"/>
  </w:num>
  <w:num w:numId="18" w16cid:durableId="472792475">
    <w:abstractNumId w:val="25"/>
  </w:num>
  <w:num w:numId="19" w16cid:durableId="1574389699">
    <w:abstractNumId w:val="7"/>
  </w:num>
  <w:num w:numId="20" w16cid:durableId="1386029758">
    <w:abstractNumId w:val="15"/>
  </w:num>
  <w:num w:numId="21" w16cid:durableId="1496528453">
    <w:abstractNumId w:val="9"/>
  </w:num>
  <w:num w:numId="22" w16cid:durableId="2003239189">
    <w:abstractNumId w:val="14"/>
  </w:num>
  <w:num w:numId="23" w16cid:durableId="1571965043">
    <w:abstractNumId w:val="11"/>
  </w:num>
  <w:num w:numId="24" w16cid:durableId="610210927">
    <w:abstractNumId w:val="1"/>
  </w:num>
  <w:num w:numId="25" w16cid:durableId="1054963535">
    <w:abstractNumId w:val="3"/>
  </w:num>
  <w:num w:numId="26" w16cid:durableId="101153822">
    <w:abstractNumId w:val="20"/>
  </w:num>
  <w:num w:numId="27" w16cid:durableId="1401442214">
    <w:abstractNumId w:val="22"/>
  </w:num>
  <w:num w:numId="28" w16cid:durableId="9695001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9BC"/>
    <w:rsid w:val="00006821"/>
    <w:rsid w:val="00017C57"/>
    <w:rsid w:val="001C4731"/>
    <w:rsid w:val="001E0933"/>
    <w:rsid w:val="0027042C"/>
    <w:rsid w:val="002B0BC7"/>
    <w:rsid w:val="002C1DA6"/>
    <w:rsid w:val="00385A27"/>
    <w:rsid w:val="005A0276"/>
    <w:rsid w:val="005F29BC"/>
    <w:rsid w:val="00636125"/>
    <w:rsid w:val="00647F7A"/>
    <w:rsid w:val="006C3D8C"/>
    <w:rsid w:val="006E2A3E"/>
    <w:rsid w:val="00796D93"/>
    <w:rsid w:val="007977C1"/>
    <w:rsid w:val="0080769E"/>
    <w:rsid w:val="008442D3"/>
    <w:rsid w:val="00971016"/>
    <w:rsid w:val="009727E2"/>
    <w:rsid w:val="00994049"/>
    <w:rsid w:val="00A214E4"/>
    <w:rsid w:val="00A468CE"/>
    <w:rsid w:val="00A508B2"/>
    <w:rsid w:val="00A56BFD"/>
    <w:rsid w:val="00AB07C2"/>
    <w:rsid w:val="00AE1BBE"/>
    <w:rsid w:val="00C371FA"/>
    <w:rsid w:val="00C457EF"/>
    <w:rsid w:val="00C517BC"/>
    <w:rsid w:val="00CC197D"/>
    <w:rsid w:val="00DE12F3"/>
    <w:rsid w:val="00E0152D"/>
    <w:rsid w:val="00EF154D"/>
    <w:rsid w:val="00F27374"/>
    <w:rsid w:val="00F419EF"/>
    <w:rsid w:val="00F55BA4"/>
    <w:rsid w:val="00FD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4D01"/>
  <w15:chartTrackingRefBased/>
  <w15:docId w15:val="{39ED0735-DCEF-4CAB-9888-92F48C2D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9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9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9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9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9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9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9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9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9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9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9B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154D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rsid w:val="00EF154D"/>
    <w:pPr>
      <w:spacing w:after="0" w:line="240" w:lineRule="auto"/>
    </w:pPr>
    <w:rPr>
      <w:rFonts w:eastAsia="MS Mincho"/>
      <w:kern w:val="0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 kuchi</dc:creator>
  <cp:keywords/>
  <dc:description/>
  <cp:lastModifiedBy>kiran kumar kuchi</cp:lastModifiedBy>
  <cp:revision>11</cp:revision>
  <dcterms:created xsi:type="dcterms:W3CDTF">2025-08-14T02:25:00Z</dcterms:created>
  <dcterms:modified xsi:type="dcterms:W3CDTF">2025-08-14T16:45:00Z</dcterms:modified>
</cp:coreProperties>
</file>