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EC13F" w14:textId="736957D5" w:rsidR="00D016ED" w:rsidRPr="00D016ED" w:rsidRDefault="00D016ED" w:rsidP="00D016E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iCs/>
          <w:noProof/>
          <w:sz w:val="28"/>
          <w:szCs w:val="28"/>
          <w:lang w:eastAsia="zh-CN"/>
        </w:rPr>
      </w:pPr>
      <w:bookmarkStart w:id="0" w:name="_Hlk54275161"/>
      <w:bookmarkEnd w:id="0"/>
      <w:r w:rsidRPr="00D016ED">
        <w:rPr>
          <w:rFonts w:ascii="Arial" w:eastAsia="宋体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D016ED">
        <w:rPr>
          <w:rFonts w:ascii="Arial" w:eastAsia="宋体" w:hAnsi="Arial" w:cs="Arial"/>
          <w:b/>
          <w:iCs/>
          <w:noProof/>
          <w:sz w:val="28"/>
          <w:szCs w:val="28"/>
          <w:lang w:eastAsia="zh-CN"/>
        </w:rPr>
        <w:tab/>
        <w:t>R1-250</w:t>
      </w:r>
      <w:r w:rsidR="00A51C37">
        <w:rPr>
          <w:rFonts w:ascii="Arial" w:eastAsia="宋体" w:hAnsi="Arial" w:cs="Arial"/>
          <w:b/>
          <w:iCs/>
          <w:noProof/>
          <w:sz w:val="28"/>
          <w:szCs w:val="28"/>
          <w:lang w:eastAsia="zh-CN"/>
        </w:rPr>
        <w:t>4857</w:t>
      </w:r>
    </w:p>
    <w:p w14:paraId="24587750" w14:textId="77777777" w:rsidR="00D016ED" w:rsidRPr="00D016ED" w:rsidRDefault="00D016ED" w:rsidP="00D016ED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8"/>
          <w:szCs w:val="28"/>
          <w:lang w:eastAsia="en-US"/>
        </w:rPr>
      </w:pPr>
      <w:r w:rsidRPr="00D016ED">
        <w:rPr>
          <w:rFonts w:ascii="Arial" w:eastAsia="宋体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70E6016A" w14:textId="77777777" w:rsidR="00D016ED" w:rsidRPr="00D016ED" w:rsidRDefault="00D016ED" w:rsidP="00D016ED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</w:p>
    <w:p w14:paraId="3242F1E2" w14:textId="7C9B2A87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_Hlk1958791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2" w:name="_Hlk195879097"/>
      <w:r w:rsidR="00DF05FA" w:rsidRPr="00DF05FA">
        <w:rPr>
          <w:rFonts w:ascii="Arial" w:hAnsi="Arial" w:cs="Arial"/>
          <w:bCs/>
          <w:sz w:val="22"/>
          <w:szCs w:val="22"/>
        </w:rPr>
        <w:t xml:space="preserve">Draft reply </w:t>
      </w:r>
      <w:r w:rsidR="00E6249A" w:rsidRPr="00E6249A">
        <w:rPr>
          <w:rFonts w:ascii="Arial" w:hAnsi="Arial" w:cs="Arial"/>
          <w:sz w:val="22"/>
          <w:szCs w:val="22"/>
        </w:rPr>
        <w:t xml:space="preserve">LS on </w:t>
      </w:r>
      <w:r w:rsidR="00FB7566" w:rsidRPr="00FB7566">
        <w:rPr>
          <w:rFonts w:ascii="Arial" w:hAnsi="Arial" w:cs="Arial"/>
          <w:sz w:val="22"/>
          <w:szCs w:val="22"/>
        </w:rPr>
        <w:t>simultaneous configuration of SBFD and DC</w:t>
      </w:r>
      <w:bookmarkEnd w:id="2"/>
    </w:p>
    <w:p w14:paraId="4D462D1D" w14:textId="7FEE7A6F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05FA" w:rsidRPr="00DF05FA">
        <w:rPr>
          <w:rFonts w:ascii="Arial" w:hAnsi="Arial" w:cs="Arial"/>
          <w:bCs/>
          <w:sz w:val="22"/>
          <w:szCs w:val="22"/>
        </w:rPr>
        <w:t>R2-2503191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3686ABCC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7566" w:rsidRPr="00FB7566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FB7566" w:rsidRPr="00FB7566">
        <w:rPr>
          <w:rFonts w:ascii="Arial" w:hAnsi="Arial" w:cs="Arial"/>
          <w:bCs/>
          <w:sz w:val="22"/>
          <w:szCs w:val="22"/>
        </w:rPr>
        <w:t>-Core</w:t>
      </w:r>
    </w:p>
    <w:bookmarkEnd w:id="1"/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6289C0CE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05FA">
        <w:rPr>
          <w:rFonts w:ascii="Arial" w:hAnsi="Arial" w:cs="Arial"/>
          <w:sz w:val="22"/>
          <w:szCs w:val="22"/>
        </w:rPr>
        <w:t>Xiaomi</w:t>
      </w:r>
    </w:p>
    <w:p w14:paraId="1FD1A7DF" w14:textId="4C4B27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>RAN</w:t>
      </w:r>
      <w:r w:rsidR="00DF05FA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4921E2AA" w14:textId="700AC6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 xml:space="preserve">RAN3, </w:t>
      </w:r>
      <w:r w:rsidR="00FB7566" w:rsidRPr="00FB7566">
        <w:rPr>
          <w:rFonts w:ascii="Arial" w:hAnsi="Arial" w:cs="Arial"/>
          <w:bCs/>
          <w:sz w:val="22"/>
          <w:szCs w:val="22"/>
          <w:lang w:eastAsia="zh-CN"/>
        </w:rPr>
        <w:t>RAN4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BFB97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Yanping Xing</w:t>
      </w:r>
    </w:p>
    <w:p w14:paraId="6B70172B" w14:textId="3259AA8D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xingyanping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DF05FA">
        <w:rPr>
          <w:rFonts w:ascii="Arial" w:hAnsi="Arial" w:cs="Arial"/>
          <w:bCs/>
          <w:sz w:val="22"/>
          <w:szCs w:val="22"/>
        </w:rPr>
        <w:t>xiaomi.</w:t>
      </w:r>
      <w:r w:rsidR="001252FB" w:rsidRPr="00FB7566">
        <w:rPr>
          <w:rFonts w:ascii="Arial" w:hAnsi="Arial" w:cs="Arial"/>
          <w:bCs/>
          <w:sz w:val="22"/>
          <w:szCs w:val="22"/>
        </w:rPr>
        <w:t>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93E796" w14:textId="77777777" w:rsidR="00D7126E" w:rsidRDefault="000A327E" w:rsidP="000F6242">
      <w:pPr>
        <w:rPr>
          <w:lang w:eastAsia="zh-CN"/>
        </w:rPr>
      </w:pPr>
      <w:r>
        <w:rPr>
          <w:lang w:eastAsia="zh-CN"/>
        </w:rPr>
        <w:t>RAN</w:t>
      </w:r>
      <w:r w:rsidR="00DF05FA">
        <w:rPr>
          <w:lang w:eastAsia="zh-CN"/>
        </w:rPr>
        <w:t xml:space="preserve">1 would like to thank RAN2 for the LS on </w:t>
      </w:r>
      <w:r w:rsidR="00DF05FA" w:rsidRPr="00DF05FA">
        <w:rPr>
          <w:lang w:eastAsia="zh-CN"/>
        </w:rPr>
        <w:t>simultaneous configuration of SBFD and DC</w:t>
      </w:r>
      <w:r w:rsidR="00DF05FA">
        <w:rPr>
          <w:lang w:eastAsia="zh-CN"/>
        </w:rPr>
        <w:t xml:space="preserve"> in </w:t>
      </w:r>
      <w:r w:rsidR="00DF05FA" w:rsidRPr="00DF05FA">
        <w:rPr>
          <w:lang w:eastAsia="zh-CN"/>
        </w:rPr>
        <w:t>R2-2503191</w:t>
      </w:r>
      <w:r w:rsidR="00DF05FA">
        <w:rPr>
          <w:lang w:eastAsia="zh-CN"/>
        </w:rPr>
        <w:t xml:space="preserve">. </w:t>
      </w:r>
    </w:p>
    <w:p w14:paraId="326ED707" w14:textId="42E59BB9" w:rsidR="00DF05FA" w:rsidRDefault="00DF05FA" w:rsidP="000F6242">
      <w:pPr>
        <w:rPr>
          <w:lang w:eastAsia="zh-CN"/>
        </w:rPr>
      </w:pPr>
      <w:r>
        <w:rPr>
          <w:lang w:eastAsia="zh-CN"/>
        </w:rPr>
        <w:t>For the question on w</w:t>
      </w:r>
      <w:r w:rsidRPr="00DF05FA">
        <w:rPr>
          <w:lang w:eastAsia="zh-CN"/>
        </w:rPr>
        <w:t>hether SBFD and DC can be configured simultaneously, and whether there is any issue with such configuration for an SBFD-aware UE</w:t>
      </w:r>
      <w:r>
        <w:rPr>
          <w:lang w:eastAsia="zh-CN"/>
        </w:rPr>
        <w:t>, RAN1 made the following conclusion.</w:t>
      </w:r>
    </w:p>
    <w:p w14:paraId="14B0AA5B" w14:textId="33052ACC" w:rsidR="00DF05FA" w:rsidRPr="00C21AF4" w:rsidRDefault="00DF05FA" w:rsidP="00DF05FA">
      <w:pPr>
        <w:rPr>
          <w:rFonts w:eastAsiaTheme="minorEastAsia"/>
          <w:b/>
          <w:bCs/>
          <w:lang w:eastAsia="zh-CN"/>
        </w:rPr>
      </w:pPr>
      <w:r w:rsidRPr="00C21AF4">
        <w:rPr>
          <w:rFonts w:eastAsia="Malgun Gothic"/>
          <w:b/>
          <w:bCs/>
          <w:lang w:eastAsia="ko-KR"/>
        </w:rPr>
        <w:t>Conclusion</w:t>
      </w:r>
      <w:r w:rsidRPr="00C21AF4">
        <w:rPr>
          <w:rFonts w:eastAsiaTheme="minorEastAsia"/>
          <w:b/>
          <w:bCs/>
          <w:lang w:eastAsia="zh-CN"/>
        </w:rPr>
        <w:t xml:space="preserve">: </w:t>
      </w:r>
    </w:p>
    <w:p w14:paraId="588421AD" w14:textId="65E3DDED" w:rsidR="00DF05FA" w:rsidRPr="007F06A7" w:rsidRDefault="00DF05FA" w:rsidP="007A6CE5">
      <w:pPr>
        <w:pStyle w:val="af9"/>
        <w:numPr>
          <w:ilvl w:val="0"/>
          <w:numId w:val="7"/>
        </w:numPr>
        <w:rPr>
          <w:lang w:eastAsia="ja-JP"/>
        </w:rPr>
      </w:pPr>
      <w:r w:rsidRPr="007F06A7">
        <w:rPr>
          <w:lang w:eastAsia="ja-JP"/>
        </w:rPr>
        <w:t xml:space="preserve">From RAN1 perspective, considering the specification impact, </w:t>
      </w:r>
      <w:r w:rsidRPr="007F06A7">
        <w:t>SBFD and NR-DC</w:t>
      </w:r>
      <w:r w:rsidRPr="007F06A7">
        <w:rPr>
          <w:lang w:eastAsia="ja-JP"/>
        </w:rPr>
        <w:t xml:space="preserve"> can be configured simultaneously only for inter-band NR-DC if a UE is capable of simultaneous transmission and reception indicated by UE capability </w:t>
      </w:r>
      <w:proofErr w:type="spellStart"/>
      <w:r w:rsidRPr="007A6CE5">
        <w:rPr>
          <w:i/>
        </w:rPr>
        <w:t>simultaneousRxTxInterBandCA</w:t>
      </w:r>
      <w:proofErr w:type="spellEnd"/>
      <w:r w:rsidRPr="007F06A7">
        <w:rPr>
          <w:lang w:eastAsia="ja-JP"/>
        </w:rPr>
        <w:t xml:space="preserve">, where </w:t>
      </w:r>
      <w:r w:rsidRPr="007F06A7">
        <w:t>SBFD operation is applicable on only one NR TDD carrier.</w:t>
      </w:r>
    </w:p>
    <w:p w14:paraId="600CC1A9" w14:textId="2584592F" w:rsidR="00DF05FA" w:rsidRPr="007F06A7" w:rsidRDefault="007A6CE5" w:rsidP="00DF05FA">
      <w:pPr>
        <w:pStyle w:val="af9"/>
        <w:numPr>
          <w:ilvl w:val="0"/>
          <w:numId w:val="7"/>
        </w:numPr>
        <w:spacing w:afterLines="50" w:after="120"/>
        <w:ind w:left="714" w:hanging="357"/>
        <w:rPr>
          <w:rFonts w:eastAsia="Malgun Gothic"/>
          <w:lang w:eastAsia="ko-KR"/>
        </w:rPr>
      </w:pPr>
      <w:r>
        <w:t xml:space="preserve">Inform RAN2 that specification impact to support this feature is not restricted to RAN1 but will result in specification impact on RAN4 as well. </w:t>
      </w:r>
      <w:r w:rsidR="00DF05FA" w:rsidRPr="007F06A7">
        <w:rPr>
          <w:rFonts w:hint="eastAsia"/>
        </w:rPr>
        <w:t>I</w:t>
      </w:r>
      <w:r w:rsidR="00DF05FA" w:rsidRPr="007F06A7">
        <w:t xml:space="preserve">f supported, at least the </w:t>
      </w:r>
      <w:r w:rsidR="00DF05FA" w:rsidRPr="007F06A7">
        <w:rPr>
          <w:rFonts w:eastAsia="Malgun Gothic"/>
          <w:lang w:eastAsia="ko-KR"/>
        </w:rPr>
        <w:t xml:space="preserve">following specification change to TS 38.213 should be adopted and the RAN4 specification for the configured transmitted power level for NR-DC in TS38.101-1 Clause 6.2B.4.1 may also need </w:t>
      </w:r>
      <w:r w:rsidR="00DF05FA">
        <w:rPr>
          <w:rFonts w:eastAsia="Malgun Gothic"/>
          <w:lang w:eastAsia="ko-KR"/>
        </w:rPr>
        <w:t xml:space="preserve">to </w:t>
      </w:r>
      <w:r w:rsidR="00DF05FA" w:rsidRPr="007F06A7">
        <w:rPr>
          <w:rFonts w:eastAsia="Malgun Gothic"/>
          <w:lang w:eastAsia="ko-KR"/>
        </w:rPr>
        <w:t>be updated accordingly.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9855"/>
      </w:tblGrid>
      <w:tr w:rsidR="00DF05FA" w14:paraId="6393BB39" w14:textId="77777777" w:rsidTr="00987BBD">
        <w:tc>
          <w:tcPr>
            <w:tcW w:w="5000" w:type="pct"/>
          </w:tcPr>
          <w:p w14:paraId="646E6C19" w14:textId="77777777" w:rsidR="00DF05FA" w:rsidRDefault="00DF05FA" w:rsidP="00987BBD">
            <w:pPr>
              <w:keepNext/>
              <w:keepLines/>
              <w:spacing w:before="120"/>
              <w:outlineLvl w:val="2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  <w:sz w:val="28"/>
              </w:rPr>
              <w:lastRenderedPageBreak/>
              <w:t>7.6.2</w:t>
            </w:r>
            <w:r>
              <w:rPr>
                <w:rFonts w:ascii="Arial" w:eastAsia="宋体" w:hAnsi="Arial"/>
                <w:sz w:val="28"/>
              </w:rPr>
              <w:tab/>
              <w:t>NR-DC</w:t>
            </w:r>
          </w:p>
          <w:p w14:paraId="7B35F703" w14:textId="77777777" w:rsidR="00DF05FA" w:rsidRDefault="00DF05FA" w:rsidP="00987BBD">
            <w:pPr>
              <w:shd w:val="clear" w:color="auto" w:fill="FFFFFF"/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The UE procedures described in this clause are not applicable if the UE is provided </w:t>
            </w:r>
            <w:proofErr w:type="spellStart"/>
            <w:r>
              <w:rPr>
                <w:rFonts w:eastAsia="宋体"/>
                <w:i/>
              </w:rPr>
              <w:t>scg</w:t>
            </w:r>
            <w:proofErr w:type="spellEnd"/>
            <w:r>
              <w:rPr>
                <w:rFonts w:eastAsia="宋体"/>
                <w:i/>
              </w:rPr>
              <w:t>-State</w:t>
            </w:r>
            <w:r>
              <w:rPr>
                <w:rFonts w:eastAsia="宋体"/>
              </w:rPr>
              <w:t xml:space="preserve"> [12, TS 38.331].</w:t>
            </w:r>
          </w:p>
          <w:p w14:paraId="60521890" w14:textId="77777777" w:rsidR="00DF05FA" w:rsidRDefault="00DF05FA" w:rsidP="00987BBD">
            <w:pPr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 xml:space="preserve">If a UE is configured with an MCG using NR radio access in FR1 or in FR2 and with a SCG using </w:t>
            </w:r>
            <w:r>
              <w:rPr>
                <w:rFonts w:eastAsia="宋体"/>
                <w:lang w:eastAsia="ja-JP"/>
              </w:rPr>
              <w:t xml:space="preserve">NR radio access in </w:t>
            </w:r>
            <w:r>
              <w:rPr>
                <w:rFonts w:eastAsia="宋体"/>
              </w:rPr>
              <w:t>FR2 or in FR1</w:t>
            </w:r>
            <w:r>
              <w:rPr>
                <w:rFonts w:eastAsia="宋体"/>
                <w:lang w:eastAsia="ja-JP"/>
              </w:rPr>
              <w:t xml:space="preserve">, respectively, </w:t>
            </w:r>
            <w:r>
              <w:rPr>
                <w:rFonts w:eastAsia="宋体"/>
              </w:rPr>
              <w:t>the UE performs transmission power control independently per cell group as described in clauses 7.1 through 7.5</w:t>
            </w:r>
            <w:r>
              <w:rPr>
                <w:rFonts w:eastAsia="宋体"/>
                <w:lang w:eastAsia="ja-JP"/>
              </w:rPr>
              <w:t>.</w:t>
            </w:r>
          </w:p>
          <w:p w14:paraId="48852A7F" w14:textId="77777777" w:rsidR="00DF05FA" w:rsidRDefault="00DF05FA" w:rsidP="00987BBD">
            <w:pPr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>If a UE is configured with an MCG and a SCG using NR radio access in FR1 and/or in FR2</w:t>
            </w:r>
            <w:r>
              <w:rPr>
                <w:rFonts w:eastAsia="宋体"/>
                <w:lang w:eastAsia="ja-JP"/>
              </w:rPr>
              <w:t xml:space="preserve">, the UE is configured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  <w:lang w:eastAsia="ja-JP"/>
              </w:rPr>
              <w:t xml:space="preserve"> for transmissions on the MCG by </w:t>
            </w:r>
            <w:r>
              <w:rPr>
                <w:rFonts w:eastAsia="宋体"/>
                <w:i/>
                <w:lang w:eastAsia="ja-JP"/>
              </w:rPr>
              <w:t>p-NR-FR1</w:t>
            </w:r>
            <w:r>
              <w:rPr>
                <w:rFonts w:eastAsia="宋体"/>
                <w:lang w:eastAsia="ja-JP"/>
              </w:rPr>
              <w:t xml:space="preserve"> and/or by </w:t>
            </w:r>
            <w:r>
              <w:rPr>
                <w:rFonts w:eastAsia="宋体"/>
                <w:i/>
                <w:lang w:eastAsia="ja-JP"/>
              </w:rPr>
              <w:t>p-NR-FR2</w:t>
            </w:r>
            <w:r>
              <w:rPr>
                <w:rFonts w:eastAsia="宋体"/>
                <w:lang w:eastAsia="ja-JP"/>
              </w:rPr>
              <w:t xml:space="preserve"> and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lang w:eastAsia="ja-JP"/>
              </w:rPr>
              <w:t xml:space="preserve">for transmissions on the SCG by </w:t>
            </w:r>
            <w:r>
              <w:rPr>
                <w:rFonts w:eastAsia="宋体"/>
                <w:i/>
                <w:lang w:eastAsia="ja-JP"/>
              </w:rPr>
              <w:t>p-NR-FR1</w:t>
            </w:r>
            <w:r>
              <w:rPr>
                <w:rFonts w:eastAsia="宋体"/>
                <w:iCs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 xml:space="preserve">and/or by </w:t>
            </w:r>
            <w:r>
              <w:rPr>
                <w:rFonts w:eastAsia="宋体"/>
                <w:i/>
                <w:lang w:eastAsia="ja-JP"/>
              </w:rPr>
              <w:t>p-NR-FR2</w:t>
            </w:r>
            <w:r>
              <w:rPr>
                <w:rFonts w:eastAsia="宋体"/>
                <w:lang w:eastAsia="ja-JP"/>
              </w:rPr>
              <w:t xml:space="preserve"> and with an inter-CG power sharing mode by </w:t>
            </w:r>
            <w:r>
              <w:rPr>
                <w:rFonts w:eastAsia="宋体"/>
                <w:i/>
                <w:iCs/>
                <w:lang w:eastAsia="ja-JP"/>
              </w:rPr>
              <w:t>nrdc-PCmode-FR1</w:t>
            </w:r>
            <w:r>
              <w:rPr>
                <w:rFonts w:eastAsia="宋体"/>
                <w:iCs/>
                <w:lang w:eastAsia="ja-JP"/>
              </w:rPr>
              <w:t xml:space="preserve"> for FR1 and/or </w:t>
            </w:r>
            <w:r>
              <w:rPr>
                <w:rFonts w:eastAsia="宋体"/>
                <w:lang w:eastAsia="ja-JP"/>
              </w:rPr>
              <w:t xml:space="preserve">by </w:t>
            </w:r>
            <w:r>
              <w:rPr>
                <w:rFonts w:eastAsia="宋体"/>
                <w:i/>
                <w:iCs/>
                <w:lang w:eastAsia="ja-JP"/>
              </w:rPr>
              <w:t>nrdc-PCmode-FR2</w:t>
            </w:r>
            <w:r>
              <w:rPr>
                <w:rFonts w:eastAsia="宋体"/>
                <w:iCs/>
                <w:lang w:eastAsia="ja-JP"/>
              </w:rPr>
              <w:t xml:space="preserve"> for FR2</w:t>
            </w:r>
            <w:r>
              <w:rPr>
                <w:rFonts w:eastAsia="宋体"/>
                <w:lang w:eastAsia="ja-JP"/>
              </w:rPr>
              <w:t>. The UE determines a transmission power on the MCG and a transmission power on the SCG per frequency range.</w:t>
            </w:r>
          </w:p>
          <w:p w14:paraId="37BC3057" w14:textId="77777777" w:rsidR="00DF05FA" w:rsidRDefault="00DF05FA" w:rsidP="00987BBD">
            <w:pPr>
              <w:rPr>
                <w:rFonts w:eastAsia="宋体"/>
              </w:rPr>
            </w:pPr>
            <w:r>
              <w:rPr>
                <w:rFonts w:eastAsia="宋体"/>
              </w:rPr>
              <w:t xml:space="preserve">If a UE is provided </w:t>
            </w:r>
            <w:r>
              <w:rPr>
                <w:rFonts w:eastAsia="宋体"/>
                <w:i/>
              </w:rPr>
              <w:t xml:space="preserve">semi-static-mode1 </w:t>
            </w:r>
            <w:r>
              <w:rPr>
                <w:rFonts w:eastAsia="宋体"/>
                <w:iCs/>
              </w:rPr>
              <w:t xml:space="preserve">for </w:t>
            </w:r>
            <w:r>
              <w:rPr>
                <w:rFonts w:eastAsia="宋体"/>
                <w:i/>
                <w:iCs/>
              </w:rPr>
              <w:t>nrdc-PCmode-FR1</w:t>
            </w:r>
            <w:r>
              <w:rPr>
                <w:rFonts w:eastAsia="宋体"/>
              </w:rPr>
              <w:t xml:space="preserve"> or for </w:t>
            </w:r>
            <w:r>
              <w:rPr>
                <w:rFonts w:eastAsia="宋体"/>
                <w:i/>
                <w:iCs/>
              </w:rPr>
              <w:t>nrdc-PCmode-FR2</w:t>
            </w:r>
            <w:r>
              <w:rPr>
                <w:rFonts w:eastAsia="宋体"/>
                <w:iCs/>
              </w:rPr>
              <w:t>,</w:t>
            </w:r>
            <w:r>
              <w:rPr>
                <w:rFonts w:eastAsia="宋体"/>
                <w:i/>
              </w:rPr>
              <w:t xml:space="preserve"> </w:t>
            </w:r>
            <w:r>
              <w:rPr>
                <w:rFonts w:eastAsia="宋体"/>
                <w:iCs/>
              </w:rPr>
              <w:t xml:space="preserve">or </w:t>
            </w:r>
            <w:r>
              <w:rPr>
                <w:rFonts w:eastAsia="宋体"/>
                <w:i/>
              </w:rPr>
              <w:t xml:space="preserve">semi-static-mode2 </w:t>
            </w:r>
            <w:r>
              <w:rPr>
                <w:rFonts w:eastAsia="宋体"/>
                <w:iCs/>
              </w:rPr>
              <w:t xml:space="preserve">for </w:t>
            </w:r>
            <w:r>
              <w:rPr>
                <w:rFonts w:eastAsia="宋体"/>
                <w:i/>
                <w:iCs/>
              </w:rPr>
              <w:t>nrdc-PCmode-FR1</w:t>
            </w:r>
            <w:r>
              <w:rPr>
                <w:rFonts w:eastAsia="宋体"/>
              </w:rPr>
              <w:t xml:space="preserve"> or for </w:t>
            </w:r>
            <w:r>
              <w:rPr>
                <w:rFonts w:eastAsia="宋体"/>
                <w:i/>
                <w:iCs/>
              </w:rPr>
              <w:t>nrdc-PCmode-FR2</w:t>
            </w:r>
            <w:r>
              <w:rPr>
                <w:rFonts w:eastAsia="宋体"/>
                <w:iCs/>
              </w:rPr>
              <w:t xml:space="preserve">, the UE does not expect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  <w:iCs/>
              </w:rPr>
              <w:t xml:space="preserve"> to be configured such that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  <m:r>
                <w:rPr>
                  <w:rFonts w:ascii="Cambria Math" w:hAns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宋体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宋体"/>
              </w:rPr>
              <w:t xml:space="preserve"> is the linear value of a configured maximum transmission power for NR-DC operation in FR1 or FR2 as defined in [8-3, TS 38.101-3].</w:t>
            </w:r>
          </w:p>
          <w:p w14:paraId="49974A27" w14:textId="77777777" w:rsidR="00DF05FA" w:rsidRDefault="00DF05FA" w:rsidP="00987BBD">
            <w:pPr>
              <w:rPr>
                <w:rFonts w:eastAsia="宋体"/>
              </w:rPr>
            </w:pPr>
            <w:r>
              <w:rPr>
                <w:rFonts w:eastAsia="宋体"/>
              </w:rPr>
              <w:t xml:space="preserve">If a UE is provided </w:t>
            </w:r>
            <w:r>
              <w:rPr>
                <w:rFonts w:eastAsia="宋体"/>
                <w:i/>
                <w:lang w:eastAsia="ja-JP"/>
              </w:rPr>
              <w:t xml:space="preserve">semi-static-mode1 </w:t>
            </w:r>
            <w:r>
              <w:rPr>
                <w:rFonts w:eastAsia="宋体"/>
                <w:iCs/>
                <w:lang w:eastAsia="ja-JP"/>
              </w:rPr>
              <w:t xml:space="preserve">for </w:t>
            </w:r>
            <w:r>
              <w:rPr>
                <w:rFonts w:eastAsia="宋体"/>
                <w:i/>
                <w:iCs/>
                <w:lang w:eastAsia="ja-JP"/>
              </w:rPr>
              <w:t>nrdc-PCmode-FR1</w:t>
            </w:r>
            <w:r>
              <w:rPr>
                <w:rFonts w:eastAsia="宋体"/>
                <w:lang w:eastAsia="ja-JP"/>
              </w:rPr>
              <w:t xml:space="preserve"> or for </w:t>
            </w:r>
            <w:r>
              <w:rPr>
                <w:rFonts w:eastAsia="宋体"/>
                <w:i/>
                <w:iCs/>
                <w:lang w:eastAsia="ja-JP"/>
              </w:rPr>
              <w:t>nrdc-PCmode-FR2</w:t>
            </w:r>
            <w:r>
              <w:rPr>
                <w:rFonts w:eastAsia="宋体"/>
                <w:lang w:eastAsia="ja-JP"/>
              </w:rPr>
              <w:t xml:space="preserve">, </w:t>
            </w:r>
            <w:r>
              <w:rPr>
                <w:rFonts w:eastAsia="宋体"/>
              </w:rPr>
              <w:t xml:space="preserve">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as the maximum transmission power, respectively.</w:t>
            </w:r>
          </w:p>
          <w:p w14:paraId="4C049E1F" w14:textId="77777777" w:rsidR="00DF05FA" w:rsidRDefault="00DF05FA" w:rsidP="00987BBD">
            <w:pPr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</w:rPr>
              <w:t xml:space="preserve">If a UE is provided </w:t>
            </w:r>
            <w:r>
              <w:rPr>
                <w:rFonts w:eastAsia="宋体"/>
                <w:i/>
                <w:lang w:eastAsia="ja-JP"/>
              </w:rPr>
              <w:t xml:space="preserve">semi-static-mode2 </w:t>
            </w:r>
            <w:r>
              <w:rPr>
                <w:rFonts w:eastAsia="宋体"/>
                <w:iCs/>
                <w:lang w:eastAsia="ja-JP"/>
              </w:rPr>
              <w:t xml:space="preserve">for </w:t>
            </w:r>
            <w:r>
              <w:rPr>
                <w:rFonts w:eastAsia="宋体"/>
                <w:i/>
                <w:iCs/>
                <w:lang w:eastAsia="ja-JP"/>
              </w:rPr>
              <w:t>nrdc-PCmode-FR1</w:t>
            </w:r>
            <w:r>
              <w:rPr>
                <w:rFonts w:eastAsia="宋体"/>
                <w:lang w:eastAsia="ja-JP"/>
              </w:rPr>
              <w:t xml:space="preserve"> or for </w:t>
            </w:r>
            <w:r>
              <w:rPr>
                <w:rFonts w:eastAsia="宋体"/>
                <w:i/>
                <w:iCs/>
                <w:lang w:eastAsia="ja-JP"/>
              </w:rPr>
              <w:t>nrdc-PCmode-FR2</w:t>
            </w:r>
          </w:p>
          <w:p w14:paraId="6832F0F0" w14:textId="77777777" w:rsidR="00DF05FA" w:rsidRDefault="00DF05FA" w:rsidP="00987BBD">
            <w:pPr>
              <w:ind w:left="568" w:hanging="284"/>
              <w:rPr>
                <w:rFonts w:eastAsia="宋体"/>
                <w:lang w:val="x-none"/>
              </w:rPr>
            </w:pPr>
            <w:r>
              <w:rPr>
                <w:rFonts w:eastAsia="宋体"/>
                <w:lang w:val="x-none"/>
              </w:rPr>
              <w:t>-</w:t>
            </w:r>
            <w:r>
              <w:rPr>
                <w:rFonts w:eastAsia="宋体"/>
                <w:lang w:val="x-none"/>
              </w:rPr>
              <w:tab/>
              <w:t xml:space="preserve">if the UE is not provided 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宋体"/>
                <w:i/>
                <w:iCs/>
                <w:lang w:val="x-none"/>
              </w:rPr>
              <w:t>-UL-DL-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ConfigurationCommon</w:t>
            </w:r>
            <w:proofErr w:type="spellEnd"/>
            <w:r>
              <w:rPr>
                <w:rFonts w:eastAsia="宋体"/>
                <w:lang w:val="x-none"/>
              </w:rPr>
              <w:t xml:space="preserve"> for the MCG or SCG, the UE determines a transmission power for the MCG or for the SCG as described in clauses 7.1 through 7.5 using</w:t>
            </w:r>
            <w:r>
              <w:rPr>
                <w:rFonts w:eastAsia="宋体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or</w:t>
            </w:r>
            <w:r>
              <w:rPr>
                <w:rFonts w:eastAsia="宋体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as the maximum transmission power, respectively </w:t>
            </w:r>
          </w:p>
          <w:p w14:paraId="055213B0" w14:textId="77777777" w:rsidR="00DF05FA" w:rsidRDefault="00DF05FA" w:rsidP="00987BBD">
            <w:pPr>
              <w:ind w:left="568" w:hanging="284"/>
              <w:rPr>
                <w:rFonts w:eastAsia="宋体"/>
                <w:lang w:val="x-none"/>
              </w:rPr>
            </w:pPr>
            <w:r>
              <w:rPr>
                <w:rFonts w:eastAsia="宋体"/>
                <w:lang w:val="x-none"/>
              </w:rPr>
              <w:t>-</w:t>
            </w:r>
            <w:r>
              <w:rPr>
                <w:rFonts w:eastAsia="宋体"/>
                <w:lang w:val="x-none"/>
              </w:rPr>
              <w:tab/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of the MCG or of the SCG that is indicated as uplink or flexible to a UE by 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宋体"/>
                <w:i/>
              </w:rPr>
              <w:t>-</w:t>
            </w:r>
            <w:r>
              <w:rPr>
                <w:rFonts w:eastAsia="宋体"/>
                <w:i/>
                <w:lang w:val="x-none"/>
              </w:rPr>
              <w:t>UL-DL-</w:t>
            </w:r>
            <w:r>
              <w:rPr>
                <w:rFonts w:eastAsia="宋体"/>
                <w:i/>
              </w:rPr>
              <w:t>C</w:t>
            </w:r>
            <w:proofErr w:type="spellStart"/>
            <w:r>
              <w:rPr>
                <w:rFonts w:eastAsia="宋体"/>
                <w:i/>
                <w:lang w:val="x-none"/>
              </w:rPr>
              <w:t>onfiguration</w:t>
            </w:r>
            <w:r>
              <w:rPr>
                <w:rFonts w:eastAsia="宋体"/>
                <w:i/>
              </w:rPr>
              <w:t>C</w:t>
            </w:r>
            <w:r>
              <w:rPr>
                <w:rFonts w:eastAsia="宋体"/>
                <w:i/>
                <w:lang w:val="x-none"/>
              </w:rPr>
              <w:t>ommon</w:t>
            </w:r>
            <w:proofErr w:type="spellEnd"/>
            <w:r>
              <w:rPr>
                <w:rFonts w:eastAsia="宋体"/>
                <w:lang w:val="x-none"/>
              </w:rPr>
              <w:t xml:space="preserve"> and 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宋体"/>
              </w:rPr>
              <w:t>-</w:t>
            </w:r>
            <w:r>
              <w:rPr>
                <w:rFonts w:eastAsia="宋体"/>
                <w:i/>
                <w:lang w:val="x-none"/>
              </w:rPr>
              <w:t>UL-DL-</w:t>
            </w:r>
            <w:r>
              <w:rPr>
                <w:rFonts w:eastAsia="宋体"/>
                <w:i/>
              </w:rPr>
              <w:t>C</w:t>
            </w:r>
            <w:proofErr w:type="spellStart"/>
            <w:r>
              <w:rPr>
                <w:rFonts w:eastAsia="宋体"/>
                <w:i/>
                <w:lang w:val="x-none"/>
              </w:rPr>
              <w:t>onfiguration</w:t>
            </w:r>
            <w:r>
              <w:rPr>
                <w:rFonts w:eastAsia="宋体"/>
                <w:i/>
              </w:rPr>
              <w:t>D</w:t>
            </w:r>
            <w:r>
              <w:rPr>
                <w:rFonts w:eastAsia="宋体"/>
                <w:i/>
                <w:lang w:val="x-none"/>
              </w:rPr>
              <w:t>edicated</w:t>
            </w:r>
            <w:proofErr w:type="spellEnd"/>
            <w:r>
              <w:rPr>
                <w:rFonts w:eastAsia="宋体"/>
                <w:lang w:val="x-none"/>
              </w:rPr>
              <w:t xml:space="preserve">, if provided, </w:t>
            </w:r>
            <w:r>
              <w:rPr>
                <w:color w:val="FF0000"/>
                <w:u w:val="single"/>
              </w:rPr>
              <w:t xml:space="preserve">or is indicated as SBFD symbol to a UE by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tdd</w:t>
            </w:r>
            <w:proofErr w:type="spellEnd"/>
            <w:r>
              <w:rPr>
                <w:i/>
                <w:color w:val="FF0000"/>
                <w:u w:val="single"/>
              </w:rPr>
              <w:t>-UL-DL-</w:t>
            </w:r>
            <w:proofErr w:type="spellStart"/>
            <w:r>
              <w:rPr>
                <w:i/>
                <w:color w:val="FF0000"/>
                <w:u w:val="single"/>
              </w:rPr>
              <w:t>ConfigurationCommon</w:t>
            </w:r>
            <w:proofErr w:type="spellEnd"/>
            <w:r>
              <w:rPr>
                <w:iCs/>
                <w:color w:val="FF0000"/>
                <w:u w:val="single"/>
              </w:rPr>
              <w:t>,</w:t>
            </w:r>
            <w:r>
              <w:rPr>
                <w:i/>
                <w:color w:val="FF0000"/>
                <w:u w:val="single"/>
              </w:rPr>
              <w:t xml:space="preserve"> </w:t>
            </w:r>
            <w:r>
              <w:rPr>
                <w:rFonts w:eastAsia="宋体"/>
                <w:lang w:val="x-none"/>
              </w:rPr>
              <w:t xml:space="preserve">overlaps with a symbol for any ongoing transmission </w:t>
            </w:r>
            <w:r>
              <w:rPr>
                <w:rFonts w:eastAsia="宋体"/>
              </w:rPr>
              <w:t>overlapping with</w:t>
            </w:r>
            <w:r>
              <w:rPr>
                <w:rFonts w:eastAsia="宋体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of the SCG or of the MCG, respectively, the UE determines a power for the transmission on the SCG or the MCG </w:t>
            </w:r>
            <w:r>
              <w:rPr>
                <w:rFonts w:eastAsia="宋体"/>
              </w:rPr>
              <w:t>overlapping with</w:t>
            </w:r>
            <w:r>
              <w:rPr>
                <w:rFonts w:eastAsia="宋体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  <w:lang w:val="x-none"/>
              </w:rPr>
              <w:t>, respectively, as the maximum transmission power</w:t>
            </w:r>
          </w:p>
          <w:p w14:paraId="38C9FB03" w14:textId="77777777" w:rsidR="00DF05FA" w:rsidRDefault="00DF05FA" w:rsidP="00987BBD">
            <w:pPr>
              <w:ind w:left="568" w:hanging="284"/>
              <w:rPr>
                <w:rFonts w:eastAsia="宋体"/>
                <w:lang w:val="x-none"/>
              </w:rPr>
            </w:pPr>
            <w:r>
              <w:rPr>
                <w:rFonts w:eastAsia="宋体"/>
                <w:lang w:val="x-none"/>
              </w:rPr>
              <w:t>-</w:t>
            </w:r>
            <w:r>
              <w:rPr>
                <w:rFonts w:eastAsia="宋体"/>
                <w:lang w:val="x-none"/>
              </w:rPr>
              <w:tab/>
            </w:r>
            <w:r>
              <w:rPr>
                <w:rFonts w:eastAsia="宋体"/>
              </w:rPr>
              <w:t xml:space="preserve">otherwise, </w:t>
            </w:r>
            <w:r>
              <w:rPr>
                <w:rFonts w:eastAsia="宋体"/>
                <w:lang w:val="x-none"/>
              </w:rPr>
              <w:t xml:space="preserve">the UE determines a power for the </w:t>
            </w:r>
            <w:r>
              <w:rPr>
                <w:rFonts w:eastAsia="等线"/>
                <w:lang w:val="x-none"/>
              </w:rPr>
              <w:t>transmission on</w:t>
            </w:r>
            <w:r>
              <w:rPr>
                <w:rFonts w:eastAsia="宋体"/>
                <w:lang w:val="x-none"/>
              </w:rPr>
              <w:t xml:space="preserve"> </w:t>
            </w:r>
            <w:r>
              <w:rPr>
                <w:rFonts w:eastAsia="宋体"/>
              </w:rPr>
              <w:t>SCG</w:t>
            </w:r>
            <w:r>
              <w:rPr>
                <w:rFonts w:eastAsia="宋体"/>
                <w:lang w:val="x-none"/>
              </w:rPr>
              <w:t xml:space="preserve"> or the </w:t>
            </w:r>
            <w:r>
              <w:rPr>
                <w:rFonts w:eastAsia="宋体"/>
              </w:rPr>
              <w:t>MCG overlapping with</w:t>
            </w:r>
            <w:r>
              <w:rPr>
                <w:rFonts w:eastAsia="宋体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宋体"/>
                <w:lang w:val="x-none"/>
              </w:rPr>
              <w:t>, as described in [8-3, TS 38.101-3] and in clauses 7.1 through 7.5 without considering</w:t>
            </w:r>
            <w:r>
              <w:rPr>
                <w:rFonts w:eastAsia="宋体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or</w:t>
            </w:r>
            <w:r>
              <w:rPr>
                <w:rFonts w:eastAsia="宋体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respectively</w:t>
            </w:r>
          </w:p>
          <w:p w14:paraId="37AF8525" w14:textId="77777777" w:rsidR="00DF05FA" w:rsidRPr="00D3443C" w:rsidRDefault="00DF05FA" w:rsidP="00987BBD">
            <w:pPr>
              <w:rPr>
                <w:rFonts w:eastAsia="宋体"/>
                <w:lang w:val="x-none" w:eastAsia="zh-CN"/>
              </w:rPr>
            </w:pPr>
            <w:r w:rsidRPr="00D3443C">
              <w:rPr>
                <w:rFonts w:eastAsia="宋体" w:hint="eastAsia"/>
                <w:color w:val="FF0000"/>
                <w:lang w:val="x-none" w:eastAsia="zh-CN"/>
              </w:rPr>
              <w:t>&lt;</w:t>
            </w:r>
            <w:r w:rsidRPr="00D3443C">
              <w:rPr>
                <w:rFonts w:eastAsia="宋体"/>
                <w:color w:val="FF0000"/>
                <w:lang w:val="x-none" w:eastAsia="zh-CN"/>
              </w:rPr>
              <w:t>unchanged texts omitted&gt;</w:t>
            </w:r>
          </w:p>
        </w:tc>
      </w:tr>
    </w:tbl>
    <w:p w14:paraId="3582714B" w14:textId="615E186B" w:rsidR="00DF05FA" w:rsidRDefault="00DF05FA" w:rsidP="00DF05FA">
      <w:pPr>
        <w:pStyle w:val="af9"/>
        <w:numPr>
          <w:ilvl w:val="0"/>
          <w:numId w:val="7"/>
        </w:numPr>
        <w:rPr>
          <w:rFonts w:eastAsia="Malgun Gothic"/>
          <w:lang w:eastAsia="ko-KR"/>
        </w:rPr>
      </w:pPr>
      <w:r w:rsidRPr="00D3443C">
        <w:rPr>
          <w:rFonts w:eastAsia="Malgun Gothic"/>
          <w:lang w:eastAsia="ko-KR"/>
        </w:rPr>
        <w:t>It is up to RAN2 to decide whether or not to support</w:t>
      </w:r>
      <w:r>
        <w:rPr>
          <w:rFonts w:eastAsia="Malgun Gothic"/>
          <w:lang w:eastAsia="ko-KR"/>
        </w:rPr>
        <w:t xml:space="preserve"> </w:t>
      </w:r>
      <w:r w:rsidRPr="00D3443C">
        <w:rPr>
          <w:rFonts w:eastAsia="Malgun Gothic"/>
          <w:lang w:eastAsia="ko-KR"/>
        </w:rPr>
        <w:t>simultaneous</w:t>
      </w:r>
      <w:r>
        <w:rPr>
          <w:rFonts w:eastAsia="Malgun Gothic"/>
          <w:lang w:eastAsia="ko-KR"/>
        </w:rPr>
        <w:t xml:space="preserve"> configuration of</w:t>
      </w:r>
      <w:r w:rsidRPr="00D3443C">
        <w:rPr>
          <w:rFonts w:eastAsia="Malgun Gothic"/>
          <w:lang w:eastAsia="ko-KR"/>
        </w:rPr>
        <w:t xml:space="preserve"> SBFD and DC</w:t>
      </w:r>
      <w:r>
        <w:rPr>
          <w:rFonts w:eastAsia="Malgun Gothic"/>
          <w:lang w:eastAsia="ko-KR"/>
        </w:rPr>
        <w:t>.</w:t>
      </w:r>
      <w:r w:rsidRPr="00D3443C">
        <w:rPr>
          <w:rFonts w:eastAsia="Malgun Gothic"/>
          <w:lang w:eastAsia="ko-KR"/>
        </w:rPr>
        <w:t xml:space="preserve"> </w:t>
      </w:r>
    </w:p>
    <w:p w14:paraId="71DBB17C" w14:textId="32204E87" w:rsidR="007A6CE5" w:rsidRPr="000C2C31" w:rsidRDefault="007A6CE5" w:rsidP="00DF05FA">
      <w:pPr>
        <w:pStyle w:val="af9"/>
        <w:numPr>
          <w:ilvl w:val="0"/>
          <w:numId w:val="7"/>
        </w:numPr>
        <w:rPr>
          <w:rFonts w:eastAsia="Malgun Gothic"/>
          <w:lang w:eastAsia="ko-KR"/>
        </w:rPr>
      </w:pPr>
      <w:r>
        <w:rPr>
          <w:rFonts w:hint="eastAsia"/>
        </w:rPr>
        <w:t>C</w:t>
      </w:r>
      <w:r>
        <w:t>C: RAN3 and RAN4.</w:t>
      </w:r>
    </w:p>
    <w:p w14:paraId="4BA1761E" w14:textId="77777777" w:rsidR="00DF05FA" w:rsidRPr="00DF05FA" w:rsidRDefault="00DF05FA" w:rsidP="000F6242">
      <w:pPr>
        <w:rPr>
          <w:lang w:eastAsia="zh-CN"/>
        </w:rPr>
      </w:pP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315F83B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7566">
        <w:rPr>
          <w:rFonts w:ascii="Arial" w:hAnsi="Arial" w:cs="Arial"/>
          <w:b/>
        </w:rPr>
        <w:t>RAN</w:t>
      </w:r>
      <w:r w:rsidR="007A6CE5">
        <w:rPr>
          <w:rFonts w:ascii="Arial" w:hAnsi="Arial" w:cs="Arial"/>
          <w:b/>
        </w:rPr>
        <w:t>2</w:t>
      </w:r>
      <w:r w:rsidR="00A378A8">
        <w:rPr>
          <w:rFonts w:ascii="Arial" w:hAnsi="Arial" w:cs="Arial"/>
          <w:b/>
        </w:rPr>
        <w:t>:</w:t>
      </w:r>
    </w:p>
    <w:p w14:paraId="5A9BF4E3" w14:textId="2A446860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>RAN</w:t>
      </w:r>
      <w:r w:rsidR="007A6CE5">
        <w:t>1</w:t>
      </w:r>
      <w:r w:rsidR="009C2ABE" w:rsidRPr="009C2ABE">
        <w:t xml:space="preserve"> respectfully asks </w:t>
      </w:r>
      <w:r w:rsidR="00FB7566">
        <w:t>RAN</w:t>
      </w:r>
      <w:r w:rsidR="007A6CE5">
        <w:t>2</w:t>
      </w:r>
      <w:r w:rsidR="009C2ABE" w:rsidRPr="009C2ABE">
        <w:t xml:space="preserve"> to </w:t>
      </w:r>
      <w:r w:rsidR="007A6CE5">
        <w:t>take the above conclusion into account</w:t>
      </w:r>
      <w:r w:rsidR="00AB42CB">
        <w:t>.</w:t>
      </w:r>
    </w:p>
    <w:p w14:paraId="2C0E89CC" w14:textId="3CDB810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</w:t>
      </w:r>
      <w:r w:rsidR="007A6CE5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6A78EE99" w:rsidR="00CE308A" w:rsidRDefault="00DA22AD" w:rsidP="00DA22AD">
      <w:r>
        <w:t>TSG RAN</w:t>
      </w:r>
      <w:r w:rsidR="007A6CE5">
        <w:t>1</w:t>
      </w:r>
      <w:r>
        <w:t xml:space="preserve"> Meeting #1</w:t>
      </w:r>
      <w:r w:rsidR="007A6CE5">
        <w:t>22</w:t>
      </w:r>
      <w:r>
        <w:tab/>
      </w:r>
      <w:r>
        <w:tab/>
      </w:r>
      <w:r w:rsidR="007A6CE5">
        <w:tab/>
      </w:r>
      <w:r>
        <w:t>25 - 29 Aug 2025</w:t>
      </w:r>
      <w:r>
        <w:tab/>
      </w:r>
      <w:r>
        <w:tab/>
      </w:r>
      <w:r>
        <w:tab/>
      </w:r>
      <w:r>
        <w:tab/>
      </w:r>
      <w:r>
        <w:tab/>
        <w:t>Bangalore, India</w:t>
      </w:r>
    </w:p>
    <w:p w14:paraId="0BEA2F90" w14:textId="557E5468" w:rsidR="007A6CE5" w:rsidRDefault="007A6CE5" w:rsidP="007A6CE5">
      <w:r>
        <w:t>TSG RAN1 Meeting #122</w:t>
      </w:r>
      <w:r>
        <w:t>bis</w:t>
      </w:r>
      <w:r>
        <w:tab/>
      </w:r>
      <w:r>
        <w:tab/>
      </w:r>
      <w:r>
        <w:t>13</w:t>
      </w:r>
      <w:r>
        <w:t xml:space="preserve"> - </w:t>
      </w:r>
      <w:r>
        <w:t>17</w:t>
      </w:r>
      <w:r>
        <w:t xml:space="preserve"> </w:t>
      </w:r>
      <w:r>
        <w:t>Oct</w:t>
      </w:r>
      <w:r>
        <w:t xml:space="preserve"> 2025</w:t>
      </w:r>
      <w:r>
        <w:tab/>
      </w:r>
      <w:r>
        <w:tab/>
      </w:r>
      <w:r>
        <w:tab/>
      </w:r>
      <w:r>
        <w:tab/>
      </w:r>
      <w:r>
        <w:tab/>
      </w:r>
      <w:r>
        <w:t>Prague, CZ</w:t>
      </w:r>
    </w:p>
    <w:p w14:paraId="47F92B07" w14:textId="77777777" w:rsidR="007A6CE5" w:rsidRPr="00DA22AD" w:rsidRDefault="007A6CE5" w:rsidP="00DA22AD">
      <w:pPr>
        <w:rPr>
          <w:lang w:val="en-US"/>
        </w:rPr>
      </w:pPr>
    </w:p>
    <w:sectPr w:rsidR="007A6CE5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D2707" w14:textId="77777777" w:rsidR="001447F3" w:rsidRDefault="001447F3">
      <w:pPr>
        <w:spacing w:after="0"/>
      </w:pPr>
      <w:r>
        <w:separator/>
      </w:r>
    </w:p>
  </w:endnote>
  <w:endnote w:type="continuationSeparator" w:id="0">
    <w:p w14:paraId="46C6AC09" w14:textId="77777777" w:rsidR="001447F3" w:rsidRDefault="001447F3">
      <w:pPr>
        <w:spacing w:after="0"/>
      </w:pPr>
      <w:r>
        <w:continuationSeparator/>
      </w:r>
    </w:p>
  </w:endnote>
  <w:endnote w:type="continuationNotice" w:id="1">
    <w:p w14:paraId="207677CF" w14:textId="77777777" w:rsidR="001447F3" w:rsidRDefault="001447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0EE10" w14:textId="77777777" w:rsidR="001447F3" w:rsidRDefault="001447F3">
      <w:pPr>
        <w:spacing w:after="0"/>
      </w:pPr>
      <w:r>
        <w:separator/>
      </w:r>
    </w:p>
  </w:footnote>
  <w:footnote w:type="continuationSeparator" w:id="0">
    <w:p w14:paraId="473E7C72" w14:textId="77777777" w:rsidR="001447F3" w:rsidRDefault="001447F3">
      <w:pPr>
        <w:spacing w:after="0"/>
      </w:pPr>
      <w:r>
        <w:continuationSeparator/>
      </w:r>
    </w:p>
  </w:footnote>
  <w:footnote w:type="continuationNotice" w:id="1">
    <w:p w14:paraId="7CA9D72B" w14:textId="77777777" w:rsidR="001447F3" w:rsidRDefault="001447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40964"/>
    <w:rsid w:val="00046A43"/>
    <w:rsid w:val="000476C5"/>
    <w:rsid w:val="00062CC0"/>
    <w:rsid w:val="000668BC"/>
    <w:rsid w:val="00067C8A"/>
    <w:rsid w:val="000722F0"/>
    <w:rsid w:val="00077160"/>
    <w:rsid w:val="000A327E"/>
    <w:rsid w:val="000A52C9"/>
    <w:rsid w:val="000B45EE"/>
    <w:rsid w:val="000E230D"/>
    <w:rsid w:val="000F6242"/>
    <w:rsid w:val="00101429"/>
    <w:rsid w:val="001252FB"/>
    <w:rsid w:val="001447F3"/>
    <w:rsid w:val="001453D7"/>
    <w:rsid w:val="00184DA1"/>
    <w:rsid w:val="00186957"/>
    <w:rsid w:val="00191ADD"/>
    <w:rsid w:val="001944B9"/>
    <w:rsid w:val="001A0954"/>
    <w:rsid w:val="001F42C4"/>
    <w:rsid w:val="00201726"/>
    <w:rsid w:val="00202E11"/>
    <w:rsid w:val="00210934"/>
    <w:rsid w:val="00216AE0"/>
    <w:rsid w:val="00226569"/>
    <w:rsid w:val="00247445"/>
    <w:rsid w:val="002532D3"/>
    <w:rsid w:val="002A2C68"/>
    <w:rsid w:val="002E3C51"/>
    <w:rsid w:val="002E5A3D"/>
    <w:rsid w:val="002F1940"/>
    <w:rsid w:val="00332BD5"/>
    <w:rsid w:val="003334D7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49C9"/>
    <w:rsid w:val="00487678"/>
    <w:rsid w:val="004A3596"/>
    <w:rsid w:val="004C6FEE"/>
    <w:rsid w:val="004E3939"/>
    <w:rsid w:val="005028DE"/>
    <w:rsid w:val="00533C9C"/>
    <w:rsid w:val="005349BD"/>
    <w:rsid w:val="00555DF9"/>
    <w:rsid w:val="00566D95"/>
    <w:rsid w:val="00572BDE"/>
    <w:rsid w:val="00577B27"/>
    <w:rsid w:val="00591582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54C3E"/>
    <w:rsid w:val="00655D04"/>
    <w:rsid w:val="00661A72"/>
    <w:rsid w:val="00665C6C"/>
    <w:rsid w:val="00672289"/>
    <w:rsid w:val="00693334"/>
    <w:rsid w:val="006A29FA"/>
    <w:rsid w:val="006B5ABC"/>
    <w:rsid w:val="006C01CB"/>
    <w:rsid w:val="006C1ED3"/>
    <w:rsid w:val="006C62A0"/>
    <w:rsid w:val="006D23D3"/>
    <w:rsid w:val="006D72A7"/>
    <w:rsid w:val="00721F67"/>
    <w:rsid w:val="00723A21"/>
    <w:rsid w:val="007258DE"/>
    <w:rsid w:val="00757C3A"/>
    <w:rsid w:val="0079309F"/>
    <w:rsid w:val="007978C4"/>
    <w:rsid w:val="007A24CC"/>
    <w:rsid w:val="007A6CE5"/>
    <w:rsid w:val="007E763A"/>
    <w:rsid w:val="007F3A12"/>
    <w:rsid w:val="007F4F92"/>
    <w:rsid w:val="00846F66"/>
    <w:rsid w:val="00857481"/>
    <w:rsid w:val="00862393"/>
    <w:rsid w:val="00877E93"/>
    <w:rsid w:val="008A46D4"/>
    <w:rsid w:val="008C4DED"/>
    <w:rsid w:val="008D2531"/>
    <w:rsid w:val="008D4FD0"/>
    <w:rsid w:val="008D772F"/>
    <w:rsid w:val="008D79E3"/>
    <w:rsid w:val="0097234B"/>
    <w:rsid w:val="00991E10"/>
    <w:rsid w:val="00994787"/>
    <w:rsid w:val="0099764C"/>
    <w:rsid w:val="009A090C"/>
    <w:rsid w:val="009B0F3F"/>
    <w:rsid w:val="009B2FC6"/>
    <w:rsid w:val="009B7541"/>
    <w:rsid w:val="009C2ABE"/>
    <w:rsid w:val="00A06E21"/>
    <w:rsid w:val="00A20DDD"/>
    <w:rsid w:val="00A25460"/>
    <w:rsid w:val="00A378A8"/>
    <w:rsid w:val="00A51C37"/>
    <w:rsid w:val="00A62C53"/>
    <w:rsid w:val="00A81EAE"/>
    <w:rsid w:val="00A85B7B"/>
    <w:rsid w:val="00AB42CB"/>
    <w:rsid w:val="00AC03D9"/>
    <w:rsid w:val="00B159CF"/>
    <w:rsid w:val="00B16F69"/>
    <w:rsid w:val="00B3133B"/>
    <w:rsid w:val="00B77F45"/>
    <w:rsid w:val="00B92C65"/>
    <w:rsid w:val="00B97703"/>
    <w:rsid w:val="00BC0064"/>
    <w:rsid w:val="00BE372C"/>
    <w:rsid w:val="00C11EE7"/>
    <w:rsid w:val="00C1298D"/>
    <w:rsid w:val="00C50A3C"/>
    <w:rsid w:val="00C71386"/>
    <w:rsid w:val="00C73EB7"/>
    <w:rsid w:val="00C828D4"/>
    <w:rsid w:val="00C83B70"/>
    <w:rsid w:val="00C94E05"/>
    <w:rsid w:val="00CA2C31"/>
    <w:rsid w:val="00CC1F39"/>
    <w:rsid w:val="00CC7B07"/>
    <w:rsid w:val="00CD29B6"/>
    <w:rsid w:val="00CD78E1"/>
    <w:rsid w:val="00CE1005"/>
    <w:rsid w:val="00CE308A"/>
    <w:rsid w:val="00CF6087"/>
    <w:rsid w:val="00D016ED"/>
    <w:rsid w:val="00D10FA0"/>
    <w:rsid w:val="00D31442"/>
    <w:rsid w:val="00D457D2"/>
    <w:rsid w:val="00D7126E"/>
    <w:rsid w:val="00D86723"/>
    <w:rsid w:val="00D93A90"/>
    <w:rsid w:val="00DA084D"/>
    <w:rsid w:val="00DA22AD"/>
    <w:rsid w:val="00DB37FE"/>
    <w:rsid w:val="00DB6F62"/>
    <w:rsid w:val="00DE111A"/>
    <w:rsid w:val="00DE29E9"/>
    <w:rsid w:val="00DF05FA"/>
    <w:rsid w:val="00E0401F"/>
    <w:rsid w:val="00E2324B"/>
    <w:rsid w:val="00E3413A"/>
    <w:rsid w:val="00E366F6"/>
    <w:rsid w:val="00E42A9A"/>
    <w:rsid w:val="00E452A2"/>
    <w:rsid w:val="00E6249A"/>
    <w:rsid w:val="00E97F88"/>
    <w:rsid w:val="00EA0B00"/>
    <w:rsid w:val="00EA1365"/>
    <w:rsid w:val="00EE32C2"/>
    <w:rsid w:val="00F1005C"/>
    <w:rsid w:val="00F340F0"/>
    <w:rsid w:val="00F92379"/>
    <w:rsid w:val="00F923C1"/>
    <w:rsid w:val="00FA1DD0"/>
    <w:rsid w:val="00FA5CE2"/>
    <w:rsid w:val="00FB2680"/>
    <w:rsid w:val="00FB4965"/>
    <w:rsid w:val="00FB7566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6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D016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D016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016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016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016E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016ED"/>
    <w:pPr>
      <w:outlineLvl w:val="5"/>
    </w:pPr>
  </w:style>
  <w:style w:type="paragraph" w:styleId="7">
    <w:name w:val="heading 7"/>
    <w:basedOn w:val="H6"/>
    <w:next w:val="a"/>
    <w:qFormat/>
    <w:rsid w:val="00D016ED"/>
    <w:pPr>
      <w:outlineLvl w:val="6"/>
    </w:pPr>
  </w:style>
  <w:style w:type="paragraph" w:styleId="8">
    <w:name w:val="heading 8"/>
    <w:basedOn w:val="1"/>
    <w:next w:val="a"/>
    <w:qFormat/>
    <w:rsid w:val="00D016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16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D016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D016ED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D016E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016ED"/>
    <w:pPr>
      <w:spacing w:before="180"/>
      <w:ind w:left="2693" w:hanging="2693"/>
    </w:pPr>
    <w:rPr>
      <w:b/>
    </w:rPr>
  </w:style>
  <w:style w:type="paragraph" w:styleId="TOC1">
    <w:name w:val="toc 1"/>
    <w:semiHidden/>
    <w:rsid w:val="00D016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016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016ED"/>
    <w:pPr>
      <w:ind w:left="1701" w:hanging="1701"/>
    </w:pPr>
  </w:style>
  <w:style w:type="paragraph" w:styleId="TOC4">
    <w:name w:val="toc 4"/>
    <w:basedOn w:val="TOC3"/>
    <w:semiHidden/>
    <w:rsid w:val="00D016ED"/>
    <w:pPr>
      <w:ind w:left="1418" w:hanging="1418"/>
    </w:pPr>
  </w:style>
  <w:style w:type="paragraph" w:styleId="TOC3">
    <w:name w:val="toc 3"/>
    <w:basedOn w:val="TOC2"/>
    <w:semiHidden/>
    <w:rsid w:val="00D016ED"/>
    <w:pPr>
      <w:ind w:left="1134" w:hanging="1134"/>
    </w:pPr>
  </w:style>
  <w:style w:type="paragraph" w:styleId="TOC2">
    <w:name w:val="toc 2"/>
    <w:basedOn w:val="TOC1"/>
    <w:semiHidden/>
    <w:rsid w:val="00D016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D016ED"/>
    <w:pPr>
      <w:ind w:left="284"/>
    </w:pPr>
  </w:style>
  <w:style w:type="paragraph" w:styleId="10">
    <w:name w:val="index 1"/>
    <w:basedOn w:val="a"/>
    <w:semiHidden/>
    <w:rsid w:val="00D016ED"/>
    <w:pPr>
      <w:keepLines/>
      <w:spacing w:after="0"/>
    </w:pPr>
  </w:style>
  <w:style w:type="paragraph" w:customStyle="1" w:styleId="ZH">
    <w:name w:val="ZH"/>
    <w:rsid w:val="00D016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D016ED"/>
    <w:pPr>
      <w:outlineLvl w:val="9"/>
    </w:pPr>
  </w:style>
  <w:style w:type="paragraph" w:styleId="22">
    <w:name w:val="List Number 2"/>
    <w:basedOn w:val="af"/>
    <w:semiHidden/>
    <w:rsid w:val="00D016ED"/>
    <w:pPr>
      <w:ind w:left="851"/>
    </w:pPr>
  </w:style>
  <w:style w:type="character" w:styleId="af0">
    <w:name w:val="footnote reference"/>
    <w:basedOn w:val="a0"/>
    <w:semiHidden/>
    <w:rsid w:val="00D016ED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D016ED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016ED"/>
    <w:rPr>
      <w:b/>
    </w:rPr>
  </w:style>
  <w:style w:type="paragraph" w:customStyle="1" w:styleId="TAC">
    <w:name w:val="TAC"/>
    <w:basedOn w:val="TAL"/>
    <w:rsid w:val="00D016ED"/>
    <w:pPr>
      <w:jc w:val="center"/>
    </w:pPr>
  </w:style>
  <w:style w:type="paragraph" w:customStyle="1" w:styleId="TF">
    <w:name w:val="TF"/>
    <w:basedOn w:val="TH"/>
    <w:rsid w:val="00D016ED"/>
    <w:pPr>
      <w:keepNext w:val="0"/>
      <w:spacing w:before="0" w:after="240"/>
    </w:pPr>
  </w:style>
  <w:style w:type="paragraph" w:customStyle="1" w:styleId="NO">
    <w:name w:val="NO"/>
    <w:basedOn w:val="a"/>
    <w:rsid w:val="00D016ED"/>
    <w:pPr>
      <w:keepLines/>
      <w:ind w:left="1135" w:hanging="851"/>
    </w:pPr>
  </w:style>
  <w:style w:type="paragraph" w:styleId="TOC9">
    <w:name w:val="toc 9"/>
    <w:basedOn w:val="TOC8"/>
    <w:semiHidden/>
    <w:rsid w:val="00D016ED"/>
    <w:pPr>
      <w:ind w:left="1418" w:hanging="1418"/>
    </w:pPr>
  </w:style>
  <w:style w:type="paragraph" w:customStyle="1" w:styleId="EX">
    <w:name w:val="EX"/>
    <w:basedOn w:val="a"/>
    <w:rsid w:val="00D016ED"/>
    <w:pPr>
      <w:keepLines/>
      <w:ind w:left="1702" w:hanging="1418"/>
    </w:pPr>
  </w:style>
  <w:style w:type="paragraph" w:customStyle="1" w:styleId="FP">
    <w:name w:val="FP"/>
    <w:basedOn w:val="a"/>
    <w:rsid w:val="00D016ED"/>
    <w:pPr>
      <w:spacing w:after="0"/>
    </w:pPr>
  </w:style>
  <w:style w:type="paragraph" w:customStyle="1" w:styleId="LD">
    <w:name w:val="LD"/>
    <w:rsid w:val="00D016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016ED"/>
    <w:pPr>
      <w:spacing w:after="0"/>
    </w:pPr>
  </w:style>
  <w:style w:type="paragraph" w:customStyle="1" w:styleId="EW">
    <w:name w:val="EW"/>
    <w:basedOn w:val="EX"/>
    <w:rsid w:val="00D016ED"/>
    <w:pPr>
      <w:spacing w:after="0"/>
    </w:pPr>
  </w:style>
  <w:style w:type="paragraph" w:styleId="TOC6">
    <w:name w:val="toc 6"/>
    <w:basedOn w:val="TOC5"/>
    <w:next w:val="a"/>
    <w:semiHidden/>
    <w:rsid w:val="00D016ED"/>
    <w:pPr>
      <w:ind w:left="1985" w:hanging="1985"/>
    </w:pPr>
  </w:style>
  <w:style w:type="paragraph" w:styleId="TOC7">
    <w:name w:val="toc 7"/>
    <w:basedOn w:val="TOC6"/>
    <w:next w:val="a"/>
    <w:semiHidden/>
    <w:rsid w:val="00D016ED"/>
    <w:pPr>
      <w:ind w:left="2268" w:hanging="2268"/>
    </w:pPr>
  </w:style>
  <w:style w:type="paragraph" w:styleId="23">
    <w:name w:val="List Bullet 2"/>
    <w:basedOn w:val="af3"/>
    <w:semiHidden/>
    <w:rsid w:val="00D016ED"/>
    <w:pPr>
      <w:ind w:left="851"/>
    </w:pPr>
  </w:style>
  <w:style w:type="paragraph" w:styleId="30">
    <w:name w:val="List Bullet 3"/>
    <w:basedOn w:val="23"/>
    <w:semiHidden/>
    <w:rsid w:val="00D016ED"/>
    <w:pPr>
      <w:ind w:left="1135"/>
    </w:pPr>
  </w:style>
  <w:style w:type="paragraph" w:styleId="af">
    <w:name w:val="List Number"/>
    <w:basedOn w:val="a9"/>
    <w:semiHidden/>
    <w:rsid w:val="00D016ED"/>
  </w:style>
  <w:style w:type="paragraph" w:customStyle="1" w:styleId="EQ">
    <w:name w:val="EQ"/>
    <w:basedOn w:val="a"/>
    <w:next w:val="a"/>
    <w:rsid w:val="00D016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016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16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16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016ED"/>
    <w:pPr>
      <w:jc w:val="right"/>
    </w:pPr>
  </w:style>
  <w:style w:type="paragraph" w:customStyle="1" w:styleId="H6">
    <w:name w:val="H6"/>
    <w:basedOn w:val="5"/>
    <w:next w:val="a"/>
    <w:rsid w:val="00D016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16ED"/>
    <w:pPr>
      <w:ind w:left="851" w:hanging="851"/>
    </w:pPr>
  </w:style>
  <w:style w:type="paragraph" w:customStyle="1" w:styleId="TAL">
    <w:name w:val="TAL"/>
    <w:basedOn w:val="a"/>
    <w:rsid w:val="00D016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16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016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016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016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016ED"/>
    <w:pPr>
      <w:framePr w:wrap="notBeside" w:y="16161"/>
    </w:pPr>
  </w:style>
  <w:style w:type="character" w:customStyle="1" w:styleId="ZGSM">
    <w:name w:val="ZGSM"/>
    <w:rsid w:val="00D016ED"/>
  </w:style>
  <w:style w:type="paragraph" w:styleId="24">
    <w:name w:val="List 2"/>
    <w:basedOn w:val="a9"/>
    <w:semiHidden/>
    <w:rsid w:val="00D016ED"/>
    <w:pPr>
      <w:ind w:left="851"/>
    </w:pPr>
  </w:style>
  <w:style w:type="paragraph" w:customStyle="1" w:styleId="ZG">
    <w:name w:val="ZG"/>
    <w:rsid w:val="00D016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D016ED"/>
    <w:pPr>
      <w:ind w:left="1135"/>
    </w:pPr>
  </w:style>
  <w:style w:type="paragraph" w:styleId="40">
    <w:name w:val="List 4"/>
    <w:basedOn w:val="31"/>
    <w:semiHidden/>
    <w:rsid w:val="00D016ED"/>
    <w:pPr>
      <w:ind w:left="1418"/>
    </w:pPr>
  </w:style>
  <w:style w:type="paragraph" w:styleId="50">
    <w:name w:val="List 5"/>
    <w:basedOn w:val="40"/>
    <w:semiHidden/>
    <w:rsid w:val="00D016ED"/>
    <w:pPr>
      <w:ind w:left="1702"/>
    </w:pPr>
  </w:style>
  <w:style w:type="paragraph" w:customStyle="1" w:styleId="EditorsNote">
    <w:name w:val="Editor's Note"/>
    <w:basedOn w:val="NO"/>
    <w:rsid w:val="00D016ED"/>
    <w:rPr>
      <w:color w:val="FF0000"/>
    </w:rPr>
  </w:style>
  <w:style w:type="paragraph" w:styleId="a9">
    <w:name w:val="List"/>
    <w:basedOn w:val="a"/>
    <w:semiHidden/>
    <w:rsid w:val="00D016ED"/>
    <w:pPr>
      <w:ind w:left="568" w:hanging="284"/>
    </w:pPr>
  </w:style>
  <w:style w:type="paragraph" w:styleId="af3">
    <w:name w:val="List Bullet"/>
    <w:basedOn w:val="a9"/>
    <w:semiHidden/>
    <w:rsid w:val="00D016ED"/>
  </w:style>
  <w:style w:type="paragraph" w:styleId="41">
    <w:name w:val="List Bullet 4"/>
    <w:basedOn w:val="30"/>
    <w:semiHidden/>
    <w:rsid w:val="00D016ED"/>
    <w:pPr>
      <w:ind w:left="1418"/>
    </w:pPr>
  </w:style>
  <w:style w:type="paragraph" w:styleId="51">
    <w:name w:val="List Bullet 5"/>
    <w:basedOn w:val="41"/>
    <w:semiHidden/>
    <w:rsid w:val="00D016ED"/>
    <w:pPr>
      <w:ind w:left="1702"/>
    </w:pPr>
  </w:style>
  <w:style w:type="paragraph" w:customStyle="1" w:styleId="B2">
    <w:name w:val="B2"/>
    <w:basedOn w:val="24"/>
    <w:rsid w:val="00D016ED"/>
  </w:style>
  <w:style w:type="paragraph" w:customStyle="1" w:styleId="B3">
    <w:name w:val="B3"/>
    <w:basedOn w:val="31"/>
    <w:rsid w:val="00D016ED"/>
  </w:style>
  <w:style w:type="paragraph" w:customStyle="1" w:styleId="B4">
    <w:name w:val="B4"/>
    <w:basedOn w:val="40"/>
    <w:rsid w:val="00D016ED"/>
  </w:style>
  <w:style w:type="paragraph" w:customStyle="1" w:styleId="B5">
    <w:name w:val="B5"/>
    <w:basedOn w:val="50"/>
    <w:rsid w:val="00D016ED"/>
  </w:style>
  <w:style w:type="paragraph" w:customStyle="1" w:styleId="ZTD">
    <w:name w:val="ZTD"/>
    <w:basedOn w:val="ZB"/>
    <w:rsid w:val="00D016ED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- Bullets,列出段落,リスト段落,?? ??,?????,????,Lista1,中等深浅网格 1 - 着色 21,¥ê¥¹¥È¶ÎÂä,¥¡¡¡¡ì¬º¥¹¥È¶ÎÂä,ÁÐ³ö¶ÎÂä,—ño’i—Ž,1st level - Bullet List Paragraph,Lettre d'introduction,Paragrafo elenco,Normal bullet 2,Bullet list,목록단락,列表段落11,列"/>
    <w:basedOn w:val="a"/>
    <w:uiPriority w:val="99"/>
    <w:qFormat/>
    <w:rsid w:val="00DF05FA"/>
    <w:pPr>
      <w:overflowPunct/>
      <w:autoSpaceDE/>
      <w:autoSpaceDN/>
      <w:adjustRightInd/>
      <w:spacing w:after="0"/>
      <w:jc w:val="both"/>
      <w:textAlignment w:val="auto"/>
    </w:pPr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Yanping Xing</cp:lastModifiedBy>
  <cp:revision>7</cp:revision>
  <cp:lastPrinted>2002-04-23T07:10:00Z</cp:lastPrinted>
  <dcterms:created xsi:type="dcterms:W3CDTF">2025-05-21T13:32:00Z</dcterms:created>
  <dcterms:modified xsi:type="dcterms:W3CDTF">2025-05-21T14:09:00Z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2025-04-15T19:24:41Z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eb646493-d2ce-4fd5-8c76-9a9da6bc37d3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1744852340</vt:lpwstr>
  </property>
  <property fmtid="{D5CDD505-2E9C-101B-9397-08002B2CF9AE}" pid="15" name="CWM3a4b9920364d11f08000374300003643">
    <vt:lpwstr>CWMeVEusufX+YzMbYhW8cmuLcpj4wfCzSi7gDUreUIEq8WunypDfn6S2uGEv0BIiG/yBxUOB4XxIelZLI87P7dxbw==</vt:lpwstr>
  </property>
</Properties>
</file>