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935CB" w14:textId="4FC06026" w:rsidR="00EC5C83" w:rsidRPr="00327C65" w:rsidRDefault="00EC5C83" w:rsidP="00E04E05">
      <w:pPr>
        <w:autoSpaceDE/>
        <w:autoSpaceDN/>
        <w:adjustRightInd/>
        <w:snapToGrid/>
        <w:spacing w:after="0"/>
        <w:jc w:val="left"/>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55C82" w:rsidRPr="00455C82">
        <w:rPr>
          <w:rFonts w:ascii="Arial" w:hAnsi="Arial" w:cs="Arial"/>
          <w:b/>
          <w:noProof/>
          <w:kern w:val="2"/>
          <w:lang w:val="x-none"/>
        </w:rPr>
        <w:t>3GPP TSG RAN WG1</w:t>
      </w:r>
      <w:r w:rsidR="00335CEC">
        <w:rPr>
          <w:rFonts w:ascii="Arial" w:hAnsi="Arial" w:cs="Arial"/>
          <w:b/>
          <w:noProof/>
          <w:kern w:val="2"/>
          <w:lang w:val="x-none"/>
        </w:rPr>
        <w:t xml:space="preserve"> Meeting</w:t>
      </w:r>
      <w:r w:rsidR="00455C82" w:rsidRPr="00455C82">
        <w:rPr>
          <w:rFonts w:ascii="Arial" w:hAnsi="Arial" w:cs="Arial"/>
          <w:b/>
          <w:noProof/>
          <w:kern w:val="2"/>
          <w:lang w:val="x-none"/>
        </w:rPr>
        <w:t xml:space="preserve"> #12</w:t>
      </w:r>
      <w:r w:rsidR="000F5C7B">
        <w:rPr>
          <w:rFonts w:ascii="Arial" w:hAnsi="Arial" w:cs="Arial"/>
          <w:b/>
          <w:noProof/>
          <w:kern w:val="2"/>
          <w:lang w:val="x-none"/>
        </w:rPr>
        <w:t>1</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5B693E" w:rsidRPr="005B693E">
        <w:rPr>
          <w:b/>
          <w:bCs/>
          <w:sz w:val="24"/>
          <w:szCs w:val="24"/>
        </w:rPr>
        <w:t>R1-</w:t>
      </w:r>
      <w:r w:rsidR="00AE0E19" w:rsidRPr="00AE0E19">
        <w:rPr>
          <w:b/>
          <w:bCs/>
          <w:sz w:val="24"/>
          <w:szCs w:val="24"/>
        </w:rPr>
        <w:t>2504624</w:t>
      </w:r>
    </w:p>
    <w:p w14:paraId="53A725F7" w14:textId="6DE17F61" w:rsidR="00455C82" w:rsidRPr="00455C82" w:rsidRDefault="00AE0E19" w:rsidP="00455C82">
      <w:pPr>
        <w:spacing w:after="60"/>
        <w:ind w:left="1555" w:hanging="1555"/>
        <w:jc w:val="left"/>
        <w:rPr>
          <w:rFonts w:ascii="Arial" w:hAnsi="Arial" w:cs="Arial"/>
          <w:b/>
          <w:bCs/>
          <w:szCs w:val="20"/>
          <w:lang w:val="x-none" w:eastAsia="zh-CN"/>
        </w:rPr>
      </w:pPr>
      <w:r w:rsidRPr="00AE0E19">
        <w:rPr>
          <w:rFonts w:ascii="Arial" w:hAnsi="Arial" w:cs="Arial"/>
          <w:b/>
          <w:bCs/>
          <w:szCs w:val="20"/>
          <w:lang w:eastAsia="zh-CN"/>
        </w:rPr>
        <w:t>St Julian’s, Malta, May 19th – 23rd</w:t>
      </w:r>
      <w:r w:rsidR="00455C82" w:rsidRPr="00455C82">
        <w:rPr>
          <w:rFonts w:ascii="Arial" w:hAnsi="Arial" w:cs="Arial"/>
          <w:b/>
          <w:bCs/>
          <w:szCs w:val="20"/>
          <w:lang w:val="x-none" w:eastAsia="zh-CN"/>
        </w:rPr>
        <w:t>, 2025</w:t>
      </w:r>
    </w:p>
    <w:p w14:paraId="21BFA200" w14:textId="77777777" w:rsidR="00EC5C83" w:rsidRPr="00455C82" w:rsidRDefault="00EC5C83" w:rsidP="00EC5C83">
      <w:pPr>
        <w:spacing w:after="60"/>
        <w:ind w:left="1555" w:hanging="1555"/>
        <w:jc w:val="left"/>
        <w:rPr>
          <w:rFonts w:ascii="Arial" w:hAnsi="Arial" w:cs="Arial"/>
          <w:b/>
          <w:lang w:val="x-none" w:eastAsia="zh-CN"/>
        </w:rPr>
      </w:pPr>
    </w:p>
    <w:p w14:paraId="4FB69053" w14:textId="5AAE16C6"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t>9.</w:t>
      </w:r>
      <w:r>
        <w:rPr>
          <w:rFonts w:ascii="Arial" w:hAnsi="Arial" w:cs="Arial"/>
          <w:b/>
          <w:lang w:eastAsia="zh-CN"/>
        </w:rPr>
        <w:t>1.</w:t>
      </w:r>
      <w:r w:rsidR="004B0D3C">
        <w:rPr>
          <w:rFonts w:ascii="Arial" w:hAnsi="Arial" w:cs="Arial"/>
          <w:b/>
          <w:lang w:eastAsia="zh-CN"/>
        </w:rPr>
        <w:t>4</w:t>
      </w:r>
      <w:r>
        <w:rPr>
          <w:rFonts w:ascii="Arial" w:hAnsi="Arial" w:cs="Arial"/>
          <w:b/>
          <w:lang w:eastAsia="zh-CN"/>
        </w:rPr>
        <w:t>.</w:t>
      </w:r>
      <w:r w:rsidR="004B0D3C">
        <w:rPr>
          <w:rFonts w:ascii="Arial" w:hAnsi="Arial" w:cs="Arial"/>
          <w:b/>
          <w:lang w:eastAsia="zh-CN"/>
        </w:rPr>
        <w:t>1</w:t>
      </w:r>
    </w:p>
    <w:p w14:paraId="29CB8E14" w14:textId="32905C78"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Pr="00F17041">
        <w:rPr>
          <w:rFonts w:ascii="Arial" w:hAnsi="Arial" w:cs="Arial"/>
          <w:b/>
          <w:caps/>
          <w:shd w:val="clear" w:color="auto" w:fill="FFFFFF"/>
        </w:rPr>
        <w:t>IIT KANPUR</w:t>
      </w:r>
      <w:r w:rsidR="00241E03">
        <w:rPr>
          <w:rFonts w:ascii="Arial" w:hAnsi="Arial" w:cs="Arial"/>
          <w:b/>
          <w:caps/>
          <w:shd w:val="clear" w:color="auto" w:fill="FFFFFF"/>
        </w:rPr>
        <w:t xml:space="preserve">, </w:t>
      </w:r>
      <w:r w:rsidR="00241E03" w:rsidRPr="00241E03">
        <w:rPr>
          <w:rFonts w:ascii="Arial" w:hAnsi="Arial" w:cs="Arial"/>
          <w:b/>
          <w:caps/>
          <w:shd w:val="clear" w:color="auto" w:fill="FFFFFF"/>
        </w:rPr>
        <w:t>Indian Institute of Tech (M)</w:t>
      </w:r>
    </w:p>
    <w:p w14:paraId="01166B83" w14:textId="03639C04"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EB521A" w:rsidRPr="00EB521A">
        <w:rPr>
          <w:rFonts w:ascii="Arial" w:hAnsi="Arial" w:cs="Arial"/>
          <w:b/>
          <w:lang w:eastAsia="zh-CN"/>
        </w:rPr>
        <w:t>Discussion on AI/ML based CSI compression</w:t>
      </w:r>
    </w:p>
    <w:p w14:paraId="542736B0" w14:textId="1FC4529D"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9502DA" w:rsidRPr="00F17041">
        <w:rPr>
          <w:rFonts w:ascii="Arial" w:hAnsi="Arial" w:cs="Arial"/>
          <w:b/>
          <w:kern w:val="2"/>
          <w:lang w:eastAsia="zh-CN"/>
        </w:rPr>
        <w:t>:</w:t>
      </w:r>
      <w:r w:rsidR="009502DA">
        <w:rPr>
          <w:rFonts w:ascii="Arial" w:hAnsi="Arial" w:cs="Arial"/>
          <w:b/>
          <w:kern w:val="2"/>
          <w:lang w:eastAsia="zh-CN"/>
        </w:rPr>
        <w:t xml:space="preserve"> 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Default="00A613C2" w:rsidP="006C28A0">
      <w:pPr>
        <w:pStyle w:val="Heading1"/>
        <w:numPr>
          <w:ilvl w:val="0"/>
          <w:numId w:val="30"/>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74687CB" w14:textId="63C6BC6A" w:rsidR="009502DA" w:rsidRPr="009502DA" w:rsidRDefault="009502DA" w:rsidP="00391A8B">
      <w:pPr>
        <w:ind w:firstLine="720"/>
      </w:pPr>
      <w:r>
        <w:t>Regarding inter-vendor collaboration,</w:t>
      </w:r>
      <w:r w:rsidR="004011A2">
        <w:t xml:space="preserve"> for p</w:t>
      </w:r>
      <w:r w:rsidR="004011A2" w:rsidRPr="004011A2">
        <w:t>erformance target sharing for Direction A</w:t>
      </w:r>
      <w:r w:rsidR="004011A2">
        <w:t>,</w:t>
      </w:r>
      <w:r>
        <w:t xml:space="preserve"> the following agreements were made in RAN1#</w:t>
      </w:r>
      <w:r w:rsidR="000E3DF7">
        <w:t>120bis</w:t>
      </w:r>
      <w:r w:rsidR="00C07294">
        <w:t xml:space="preserve"> </w:t>
      </w:r>
      <w:r w:rsidR="009F0AA6">
        <w:t>[1]</w:t>
      </w:r>
      <w:r>
        <w:t>:</w:t>
      </w:r>
    </w:p>
    <w:tbl>
      <w:tblPr>
        <w:tblStyle w:val="TableGrid"/>
        <w:tblW w:w="0" w:type="auto"/>
        <w:tblLook w:val="04A0" w:firstRow="1" w:lastRow="0" w:firstColumn="1" w:lastColumn="0" w:noHBand="0" w:noVBand="1"/>
      </w:tblPr>
      <w:tblGrid>
        <w:gridCol w:w="9307"/>
      </w:tblGrid>
      <w:tr w:rsidR="000E3DF7" w:rsidRPr="000E3DF7" w14:paraId="07E1F6FA" w14:textId="77777777" w:rsidTr="000E3DF7">
        <w:tc>
          <w:tcPr>
            <w:tcW w:w="9962" w:type="dxa"/>
            <w:tcBorders>
              <w:top w:val="single" w:sz="4" w:space="0" w:color="auto"/>
              <w:left w:val="single" w:sz="4" w:space="0" w:color="auto"/>
              <w:bottom w:val="single" w:sz="4" w:space="0" w:color="auto"/>
              <w:right w:val="single" w:sz="4" w:space="0" w:color="auto"/>
            </w:tcBorders>
          </w:tcPr>
          <w:p w14:paraId="2EC4E4BE" w14:textId="77777777" w:rsidR="000E3DF7" w:rsidRPr="000E3DF7" w:rsidRDefault="000E3DF7" w:rsidP="000E3DF7">
            <w:pPr>
              <w:rPr>
                <w:b/>
                <w:bCs/>
                <w:i/>
                <w:iCs/>
                <w:color w:val="4472C4" w:themeColor="accent1"/>
                <w:sz w:val="16"/>
                <w:szCs w:val="16"/>
              </w:rPr>
            </w:pPr>
            <w:r w:rsidRPr="000E3DF7">
              <w:rPr>
                <w:color w:val="4472C4" w:themeColor="accent1"/>
                <w:sz w:val="16"/>
                <w:szCs w:val="16"/>
              </w:rPr>
              <w:t xml:space="preserve">For inter-vendor-collaboration Options 3a-1 and 4-1 in Direction A, confirm SGCS and NMSE as the type of performance metric that may be used for the </w:t>
            </w:r>
            <w:r w:rsidRPr="000E3DF7">
              <w:rPr>
                <w:rFonts w:eastAsia="DengXian" w:hint="eastAsia"/>
                <w:color w:val="4472C4" w:themeColor="accent1"/>
                <w:sz w:val="16"/>
                <w:szCs w:val="16"/>
                <w:lang w:eastAsia="zh-CN"/>
              </w:rPr>
              <w:t>p</w:t>
            </w:r>
            <w:r w:rsidRPr="000E3DF7">
              <w:rPr>
                <w:color w:val="4472C4" w:themeColor="accent1"/>
                <w:sz w:val="16"/>
                <w:szCs w:val="16"/>
              </w:rPr>
              <w:t>erformance target</w:t>
            </w:r>
            <w:r w:rsidRPr="000E3DF7">
              <w:rPr>
                <w:rFonts w:eastAsia="DengXian" w:hint="eastAsia"/>
                <w:color w:val="4472C4" w:themeColor="accent1"/>
                <w:sz w:val="16"/>
                <w:szCs w:val="16"/>
                <w:lang w:eastAsia="zh-CN"/>
              </w:rPr>
              <w:t xml:space="preserve"> </w:t>
            </w:r>
            <w:r w:rsidRPr="000E3DF7">
              <w:rPr>
                <w:rFonts w:eastAsia="DengXian"/>
                <w:color w:val="4472C4" w:themeColor="accent1"/>
                <w:sz w:val="16"/>
                <w:szCs w:val="16"/>
                <w:lang w:eastAsia="zh-CN"/>
              </w:rPr>
              <w:t xml:space="preserve">shared </w:t>
            </w:r>
            <w:r w:rsidRPr="000E3DF7">
              <w:rPr>
                <w:color w:val="4472C4" w:themeColor="accent1"/>
                <w:sz w:val="16"/>
                <w:szCs w:val="16"/>
              </w:rPr>
              <w:t>as additional information along with the exchanged dataset or the model parameters.</w:t>
            </w:r>
          </w:p>
          <w:p w14:paraId="52880D89" w14:textId="77777777" w:rsidR="000E3DF7" w:rsidRPr="000E3DF7" w:rsidRDefault="000E3DF7" w:rsidP="000E3DF7">
            <w:pPr>
              <w:pStyle w:val="ListParagraph"/>
              <w:numPr>
                <w:ilvl w:val="0"/>
                <w:numId w:val="31"/>
              </w:numPr>
              <w:spacing w:line="278" w:lineRule="auto"/>
              <w:rPr>
                <w:color w:val="4472C4" w:themeColor="accent1"/>
                <w:sz w:val="16"/>
                <w:szCs w:val="16"/>
              </w:rPr>
            </w:pPr>
            <w:r w:rsidRPr="000E3DF7">
              <w:rPr>
                <w:color w:val="4472C4" w:themeColor="accent1"/>
                <w:sz w:val="16"/>
                <w:szCs w:val="16"/>
              </w:rPr>
              <w:t>FFS: when to use SGCS, NMSE, and which one to use or both, and relationship with the inter-vender collaboration sub-options.</w:t>
            </w:r>
          </w:p>
          <w:p w14:paraId="487C29AB" w14:textId="77777777" w:rsidR="000E3DF7" w:rsidRPr="000E3DF7" w:rsidRDefault="000E3DF7" w:rsidP="000E3DF7">
            <w:pPr>
              <w:pStyle w:val="ListParagraph"/>
              <w:numPr>
                <w:ilvl w:val="0"/>
                <w:numId w:val="31"/>
              </w:numPr>
              <w:spacing w:line="278" w:lineRule="auto"/>
              <w:rPr>
                <w:color w:val="4472C4" w:themeColor="accent1"/>
                <w:sz w:val="16"/>
                <w:szCs w:val="16"/>
              </w:rPr>
            </w:pPr>
            <w:r w:rsidRPr="000E3DF7">
              <w:rPr>
                <w:color w:val="4472C4" w:themeColor="accent1"/>
                <w:sz w:val="16"/>
                <w:szCs w:val="16"/>
              </w:rPr>
              <w:t>FFS: details of the format of the performance target</w:t>
            </w:r>
          </w:p>
          <w:p w14:paraId="5E576A59" w14:textId="77777777" w:rsidR="000E3DF7" w:rsidRPr="000E3DF7" w:rsidRDefault="000E3DF7" w:rsidP="000E3DF7">
            <w:pPr>
              <w:pStyle w:val="ListParagraph"/>
              <w:numPr>
                <w:ilvl w:val="1"/>
                <w:numId w:val="31"/>
              </w:numPr>
              <w:spacing w:line="278" w:lineRule="auto"/>
              <w:rPr>
                <w:color w:val="4472C4" w:themeColor="accent1"/>
                <w:sz w:val="16"/>
                <w:szCs w:val="16"/>
              </w:rPr>
            </w:pPr>
            <w:r w:rsidRPr="000E3DF7">
              <w:rPr>
                <w:color w:val="4472C4" w:themeColor="accent1"/>
                <w:sz w:val="16"/>
                <w:szCs w:val="16"/>
              </w:rPr>
              <w:t>Option 1: Average performance target, e.g. average SGCS and/or average NMSE</w:t>
            </w:r>
          </w:p>
          <w:p w14:paraId="5A97C161" w14:textId="77777777" w:rsidR="000E3DF7" w:rsidRPr="000E3DF7" w:rsidRDefault="000E3DF7" w:rsidP="000E3DF7">
            <w:pPr>
              <w:pStyle w:val="ListParagraph"/>
              <w:numPr>
                <w:ilvl w:val="1"/>
                <w:numId w:val="31"/>
              </w:numPr>
              <w:spacing w:line="278" w:lineRule="auto"/>
              <w:rPr>
                <w:color w:val="4472C4" w:themeColor="accent1"/>
                <w:sz w:val="16"/>
                <w:szCs w:val="16"/>
              </w:rPr>
            </w:pPr>
            <w:r w:rsidRPr="000E3DF7">
              <w:rPr>
                <w:color w:val="4472C4" w:themeColor="accent1"/>
                <w:sz w:val="16"/>
                <w:szCs w:val="16"/>
              </w:rPr>
              <w:t>Option 2: distribution of the performance target, e.g., SGCS / NMSE for 5, 10, 20, 30 percentiles, etc.</w:t>
            </w:r>
          </w:p>
          <w:p w14:paraId="0AE29968" w14:textId="77777777" w:rsidR="000E3DF7" w:rsidRPr="000E3DF7" w:rsidRDefault="000E3DF7" w:rsidP="000E3DF7">
            <w:pPr>
              <w:pStyle w:val="ListParagraph"/>
              <w:numPr>
                <w:ilvl w:val="0"/>
                <w:numId w:val="31"/>
              </w:numPr>
              <w:spacing w:line="278" w:lineRule="auto"/>
              <w:rPr>
                <w:color w:val="4472C4" w:themeColor="accent1"/>
                <w:sz w:val="16"/>
                <w:szCs w:val="16"/>
              </w:rPr>
            </w:pPr>
            <w:r w:rsidRPr="000E3DF7">
              <w:rPr>
                <w:color w:val="4472C4" w:themeColor="accent1"/>
                <w:sz w:val="16"/>
                <w:szCs w:val="16"/>
              </w:rPr>
              <w:t xml:space="preserve">FFS: whether multiple performance targets should be exchanged for different configurations, such as antenna ports configuration, subband configuration and payload configuration, etc., along with each exchanged dataset or model parameters </w:t>
            </w:r>
          </w:p>
          <w:p w14:paraId="60BDC70D" w14:textId="77777777" w:rsidR="000E3DF7" w:rsidRPr="000E3DF7" w:rsidRDefault="000E3DF7" w:rsidP="000E3DF7">
            <w:pPr>
              <w:spacing w:line="278" w:lineRule="auto"/>
              <w:rPr>
                <w:color w:val="4472C4" w:themeColor="accent1"/>
                <w:sz w:val="16"/>
                <w:szCs w:val="16"/>
              </w:rPr>
            </w:pPr>
          </w:p>
          <w:p w14:paraId="0E707BA6" w14:textId="77777777" w:rsidR="000E3DF7" w:rsidRPr="000E3DF7" w:rsidRDefault="000E3DF7" w:rsidP="000E3DF7">
            <w:pPr>
              <w:rPr>
                <w:rFonts w:eastAsia="DengXian"/>
                <w:color w:val="4472C4" w:themeColor="accent1"/>
                <w:sz w:val="16"/>
                <w:szCs w:val="16"/>
                <w:lang w:eastAsia="zh-CN"/>
              </w:rPr>
            </w:pPr>
            <w:r w:rsidRPr="000E3DF7">
              <w:rPr>
                <w:color w:val="4472C4" w:themeColor="accent1"/>
                <w:sz w:val="16"/>
                <w:szCs w:val="16"/>
              </w:rPr>
              <w:t>In Options 3a-1 and 4-1, the exchanged dataset or the model parameters can be associated with an ID</w:t>
            </w:r>
            <w:r w:rsidRPr="000E3DF7">
              <w:rPr>
                <w:rFonts w:eastAsia="DengXian" w:hint="eastAsia"/>
                <w:color w:val="4472C4" w:themeColor="accent1"/>
                <w:sz w:val="16"/>
                <w:szCs w:val="16"/>
                <w:lang w:eastAsia="zh-CN"/>
              </w:rPr>
              <w:t xml:space="preserve"> for </w:t>
            </w:r>
            <w:r w:rsidRPr="000E3DF7">
              <w:rPr>
                <w:rFonts w:eastAsia="DengXian"/>
                <w:color w:val="4472C4" w:themeColor="accent1"/>
                <w:sz w:val="16"/>
                <w:szCs w:val="16"/>
                <w:lang w:eastAsia="zh-CN"/>
              </w:rPr>
              <w:t>pairing</w:t>
            </w:r>
            <w:r w:rsidRPr="000E3DF7">
              <w:rPr>
                <w:rFonts w:eastAsia="DengXian" w:hint="eastAsia"/>
                <w:color w:val="4472C4" w:themeColor="accent1"/>
                <w:sz w:val="16"/>
                <w:szCs w:val="16"/>
                <w:lang w:eastAsia="zh-CN"/>
              </w:rPr>
              <w:t xml:space="preserve"> related discussion, then</w:t>
            </w:r>
          </w:p>
          <w:p w14:paraId="0C443DD7"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rFonts w:eastAsia="SimSun"/>
                <w:color w:val="4472C4" w:themeColor="accent1"/>
                <w:sz w:val="16"/>
                <w:szCs w:val="16"/>
                <w:lang w:val="en-US" w:eastAsia="zh-CN"/>
              </w:rPr>
              <w:t xml:space="preserve">The same ID can be used for UE to collect </w:t>
            </w:r>
            <w:r w:rsidRPr="000E3DF7">
              <w:rPr>
                <w:rFonts w:eastAsia="SimSun" w:hint="eastAsia"/>
                <w:color w:val="4472C4" w:themeColor="accent1"/>
                <w:sz w:val="16"/>
                <w:szCs w:val="16"/>
                <w:lang w:val="en-US" w:eastAsia="zh-CN"/>
              </w:rPr>
              <w:t xml:space="preserve">UE-side target CSI </w:t>
            </w:r>
            <w:r w:rsidRPr="000E3DF7">
              <w:rPr>
                <w:rFonts w:eastAsia="SimSun"/>
                <w:color w:val="4472C4" w:themeColor="accent1"/>
                <w:sz w:val="16"/>
                <w:szCs w:val="16"/>
                <w:lang w:val="en-US" w:eastAsia="zh-CN"/>
              </w:rPr>
              <w:t>for UE-side training</w:t>
            </w:r>
            <w:r w:rsidRPr="000E3DF7">
              <w:rPr>
                <w:rFonts w:eastAsia="SimSun" w:hint="eastAsia"/>
                <w:color w:val="4472C4" w:themeColor="accent1"/>
                <w:sz w:val="16"/>
                <w:szCs w:val="16"/>
                <w:lang w:val="en-US" w:eastAsia="zh-CN"/>
              </w:rPr>
              <w:t xml:space="preserve"> </w:t>
            </w:r>
          </w:p>
          <w:p w14:paraId="31050CDD"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color w:val="4472C4" w:themeColor="accent1"/>
                <w:sz w:val="16"/>
                <w:szCs w:val="16"/>
              </w:rPr>
              <w:t>The same ID can be used for applicability inquiry and reporting</w:t>
            </w:r>
          </w:p>
          <w:p w14:paraId="29CB571F"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rFonts w:eastAsia="SimSun"/>
                <w:color w:val="4472C4" w:themeColor="accent1"/>
                <w:sz w:val="16"/>
                <w:szCs w:val="16"/>
                <w:lang w:val="en-US" w:eastAsia="zh-CN"/>
              </w:rPr>
              <w:t>The same ID can be used for inference configuration</w:t>
            </w:r>
          </w:p>
          <w:p w14:paraId="78DA1C1F"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color w:val="4472C4" w:themeColor="accent1"/>
                <w:sz w:val="16"/>
                <w:szCs w:val="16"/>
              </w:rPr>
              <w:t xml:space="preserve">The same ID </w:t>
            </w:r>
            <w:r w:rsidRPr="000E3DF7">
              <w:rPr>
                <w:rFonts w:hint="eastAsia"/>
                <w:color w:val="4472C4" w:themeColor="accent1"/>
                <w:sz w:val="16"/>
                <w:szCs w:val="16"/>
                <w:lang w:eastAsia="zh-CN"/>
              </w:rPr>
              <w:t>can be</w:t>
            </w:r>
            <w:r w:rsidRPr="000E3DF7">
              <w:rPr>
                <w:color w:val="4472C4" w:themeColor="accent1"/>
                <w:sz w:val="16"/>
                <w:szCs w:val="16"/>
              </w:rPr>
              <w:t xml:space="preserve"> used for NW-side data collection</w:t>
            </w:r>
          </w:p>
          <w:p w14:paraId="6275C5A0"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rFonts w:eastAsia="SimSun"/>
                <w:color w:val="4472C4" w:themeColor="accent1"/>
                <w:sz w:val="16"/>
                <w:szCs w:val="16"/>
              </w:rPr>
              <w:t xml:space="preserve">FFS: </w:t>
            </w:r>
            <w:r w:rsidRPr="000E3DF7">
              <w:rPr>
                <w:rFonts w:eastAsia="SimSun" w:hint="eastAsia"/>
                <w:color w:val="4472C4" w:themeColor="accent1"/>
                <w:sz w:val="16"/>
                <w:szCs w:val="16"/>
                <w:lang w:eastAsia="zh-CN"/>
              </w:rPr>
              <w:t xml:space="preserve">whether </w:t>
            </w:r>
            <w:r w:rsidRPr="000E3DF7">
              <w:rPr>
                <w:rFonts w:eastAsia="SimSun"/>
                <w:color w:val="4472C4" w:themeColor="accent1"/>
                <w:sz w:val="16"/>
                <w:szCs w:val="16"/>
                <w:lang w:val="en-US" w:eastAsia="zh-CN"/>
              </w:rPr>
              <w:t>ID</w:t>
            </w:r>
            <w:r w:rsidRPr="000E3DF7">
              <w:rPr>
                <w:rFonts w:eastAsia="SimSun" w:hint="eastAsia"/>
                <w:color w:val="4472C4" w:themeColor="accent1"/>
                <w:sz w:val="16"/>
                <w:szCs w:val="16"/>
                <w:lang w:val="en-US" w:eastAsia="zh-CN"/>
              </w:rPr>
              <w:t>/even same ID</w:t>
            </w:r>
            <w:r w:rsidRPr="000E3DF7">
              <w:rPr>
                <w:rFonts w:eastAsia="SimSun"/>
                <w:color w:val="4472C4" w:themeColor="accent1"/>
                <w:sz w:val="16"/>
                <w:szCs w:val="16"/>
                <w:lang w:val="en-US" w:eastAsia="zh-CN"/>
              </w:rPr>
              <w:t xml:space="preserve"> </w:t>
            </w:r>
            <w:r w:rsidRPr="000E3DF7">
              <w:rPr>
                <w:rFonts w:eastAsia="SimSun" w:hint="eastAsia"/>
                <w:color w:val="4472C4" w:themeColor="accent1"/>
                <w:sz w:val="16"/>
                <w:szCs w:val="16"/>
                <w:lang w:val="en-US" w:eastAsia="zh-CN"/>
              </w:rPr>
              <w:t>is needed</w:t>
            </w:r>
            <w:r w:rsidRPr="000E3DF7">
              <w:rPr>
                <w:rFonts w:eastAsia="SimSun"/>
                <w:color w:val="4472C4" w:themeColor="accent1"/>
                <w:sz w:val="16"/>
                <w:szCs w:val="16"/>
                <w:lang w:val="en-US" w:eastAsia="zh-CN"/>
              </w:rPr>
              <w:t xml:space="preserve"> for monitoring configuration</w:t>
            </w:r>
          </w:p>
          <w:p w14:paraId="5B2B6869"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rFonts w:eastAsia="SimSun" w:hint="eastAsia"/>
                <w:color w:val="4472C4" w:themeColor="accent1"/>
                <w:sz w:val="16"/>
                <w:szCs w:val="16"/>
                <w:lang w:val="en-US" w:eastAsia="zh-CN"/>
              </w:rPr>
              <w:t>FFS: where the ID is assigned</w:t>
            </w:r>
          </w:p>
          <w:p w14:paraId="2B516374" w14:textId="77777777" w:rsidR="000E3DF7" w:rsidRPr="000E3DF7" w:rsidRDefault="000E3DF7" w:rsidP="000E3DF7">
            <w:pPr>
              <w:pStyle w:val="ListParagraph"/>
              <w:numPr>
                <w:ilvl w:val="0"/>
                <w:numId w:val="32"/>
              </w:numPr>
              <w:suppressAutoHyphens/>
              <w:spacing w:after="180" w:line="240" w:lineRule="auto"/>
              <w:jc w:val="both"/>
              <w:rPr>
                <w:color w:val="4472C4" w:themeColor="accent1"/>
                <w:sz w:val="16"/>
                <w:szCs w:val="16"/>
              </w:rPr>
            </w:pPr>
            <w:r w:rsidRPr="000E3DF7">
              <w:rPr>
                <w:rFonts w:eastAsia="SimSun" w:hint="eastAsia"/>
                <w:color w:val="4472C4" w:themeColor="accent1"/>
                <w:sz w:val="16"/>
                <w:szCs w:val="16"/>
                <w:lang w:val="en-US" w:eastAsia="zh-CN"/>
              </w:rPr>
              <w:t>Note: whether the purpose for pair will be specified will be discussed separately.</w:t>
            </w:r>
          </w:p>
          <w:p w14:paraId="5DFAAFBF" w14:textId="77777777" w:rsidR="000E3DF7" w:rsidRPr="000E3DF7" w:rsidRDefault="000E3DF7" w:rsidP="000E3DF7">
            <w:pPr>
              <w:spacing w:line="278" w:lineRule="auto"/>
              <w:rPr>
                <w:color w:val="4472C4" w:themeColor="accent1"/>
                <w:sz w:val="16"/>
                <w:szCs w:val="16"/>
                <w:lang w:val="en-GB"/>
              </w:rPr>
            </w:pPr>
          </w:p>
          <w:p w14:paraId="7726002F" w14:textId="1DE99695" w:rsidR="009502DA" w:rsidRPr="000E3DF7" w:rsidRDefault="009502DA" w:rsidP="009502DA">
            <w:pPr>
              <w:widowControl/>
              <w:ind w:left="720"/>
              <w:rPr>
                <w:b/>
                <w:color w:val="4472C4" w:themeColor="accent1"/>
                <w:sz w:val="16"/>
                <w:szCs w:val="16"/>
                <w:lang w:val="en-GB"/>
              </w:rPr>
            </w:pPr>
          </w:p>
        </w:tc>
      </w:tr>
    </w:tbl>
    <w:p w14:paraId="33D84792" w14:textId="77777777" w:rsidR="00BD6D5C" w:rsidRDefault="00BD6D5C" w:rsidP="00BD6D5C">
      <w:pPr>
        <w:spacing w:line="276" w:lineRule="auto"/>
        <w:ind w:firstLine="720"/>
        <w:rPr>
          <w:lang w:eastAsia="zh-CN"/>
        </w:rPr>
      </w:pPr>
      <w:bookmarkStart w:id="2" w:name="_Ref129681832"/>
    </w:p>
    <w:p w14:paraId="741BB486" w14:textId="0B3E7FBD" w:rsidR="006C28A0" w:rsidRPr="00BD6D5C" w:rsidRDefault="00E92B49" w:rsidP="00BD6D5C">
      <w:pPr>
        <w:spacing w:line="276" w:lineRule="auto"/>
        <w:ind w:firstLine="720"/>
        <w:rPr>
          <w:lang w:val="en-GB" w:eastAsia="zh-CN"/>
        </w:rPr>
      </w:pPr>
      <w:r w:rsidRPr="00BD6D5C">
        <w:rPr>
          <w:lang w:eastAsia="zh-CN"/>
        </w:rPr>
        <w:t>Regarding ID-based model pairing for Direction A (Options 3a-1 and 4-1)</w:t>
      </w:r>
      <w:r w:rsidR="00BD6D5C" w:rsidRPr="00BD6D5C">
        <w:rPr>
          <w:lang w:eastAsia="zh-CN"/>
        </w:rPr>
        <w:t xml:space="preserve">, the following agreements were made in </w:t>
      </w:r>
      <w:r w:rsidR="00BD6D5C" w:rsidRPr="00BD6D5C">
        <w:t>RAN1#120bis [1]</w:t>
      </w:r>
      <w:r w:rsidR="00BD6D5C" w:rsidRPr="00BD6D5C">
        <w:rPr>
          <w:lang w:eastAsia="zh-CN"/>
        </w:rPr>
        <w:t>:</w:t>
      </w:r>
    </w:p>
    <w:tbl>
      <w:tblPr>
        <w:tblStyle w:val="TableGrid"/>
        <w:tblW w:w="0" w:type="auto"/>
        <w:tblLook w:val="04A0" w:firstRow="1" w:lastRow="0" w:firstColumn="1" w:lastColumn="0" w:noHBand="0" w:noVBand="1"/>
      </w:tblPr>
      <w:tblGrid>
        <w:gridCol w:w="9307"/>
      </w:tblGrid>
      <w:tr w:rsidR="006C28A0" w:rsidRPr="009502DA" w14:paraId="3CD1D9A4" w14:textId="77777777" w:rsidTr="00A933D8">
        <w:tc>
          <w:tcPr>
            <w:tcW w:w="9962" w:type="dxa"/>
            <w:tcBorders>
              <w:top w:val="single" w:sz="4" w:space="0" w:color="auto"/>
              <w:left w:val="single" w:sz="4" w:space="0" w:color="auto"/>
              <w:bottom w:val="single" w:sz="4" w:space="0" w:color="auto"/>
              <w:right w:val="single" w:sz="4" w:space="0" w:color="auto"/>
            </w:tcBorders>
            <w:hideMark/>
          </w:tcPr>
          <w:p w14:paraId="3096345E" w14:textId="77777777" w:rsidR="00BD6D5C" w:rsidRPr="00BD6D5C" w:rsidRDefault="00BD6D5C" w:rsidP="00BD6D5C">
            <w:pPr>
              <w:rPr>
                <w:rFonts w:asciiTheme="minorHAnsi" w:eastAsia="DengXian" w:hAnsiTheme="minorHAnsi" w:cstheme="minorHAnsi"/>
                <w:color w:val="4472C4" w:themeColor="accent1"/>
                <w:sz w:val="16"/>
                <w:szCs w:val="16"/>
                <w:lang w:eastAsia="zh-CN"/>
              </w:rPr>
            </w:pPr>
            <w:r w:rsidRPr="00BD6D5C">
              <w:rPr>
                <w:rFonts w:asciiTheme="minorHAnsi" w:hAnsiTheme="minorHAnsi" w:cstheme="minorHAnsi"/>
                <w:color w:val="4472C4" w:themeColor="accent1"/>
                <w:sz w:val="16"/>
                <w:szCs w:val="16"/>
              </w:rPr>
              <w:t>In Options 3a-1 and 4-1, the exchanged dataset or the model parameters can be associated with an ID</w:t>
            </w:r>
            <w:r w:rsidRPr="00BD6D5C">
              <w:rPr>
                <w:rFonts w:asciiTheme="minorHAnsi" w:eastAsia="DengXian" w:hAnsiTheme="minorHAnsi" w:cstheme="minorHAnsi"/>
                <w:color w:val="4472C4" w:themeColor="accent1"/>
                <w:sz w:val="16"/>
                <w:szCs w:val="16"/>
                <w:lang w:eastAsia="zh-CN"/>
              </w:rPr>
              <w:t xml:space="preserve"> for pairing related discussion, then</w:t>
            </w:r>
          </w:p>
          <w:p w14:paraId="0D63CE12"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eastAsia="SimSun" w:hAnsiTheme="minorHAnsi" w:cstheme="minorHAnsi"/>
                <w:color w:val="4472C4" w:themeColor="accent1"/>
                <w:sz w:val="16"/>
                <w:szCs w:val="16"/>
                <w:lang w:val="en-US" w:eastAsia="zh-CN"/>
              </w:rPr>
              <w:t xml:space="preserve">The same ID can be used for UE to collect UE-side target CSI for UE-side training </w:t>
            </w:r>
          </w:p>
          <w:p w14:paraId="48E54CCC"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hAnsiTheme="minorHAnsi" w:cstheme="minorHAnsi"/>
                <w:color w:val="4472C4" w:themeColor="accent1"/>
                <w:sz w:val="16"/>
                <w:szCs w:val="16"/>
              </w:rPr>
              <w:t>The same ID can be used for applicability inquiry and reporting</w:t>
            </w:r>
          </w:p>
          <w:p w14:paraId="1FC01A29"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eastAsia="SimSun" w:hAnsiTheme="minorHAnsi" w:cstheme="minorHAnsi"/>
                <w:color w:val="4472C4" w:themeColor="accent1"/>
                <w:sz w:val="16"/>
                <w:szCs w:val="16"/>
                <w:lang w:val="en-US" w:eastAsia="zh-CN"/>
              </w:rPr>
              <w:t>The same ID can be used for inference configuration</w:t>
            </w:r>
          </w:p>
          <w:p w14:paraId="27B84786"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hAnsiTheme="minorHAnsi" w:cstheme="minorHAnsi"/>
                <w:color w:val="4472C4" w:themeColor="accent1"/>
                <w:sz w:val="16"/>
                <w:szCs w:val="16"/>
              </w:rPr>
              <w:t xml:space="preserve">The same ID </w:t>
            </w:r>
            <w:r w:rsidRPr="00BD6D5C">
              <w:rPr>
                <w:rFonts w:asciiTheme="minorHAnsi" w:hAnsiTheme="minorHAnsi" w:cstheme="minorHAnsi"/>
                <w:color w:val="4472C4" w:themeColor="accent1"/>
                <w:sz w:val="16"/>
                <w:szCs w:val="16"/>
                <w:lang w:eastAsia="zh-CN"/>
              </w:rPr>
              <w:t>can be</w:t>
            </w:r>
            <w:r w:rsidRPr="00BD6D5C">
              <w:rPr>
                <w:rFonts w:asciiTheme="minorHAnsi" w:hAnsiTheme="minorHAnsi" w:cstheme="minorHAnsi"/>
                <w:color w:val="4472C4" w:themeColor="accent1"/>
                <w:sz w:val="16"/>
                <w:szCs w:val="16"/>
              </w:rPr>
              <w:t xml:space="preserve"> used for NW-side data collection</w:t>
            </w:r>
          </w:p>
          <w:p w14:paraId="639CB519"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eastAsia="SimSun" w:hAnsiTheme="minorHAnsi" w:cstheme="minorHAnsi"/>
                <w:color w:val="4472C4" w:themeColor="accent1"/>
                <w:sz w:val="16"/>
                <w:szCs w:val="16"/>
              </w:rPr>
              <w:t xml:space="preserve">FFS: </w:t>
            </w:r>
            <w:r w:rsidRPr="00BD6D5C">
              <w:rPr>
                <w:rFonts w:asciiTheme="minorHAnsi" w:eastAsia="SimSun" w:hAnsiTheme="minorHAnsi" w:cstheme="minorHAnsi"/>
                <w:color w:val="4472C4" w:themeColor="accent1"/>
                <w:sz w:val="16"/>
                <w:szCs w:val="16"/>
                <w:lang w:eastAsia="zh-CN"/>
              </w:rPr>
              <w:t xml:space="preserve">whether </w:t>
            </w:r>
            <w:r w:rsidRPr="00BD6D5C">
              <w:rPr>
                <w:rFonts w:asciiTheme="minorHAnsi" w:eastAsia="SimSun" w:hAnsiTheme="minorHAnsi" w:cstheme="minorHAnsi"/>
                <w:color w:val="4472C4" w:themeColor="accent1"/>
                <w:sz w:val="16"/>
                <w:szCs w:val="16"/>
                <w:lang w:val="en-US" w:eastAsia="zh-CN"/>
              </w:rPr>
              <w:t>ID/even same ID is needed for monitoring configuration</w:t>
            </w:r>
          </w:p>
          <w:p w14:paraId="0DDC5C9F"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eastAsia="SimSun" w:hAnsiTheme="minorHAnsi" w:cstheme="minorHAnsi"/>
                <w:color w:val="4472C4" w:themeColor="accent1"/>
                <w:sz w:val="16"/>
                <w:szCs w:val="16"/>
                <w:lang w:val="en-US" w:eastAsia="zh-CN"/>
              </w:rPr>
              <w:t>FFS: where the ID is assigned</w:t>
            </w:r>
          </w:p>
          <w:p w14:paraId="59D9FFC0" w14:textId="77777777" w:rsidR="00BD6D5C" w:rsidRPr="00BD6D5C" w:rsidRDefault="00BD6D5C" w:rsidP="00BD6D5C">
            <w:pPr>
              <w:pStyle w:val="ListParagraph"/>
              <w:numPr>
                <w:ilvl w:val="0"/>
                <w:numId w:val="32"/>
              </w:numPr>
              <w:suppressAutoHyphens/>
              <w:spacing w:after="180" w:line="240" w:lineRule="auto"/>
              <w:jc w:val="both"/>
              <w:rPr>
                <w:rFonts w:asciiTheme="minorHAnsi" w:hAnsiTheme="minorHAnsi" w:cstheme="minorHAnsi"/>
                <w:color w:val="4472C4" w:themeColor="accent1"/>
                <w:sz w:val="16"/>
                <w:szCs w:val="16"/>
              </w:rPr>
            </w:pPr>
            <w:r w:rsidRPr="00BD6D5C">
              <w:rPr>
                <w:rFonts w:asciiTheme="minorHAnsi" w:eastAsia="SimSun" w:hAnsiTheme="minorHAnsi" w:cstheme="minorHAnsi"/>
                <w:color w:val="4472C4" w:themeColor="accent1"/>
                <w:sz w:val="16"/>
                <w:szCs w:val="16"/>
                <w:lang w:val="en-US" w:eastAsia="zh-CN"/>
              </w:rPr>
              <w:t>Note: whether the purpose for pair will be specified will be discussed separately.</w:t>
            </w:r>
          </w:p>
          <w:p w14:paraId="441189CE" w14:textId="52BFEDA5" w:rsidR="006C28A0" w:rsidRPr="00BD6D5C" w:rsidRDefault="006C28A0" w:rsidP="006C28A0">
            <w:pPr>
              <w:suppressAutoHyphens/>
              <w:autoSpaceDE/>
              <w:autoSpaceDN/>
              <w:adjustRightInd/>
              <w:snapToGrid/>
              <w:spacing w:after="0"/>
              <w:rPr>
                <w:bCs/>
                <w:iCs/>
                <w:color w:val="4472C4" w:themeColor="accent1"/>
                <w:sz w:val="16"/>
                <w:szCs w:val="16"/>
                <w:lang w:val="en-GB"/>
              </w:rPr>
            </w:pPr>
          </w:p>
          <w:p w14:paraId="6FE08A1C" w14:textId="77777777" w:rsidR="006C28A0" w:rsidRPr="00BD6D5C" w:rsidRDefault="006C28A0" w:rsidP="00A933D8">
            <w:pPr>
              <w:suppressAutoHyphens/>
              <w:autoSpaceDE/>
              <w:autoSpaceDN/>
              <w:adjustRightInd/>
              <w:snapToGrid/>
              <w:spacing w:after="0"/>
              <w:rPr>
                <w:color w:val="4472C4" w:themeColor="accent1"/>
                <w:sz w:val="16"/>
                <w:szCs w:val="16"/>
                <w:lang w:eastAsia="ko-KR"/>
              </w:rPr>
            </w:pPr>
          </w:p>
          <w:p w14:paraId="141F520E" w14:textId="77777777" w:rsidR="006C28A0" w:rsidRPr="00BD6D5C" w:rsidRDefault="006C28A0" w:rsidP="00A933D8">
            <w:pPr>
              <w:suppressAutoHyphens/>
              <w:autoSpaceDE/>
              <w:autoSpaceDN/>
              <w:adjustRightInd/>
              <w:snapToGrid/>
              <w:spacing w:after="0"/>
              <w:rPr>
                <w:color w:val="4472C4" w:themeColor="accent1"/>
                <w:sz w:val="16"/>
                <w:szCs w:val="16"/>
                <w:lang w:eastAsia="ko-KR"/>
              </w:rPr>
            </w:pPr>
          </w:p>
          <w:p w14:paraId="109B9C8F" w14:textId="77777777" w:rsidR="006C28A0" w:rsidRPr="00BD6D5C" w:rsidRDefault="006C28A0" w:rsidP="00A933D8">
            <w:pPr>
              <w:widowControl/>
              <w:ind w:left="720"/>
              <w:rPr>
                <w:b/>
                <w:color w:val="4472C4" w:themeColor="accent1"/>
                <w:sz w:val="16"/>
                <w:szCs w:val="16"/>
              </w:rPr>
            </w:pPr>
          </w:p>
        </w:tc>
      </w:tr>
    </w:tbl>
    <w:p w14:paraId="57A0669B" w14:textId="77777777" w:rsidR="00BF0357" w:rsidRDefault="00BF0357" w:rsidP="006C28A0">
      <w:pPr>
        <w:spacing w:line="276" w:lineRule="auto"/>
        <w:rPr>
          <w:lang w:val="en-IN" w:eastAsia="zh-CN"/>
        </w:rPr>
      </w:pPr>
    </w:p>
    <w:p w14:paraId="46C20938" w14:textId="790533C8" w:rsidR="006C28A0" w:rsidRDefault="006C28A0" w:rsidP="006C28A0">
      <w:pPr>
        <w:spacing w:line="276" w:lineRule="auto"/>
        <w:rPr>
          <w:lang w:val="en-IN" w:eastAsia="zh-CN"/>
        </w:rPr>
      </w:pPr>
      <w:r w:rsidRPr="006C28A0">
        <w:rPr>
          <w:lang w:val="en-IN" w:eastAsia="zh-CN"/>
        </w:rPr>
        <w:t>In this contribution we discuss the following</w:t>
      </w:r>
      <w:r>
        <w:rPr>
          <w:lang w:val="en-IN" w:eastAsia="zh-CN"/>
        </w:rPr>
        <w:t>:</w:t>
      </w:r>
    </w:p>
    <w:p w14:paraId="19E2D685" w14:textId="241B7349" w:rsidR="006C28A0" w:rsidRPr="00BF0357" w:rsidRDefault="00BF0357" w:rsidP="006C28A0">
      <w:pPr>
        <w:pStyle w:val="ListParagraph"/>
        <w:numPr>
          <w:ilvl w:val="0"/>
          <w:numId w:val="29"/>
        </w:numPr>
        <w:spacing w:line="276" w:lineRule="auto"/>
        <w:rPr>
          <w:lang w:val="en-IN" w:eastAsia="zh-CN"/>
        </w:rPr>
      </w:pPr>
      <w:r>
        <w:rPr>
          <w:rFonts w:ascii="Times New Roman" w:hAnsi="Times New Roman"/>
          <w:lang w:val="en-IN" w:eastAsia="zh-CN"/>
        </w:rPr>
        <w:t xml:space="preserve">Our views on computing a performance metric using training dataset at the NW side and on the factors to be considered </w:t>
      </w:r>
      <w:r w:rsidR="00FA595B">
        <w:rPr>
          <w:rFonts w:ascii="Times New Roman" w:hAnsi="Times New Roman"/>
          <w:lang w:val="en-IN" w:eastAsia="zh-CN"/>
        </w:rPr>
        <w:t>when</w:t>
      </w:r>
      <w:r>
        <w:rPr>
          <w:rFonts w:ascii="Times New Roman" w:hAnsi="Times New Roman"/>
          <w:lang w:val="en-IN" w:eastAsia="zh-CN"/>
        </w:rPr>
        <w:t xml:space="preserve"> deciding between SGCS and NMSE as the performance target metric.</w:t>
      </w:r>
    </w:p>
    <w:p w14:paraId="00B5F033" w14:textId="4E681001" w:rsidR="00BF0357" w:rsidRPr="00BF0357" w:rsidRDefault="00BF0357" w:rsidP="00BF0357">
      <w:pPr>
        <w:pStyle w:val="ListParagraph"/>
        <w:numPr>
          <w:ilvl w:val="0"/>
          <w:numId w:val="29"/>
        </w:numPr>
        <w:rPr>
          <w:rFonts w:ascii="Times New Roman" w:hAnsi="Times New Roman"/>
          <w:lang w:val="en-IN" w:eastAsia="zh-CN"/>
        </w:rPr>
      </w:pPr>
      <w:r w:rsidRPr="00BF0357">
        <w:rPr>
          <w:rFonts w:ascii="Times New Roman" w:hAnsi="Times New Roman"/>
          <w:lang w:val="en-IN" w:eastAsia="zh-CN"/>
        </w:rPr>
        <w:t>Our views on the ID-based model</w:t>
      </w:r>
      <w:r w:rsidR="00783CC7">
        <w:rPr>
          <w:rFonts w:ascii="Times New Roman" w:hAnsi="Times New Roman"/>
          <w:lang w:val="en-IN" w:eastAsia="zh-CN"/>
        </w:rPr>
        <w:t>/dataset</w:t>
      </w:r>
      <w:r w:rsidRPr="00BF0357">
        <w:rPr>
          <w:rFonts w:ascii="Times New Roman" w:hAnsi="Times New Roman"/>
          <w:lang w:val="en-IN" w:eastAsia="zh-CN"/>
        </w:rPr>
        <w:t xml:space="preserve"> pairing for Direction A (Options 3a-1 and 4-1)</w:t>
      </w:r>
      <w:r>
        <w:rPr>
          <w:rFonts w:ascii="Times New Roman" w:hAnsi="Times New Roman"/>
          <w:lang w:val="en-IN" w:eastAsia="zh-CN"/>
        </w:rPr>
        <w:t>, its generation and location.</w:t>
      </w:r>
    </w:p>
    <w:p w14:paraId="6E7281AD" w14:textId="20ED0510" w:rsidR="00BF0357" w:rsidRPr="006C28A0" w:rsidRDefault="00BF0357" w:rsidP="00BF0357">
      <w:pPr>
        <w:pStyle w:val="ListParagraph"/>
        <w:spacing w:line="276" w:lineRule="auto"/>
        <w:rPr>
          <w:lang w:val="en-IN" w:eastAsia="zh-CN"/>
        </w:rPr>
      </w:pPr>
    </w:p>
    <w:p w14:paraId="63B4EDAA" w14:textId="77777777" w:rsidR="006C28A0" w:rsidRPr="00DA3B9A" w:rsidRDefault="006C28A0" w:rsidP="00E456FA">
      <w:pPr>
        <w:spacing w:line="276" w:lineRule="auto"/>
        <w:rPr>
          <w:sz w:val="24"/>
          <w:szCs w:val="24"/>
          <w:lang w:val="en-IN" w:eastAsia="zh-CN"/>
        </w:rPr>
      </w:pPr>
    </w:p>
    <w:p w14:paraId="733FF777" w14:textId="29633D66" w:rsidR="006C28A0" w:rsidRDefault="006C28A0" w:rsidP="006C28A0">
      <w:pPr>
        <w:pStyle w:val="Heading1"/>
        <w:numPr>
          <w:ilvl w:val="0"/>
          <w:numId w:val="30"/>
        </w:numPr>
        <w:rPr>
          <w:rFonts w:ascii="Times New Roman" w:eastAsia="Times New Roman" w:hAnsi="Times New Roman"/>
          <w:color w:val="000000"/>
        </w:rPr>
      </w:pPr>
      <w:r>
        <w:rPr>
          <w:rFonts w:ascii="Times New Roman" w:eastAsia="Times New Roman" w:hAnsi="Times New Roman"/>
          <w:color w:val="000000"/>
        </w:rPr>
        <w:t xml:space="preserve">Discussion on inter-vendor collaboration </w:t>
      </w:r>
    </w:p>
    <w:p w14:paraId="77D01589" w14:textId="55920BB8" w:rsidR="006C28A0" w:rsidRDefault="00EA767E" w:rsidP="006C28A0">
      <w:pPr>
        <w:pStyle w:val="ListParagraph"/>
        <w:numPr>
          <w:ilvl w:val="1"/>
          <w:numId w:val="30"/>
        </w:numPr>
        <w:rPr>
          <w:rFonts w:ascii="Times New Roman" w:hAnsi="Times New Roman"/>
          <w:b/>
          <w:bCs/>
          <w:sz w:val="28"/>
          <w:szCs w:val="28"/>
        </w:rPr>
      </w:pPr>
      <w:r w:rsidRPr="00EA767E">
        <w:rPr>
          <w:rFonts w:ascii="Times New Roman" w:hAnsi="Times New Roman"/>
          <w:b/>
          <w:bCs/>
          <w:sz w:val="28"/>
          <w:szCs w:val="28"/>
        </w:rPr>
        <w:t>Performance target sharing for Direction A</w:t>
      </w:r>
    </w:p>
    <w:p w14:paraId="5D73080E" w14:textId="7B1A5B4B" w:rsidR="00AC3279" w:rsidRDefault="00AC3279" w:rsidP="0037551C">
      <w:pPr>
        <w:ind w:firstLine="720"/>
      </w:pPr>
      <w:r>
        <w:t xml:space="preserve">A network-derived performance target sent along with exchanged parameters or dataset, expressed as a numerical benchmark such SGCS or NMSE, is computed from the dataset that trains the nominal encoder, and the decoder deployed in the </w:t>
      </w:r>
      <w:r w:rsidR="00C3702D">
        <w:t>NW</w:t>
      </w:r>
      <w:r>
        <w:t>. Because the calculation uses freshly captured channel samples at the network (NW), the benchmark remains anchored to the prevailing propagation environment and to the exact implementation losses of the live decoder which will be used for inference.</w:t>
      </w:r>
    </w:p>
    <w:p w14:paraId="6EE8638E" w14:textId="3D2D4EC6" w:rsidR="00AC3279" w:rsidRDefault="00AC3279" w:rsidP="0037551C">
      <w:pPr>
        <w:ind w:firstLine="720"/>
      </w:pPr>
      <w:r>
        <w:t>Periodic re</w:t>
      </w:r>
      <w:r w:rsidR="00BB18F1">
        <w:t>-</w:t>
      </w:r>
      <w:r>
        <w:t xml:space="preserve">computation of this benchmark </w:t>
      </w:r>
      <w:r w:rsidR="00BB18F1">
        <w:t>helps</w:t>
      </w:r>
      <w:r>
        <w:t xml:space="preserve"> the system against drifts in channel statistics and </w:t>
      </w:r>
      <w:r w:rsidR="00D83330">
        <w:t>NW model</w:t>
      </w:r>
      <w:r>
        <w:t xml:space="preserve"> calibration. When the threshold is kept </w:t>
      </w:r>
      <w:r w:rsidR="00BB18F1">
        <w:t>“</w:t>
      </w:r>
      <w:r>
        <w:t>current</w:t>
      </w:r>
      <w:r w:rsidR="00BB18F1">
        <w:t>”</w:t>
      </w:r>
      <w:r>
        <w:t xml:space="preserve">, it neither over-rejects valid AI-compressed CSI </w:t>
      </w:r>
      <w:r w:rsidR="00BB18F1">
        <w:t xml:space="preserve">for the “current” channel conditions </w:t>
      </w:r>
      <w:r>
        <w:t>nor permits degraded CSI that would harm link quality. The benchmark serves as a self-calibrating track</w:t>
      </w:r>
      <w:r w:rsidR="00A4232F">
        <w:t>er</w:t>
      </w:r>
      <w:r>
        <w:t xml:space="preserve"> </w:t>
      </w:r>
      <w:r w:rsidR="00A4232F">
        <w:t>of the channel</w:t>
      </w:r>
      <w:r>
        <w:t xml:space="preserve"> conditions.</w:t>
      </w:r>
    </w:p>
    <w:p w14:paraId="0F316315" w14:textId="0E33C598" w:rsidR="00AC3279" w:rsidRDefault="009113DD" w:rsidP="0037551C">
      <w:pPr>
        <w:ind w:firstLine="720"/>
      </w:pPr>
      <w:r>
        <w:t>Receiving</w:t>
      </w:r>
      <w:r w:rsidR="00AC3279">
        <w:t xml:space="preserve"> a</w:t>
      </w:r>
      <w:r>
        <w:t xml:space="preserve">n </w:t>
      </w:r>
      <w:r w:rsidR="00AC3279">
        <w:t xml:space="preserve">up-to-date </w:t>
      </w:r>
      <w:r>
        <w:t>target</w:t>
      </w:r>
      <w:r w:rsidR="00AC3279">
        <w:t xml:space="preserve"> </w:t>
      </w:r>
      <w:r>
        <w:t>at</w:t>
      </w:r>
      <w:r w:rsidR="00AC3279">
        <w:t xml:space="preserve"> </w:t>
      </w:r>
      <w:r>
        <w:t>the UE helps in the efficiency of</w:t>
      </w:r>
      <w:r w:rsidR="00AC3279">
        <w:t xml:space="preserve"> on-device learning. The UE trains or fine-tunes its encoder only until the </w:t>
      </w:r>
      <w:r w:rsidR="001D02D5">
        <w:t xml:space="preserve">target </w:t>
      </w:r>
      <w:r w:rsidR="00AC3279">
        <w:t xml:space="preserve">is attained, which </w:t>
      </w:r>
      <w:r w:rsidR="007D3EF6">
        <w:t xml:space="preserve">may </w:t>
      </w:r>
      <w:r w:rsidR="00C3702D">
        <w:t>shorten</w:t>
      </w:r>
      <w:r w:rsidR="00AC3279">
        <w:t xml:space="preserve"> training time, </w:t>
      </w:r>
      <w:r w:rsidR="00C3702D">
        <w:t>reduce</w:t>
      </w:r>
      <w:r w:rsidR="00AC3279">
        <w:t xml:space="preserve"> energy consumption and </w:t>
      </w:r>
      <w:r w:rsidR="00C3702D">
        <w:t>prevents</w:t>
      </w:r>
      <w:r w:rsidR="00AC3279">
        <w:t xml:space="preserve"> over-fitting. </w:t>
      </w:r>
    </w:p>
    <w:p w14:paraId="12114EFB" w14:textId="73300C84" w:rsidR="00C3702D" w:rsidRDefault="00AC3279" w:rsidP="0037551C">
      <w:pPr>
        <w:ind w:firstLine="720"/>
      </w:pPr>
      <w:r>
        <w:t xml:space="preserve">Because the benchmark </w:t>
      </w:r>
      <w:r w:rsidR="007D3EF6">
        <w:t>reflects</w:t>
      </w:r>
      <w:r>
        <w:t xml:space="preserve"> the behaviour of the deployed decoder, the </w:t>
      </w:r>
      <w:r w:rsidR="007D3EF6">
        <w:t>NW</w:t>
      </w:r>
      <w:r>
        <w:t xml:space="preserve"> can impose a deterministic </w:t>
      </w:r>
      <w:r w:rsidR="007D3EF6">
        <w:t>threshold</w:t>
      </w:r>
      <w:r>
        <w:t xml:space="preserve">. For example, if the UE-reported </w:t>
      </w:r>
      <w:r w:rsidR="007D3EF6">
        <w:t>SGCS</w:t>
      </w:r>
      <w:r>
        <w:t xml:space="preserve"> </w:t>
      </w:r>
      <w:r w:rsidR="00C16999">
        <w:t>does not meet</w:t>
      </w:r>
      <w:r>
        <w:t xml:space="preserve"> the benchmark by a predefined margin for a specified number of CSI reports, the network may command an immediate reversion to legacy </w:t>
      </w:r>
      <w:r w:rsidR="007D3EF6">
        <w:t>e</w:t>
      </w:r>
      <w:r>
        <w:t xml:space="preserve">Type-2 codebook feedback. </w:t>
      </w:r>
      <w:r w:rsidR="00CE366A">
        <w:t xml:space="preserve">This will help with more accurate transitions between AI-based and conventional feedback modes when the AI </w:t>
      </w:r>
      <w:r w:rsidR="001F6E22">
        <w:t>model</w:t>
      </w:r>
      <w:r w:rsidR="00CE366A">
        <w:t xml:space="preserve"> deteriorates or the channel changes abruptly.</w:t>
      </w:r>
    </w:p>
    <w:p w14:paraId="640DD002" w14:textId="509D7AE5" w:rsidR="006C28A0" w:rsidRDefault="00AC3279" w:rsidP="00C3702D">
      <w:pPr>
        <w:ind w:firstLine="576"/>
      </w:pPr>
      <w:r>
        <w:t xml:space="preserve">The </w:t>
      </w:r>
      <w:r w:rsidR="00C3702D">
        <w:t>periodicity</w:t>
      </w:r>
      <w:r>
        <w:t xml:space="preserve"> with which the </w:t>
      </w:r>
      <w:r w:rsidR="00C3702D">
        <w:t>NW</w:t>
      </w:r>
      <w:r>
        <w:t xml:space="preserve"> recalculates and </w:t>
      </w:r>
      <w:r w:rsidR="00C3702D">
        <w:t>transmits</w:t>
      </w:r>
      <w:r>
        <w:t xml:space="preserve"> the benchmark</w:t>
      </w:r>
      <w:r w:rsidR="00C3702D">
        <w:t>, along with the parameters/datasets,</w:t>
      </w:r>
      <w:r>
        <w:t xml:space="preserve"> remains open</w:t>
      </w:r>
      <w:r w:rsidR="00C3702D">
        <w:t xml:space="preserve"> for discussion</w:t>
      </w:r>
      <w:r>
        <w:t xml:space="preserve">. In low-mobility cells, where large-scale fading evolves </w:t>
      </w:r>
      <w:r w:rsidR="00C3702D">
        <w:t>slower</w:t>
      </w:r>
      <w:r>
        <w:t>, a refresh period aligned with scheduled decoder retraining</w:t>
      </w:r>
      <w:r w:rsidR="00C3702D">
        <w:t xml:space="preserve">, </w:t>
      </w:r>
      <w:r>
        <w:t xml:space="preserve">appears adequate. </w:t>
      </w:r>
      <w:r w:rsidR="00054949">
        <w:t>High-mobility scenarios</w:t>
      </w:r>
      <w:r>
        <w:t xml:space="preserve"> may require much shorter intervals</w:t>
      </w:r>
      <w:r w:rsidR="0037551C">
        <w:t xml:space="preserve">, </w:t>
      </w:r>
      <w:r>
        <w:t>to keep the threshold representative. Further</w:t>
      </w:r>
      <w:r w:rsidR="00C3702D">
        <w:t xml:space="preserve"> </w:t>
      </w:r>
      <w:r>
        <w:t xml:space="preserve">study is needed to establish an optimal balance between responsiveness, </w:t>
      </w:r>
      <w:r w:rsidR="00C3702D">
        <w:t>signaling</w:t>
      </w:r>
      <w:r>
        <w:t xml:space="preserve"> overhead and computational cost.</w:t>
      </w:r>
    </w:p>
    <w:p w14:paraId="48D4BC37" w14:textId="77777777" w:rsidR="00CF7D4D" w:rsidRDefault="00CF7D4D" w:rsidP="00C3702D">
      <w:pPr>
        <w:ind w:firstLine="576"/>
      </w:pPr>
    </w:p>
    <w:p w14:paraId="14A8E5C0" w14:textId="5B0C7011" w:rsidR="00CF7D4D" w:rsidRPr="004E36A0" w:rsidRDefault="00CF7D4D" w:rsidP="00C3702D">
      <w:pPr>
        <w:ind w:firstLine="576"/>
        <w:rPr>
          <w:b/>
          <w:bCs/>
          <w:i/>
          <w:iCs/>
        </w:rPr>
      </w:pPr>
      <w:r w:rsidRPr="004E36A0">
        <w:rPr>
          <w:b/>
          <w:bCs/>
          <w:i/>
          <w:iCs/>
          <w:u w:val="single"/>
        </w:rPr>
        <w:t>Observation 1</w:t>
      </w:r>
      <w:r w:rsidRPr="004E36A0">
        <w:rPr>
          <w:b/>
          <w:bCs/>
          <w:i/>
          <w:iCs/>
        </w:rPr>
        <w:t xml:space="preserve">: A performance target computed from the same data that trains the nominal </w:t>
      </w:r>
      <w:r w:rsidR="00DF281C" w:rsidRPr="004E36A0">
        <w:rPr>
          <w:b/>
          <w:bCs/>
          <w:i/>
          <w:iCs/>
        </w:rPr>
        <w:t>encoder,</w:t>
      </w:r>
      <w:r w:rsidRPr="004E36A0">
        <w:rPr>
          <w:b/>
          <w:bCs/>
          <w:i/>
          <w:iCs/>
        </w:rPr>
        <w:t xml:space="preserve"> and the actual decoder naturally </w:t>
      </w:r>
      <w:r w:rsidR="00054949">
        <w:rPr>
          <w:b/>
          <w:bCs/>
          <w:i/>
          <w:iCs/>
        </w:rPr>
        <w:t>reflects</w:t>
      </w:r>
      <w:r w:rsidRPr="004E36A0">
        <w:rPr>
          <w:b/>
          <w:bCs/>
          <w:i/>
          <w:iCs/>
        </w:rPr>
        <w:t xml:space="preserve"> both the prevailing channel statistics and the decoder’s implementation losses. By calibrating against this “</w:t>
      </w:r>
      <w:r w:rsidR="00CA44B8">
        <w:rPr>
          <w:b/>
          <w:bCs/>
          <w:i/>
          <w:iCs/>
        </w:rPr>
        <w:t>current</w:t>
      </w:r>
      <w:r w:rsidRPr="004E36A0">
        <w:rPr>
          <w:b/>
          <w:bCs/>
          <w:i/>
          <w:iCs/>
        </w:rPr>
        <w:t xml:space="preserve">” </w:t>
      </w:r>
      <w:r w:rsidR="00CA44B8">
        <w:rPr>
          <w:b/>
          <w:bCs/>
          <w:i/>
          <w:iCs/>
        </w:rPr>
        <w:t xml:space="preserve">target </w:t>
      </w:r>
      <w:r w:rsidRPr="004E36A0">
        <w:rPr>
          <w:b/>
          <w:bCs/>
          <w:i/>
          <w:iCs/>
        </w:rPr>
        <w:t>figure, the UE optimises for the exact conditions it will encounter</w:t>
      </w:r>
      <w:r w:rsidR="00C5668B">
        <w:rPr>
          <w:b/>
          <w:bCs/>
          <w:i/>
          <w:iCs/>
        </w:rPr>
        <w:t xml:space="preserve"> during transmission of CSI codewords</w:t>
      </w:r>
      <w:r w:rsidRPr="004E36A0">
        <w:rPr>
          <w:b/>
          <w:bCs/>
          <w:i/>
          <w:iCs/>
        </w:rPr>
        <w:t xml:space="preserve">, while the </w:t>
      </w:r>
      <w:r w:rsidR="00C97B5F" w:rsidRPr="004E36A0">
        <w:rPr>
          <w:b/>
          <w:bCs/>
          <w:i/>
          <w:iCs/>
        </w:rPr>
        <w:t>NW</w:t>
      </w:r>
      <w:r w:rsidRPr="004E36A0">
        <w:rPr>
          <w:b/>
          <w:bCs/>
          <w:i/>
          <w:iCs/>
        </w:rPr>
        <w:t xml:space="preserve"> can apply the value as a reliable threshold for current CSI reports.</w:t>
      </w:r>
    </w:p>
    <w:p w14:paraId="0E6507E6" w14:textId="222DBEDF" w:rsidR="004E36A0" w:rsidRDefault="00204A29" w:rsidP="00AD7109">
      <w:pPr>
        <w:ind w:firstLine="576"/>
        <w:rPr>
          <w:b/>
          <w:bCs/>
          <w:i/>
          <w:iCs/>
        </w:rPr>
      </w:pPr>
      <w:r w:rsidRPr="004E36A0">
        <w:rPr>
          <w:b/>
          <w:bCs/>
          <w:i/>
          <w:iCs/>
          <w:u w:val="single"/>
        </w:rPr>
        <w:t>Observation 2</w:t>
      </w:r>
      <w:r w:rsidRPr="004E36A0">
        <w:rPr>
          <w:b/>
          <w:bCs/>
          <w:i/>
          <w:iCs/>
        </w:rPr>
        <w:t xml:space="preserve">: The interval with which the NW recomputes and transmits the target should depend on mobility: slower updates may be enough in low-mobility scenarios where fading is slow, whereas high-mobility scenarios may require recalculation faster to remain representative. Selecting the target is a trade-off: shorter intervals improve the accuracy of pass/fail decisions but increase signalling and </w:t>
      </w:r>
      <w:r w:rsidR="004E36A0" w:rsidRPr="004E36A0">
        <w:rPr>
          <w:b/>
          <w:bCs/>
          <w:i/>
          <w:iCs/>
        </w:rPr>
        <w:t xml:space="preserve">decoder training </w:t>
      </w:r>
      <w:r w:rsidRPr="004E36A0">
        <w:rPr>
          <w:b/>
          <w:bCs/>
          <w:i/>
          <w:iCs/>
        </w:rPr>
        <w:t xml:space="preserve">computation, whereas longer intervals conserve resources at the cost of </w:t>
      </w:r>
      <w:r w:rsidR="00DF281C" w:rsidRPr="004E36A0">
        <w:rPr>
          <w:b/>
          <w:bCs/>
          <w:i/>
          <w:iCs/>
        </w:rPr>
        <w:t>responsiveness. Choosing</w:t>
      </w:r>
      <w:r w:rsidRPr="004E36A0">
        <w:rPr>
          <w:b/>
          <w:bCs/>
          <w:i/>
          <w:iCs/>
        </w:rPr>
        <w:t xml:space="preserve"> the </w:t>
      </w:r>
      <w:r w:rsidR="004E36A0" w:rsidRPr="004E36A0">
        <w:rPr>
          <w:b/>
          <w:bCs/>
          <w:i/>
          <w:iCs/>
        </w:rPr>
        <w:t>target transmission interval,</w:t>
      </w:r>
      <w:r w:rsidRPr="004E36A0">
        <w:rPr>
          <w:b/>
          <w:bCs/>
          <w:i/>
          <w:iCs/>
        </w:rPr>
        <w:t xml:space="preserve"> trades signalling and </w:t>
      </w:r>
      <w:r w:rsidR="00CA44B8" w:rsidRPr="004E36A0">
        <w:rPr>
          <w:b/>
          <w:bCs/>
          <w:i/>
          <w:iCs/>
        </w:rPr>
        <w:t>computing</w:t>
      </w:r>
      <w:r w:rsidRPr="004E36A0">
        <w:rPr>
          <w:b/>
          <w:bCs/>
          <w:i/>
          <w:iCs/>
        </w:rPr>
        <w:t xml:space="preserve"> cost against the accuracy of switching decisions between AI-based and legacy feedback</w:t>
      </w:r>
      <w:r w:rsidR="004E36A0" w:rsidRPr="004E36A0">
        <w:rPr>
          <w:b/>
          <w:bCs/>
          <w:i/>
          <w:iCs/>
        </w:rPr>
        <w:t>.</w:t>
      </w:r>
    </w:p>
    <w:p w14:paraId="6314A4E6" w14:textId="77777777" w:rsidR="00AD7109" w:rsidRDefault="00AD7109" w:rsidP="00AD7109"/>
    <w:p w14:paraId="6A1611C3" w14:textId="1F5A55FC" w:rsidR="00AD7109" w:rsidRDefault="00AD7109" w:rsidP="00AD7109">
      <w:pPr>
        <w:ind w:firstLine="576"/>
      </w:pPr>
      <w:r w:rsidRPr="00AD7109">
        <w:t xml:space="preserve">A suitable performance-target metric should translate into </w:t>
      </w:r>
      <w:r>
        <w:t>beamforming</w:t>
      </w:r>
      <w:r w:rsidRPr="00AD7109">
        <w:t xml:space="preserve"> gain. SGCS does so by measuring the cosine similarity between the beamforming vector obtained from the reconstructed CSI and the vector that maximises receive power on the true channel. A higher SGCS therefore implies that the precoder steers energy in nearly the optimal spatial direction</w:t>
      </w:r>
      <w:r>
        <w:t xml:space="preserve">. </w:t>
      </w:r>
      <w:r w:rsidR="00813E10">
        <w:t xml:space="preserve">Now, SGCS may converge faster than NMSE during training. </w:t>
      </w:r>
      <w:r w:rsidR="00315B26">
        <w:t>The training of the encoder, its training time and performance, will depend on th</w:t>
      </w:r>
      <w:r w:rsidR="00DB54A9">
        <w:t>e value</w:t>
      </w:r>
      <w:r w:rsidR="00CE3F76">
        <w:t xml:space="preserve"> of </w:t>
      </w:r>
      <w:r w:rsidR="00315B26">
        <w:t xml:space="preserve"> shared target</w:t>
      </w:r>
      <w:r w:rsidR="00F70C37">
        <w:t xml:space="preserve"> metric</w:t>
      </w:r>
      <w:r w:rsidR="00315B26">
        <w:t xml:space="preserve">. The encoder at the UE may achieve this SGCS target earlier than NMSE, reducing training time.  </w:t>
      </w:r>
    </w:p>
    <w:p w14:paraId="5D7FC756" w14:textId="4F433AF5" w:rsidR="00813E10" w:rsidRPr="00EC7662" w:rsidRDefault="00EA68C9" w:rsidP="00EC7662">
      <w:pPr>
        <w:ind w:firstLine="576"/>
        <w:rPr>
          <w:b/>
          <w:bCs/>
          <w:i/>
          <w:iCs/>
        </w:rPr>
      </w:pPr>
      <w:r w:rsidRPr="005C6E83">
        <w:rPr>
          <w:b/>
          <w:bCs/>
          <w:i/>
          <w:iCs/>
          <w:u w:val="single"/>
        </w:rPr>
        <w:t xml:space="preserve">Observation </w:t>
      </w:r>
      <w:r w:rsidR="00315B26" w:rsidRPr="005C6E83">
        <w:rPr>
          <w:b/>
          <w:bCs/>
          <w:i/>
          <w:iCs/>
          <w:u w:val="single"/>
        </w:rPr>
        <w:t>3</w:t>
      </w:r>
      <w:r w:rsidR="00315B26" w:rsidRPr="002518B8">
        <w:rPr>
          <w:b/>
          <w:bCs/>
          <w:i/>
          <w:iCs/>
        </w:rPr>
        <w:t xml:space="preserve">: </w:t>
      </w:r>
      <w:r w:rsidR="004C6A27" w:rsidRPr="002518B8">
        <w:rPr>
          <w:b/>
          <w:bCs/>
          <w:i/>
          <w:iCs/>
        </w:rPr>
        <w:t xml:space="preserve">SGCS maps directly to beamforming gain and </w:t>
      </w:r>
      <w:r w:rsidR="009464D9" w:rsidRPr="002518B8">
        <w:rPr>
          <w:b/>
          <w:bCs/>
          <w:i/>
          <w:iCs/>
        </w:rPr>
        <w:t>may</w:t>
      </w:r>
      <w:r w:rsidR="004C6A27" w:rsidRPr="002518B8">
        <w:rPr>
          <w:b/>
          <w:bCs/>
          <w:i/>
          <w:iCs/>
        </w:rPr>
        <w:t xml:space="preserve"> </w:t>
      </w:r>
      <w:r w:rsidR="002518B8" w:rsidRPr="002518B8">
        <w:rPr>
          <w:b/>
          <w:bCs/>
          <w:i/>
          <w:iCs/>
        </w:rPr>
        <w:t>reach</w:t>
      </w:r>
      <w:r w:rsidR="004C6A27" w:rsidRPr="002518B8">
        <w:rPr>
          <w:b/>
          <w:bCs/>
          <w:i/>
          <w:iCs/>
        </w:rPr>
        <w:t xml:space="preserve"> its target earlier, during training the model</w:t>
      </w:r>
      <w:r w:rsidR="00803758" w:rsidRPr="002518B8">
        <w:rPr>
          <w:b/>
          <w:bCs/>
          <w:i/>
          <w:iCs/>
        </w:rPr>
        <w:t>,</w:t>
      </w:r>
      <w:r w:rsidR="004C6A27" w:rsidRPr="002518B8">
        <w:rPr>
          <w:b/>
          <w:bCs/>
          <w:i/>
          <w:iCs/>
        </w:rPr>
        <w:t xml:space="preserve"> than NMSE. Using SGCS as the shared performance benchmark can therefore cut </w:t>
      </w:r>
      <w:r w:rsidR="004C6A27" w:rsidRPr="002518B8">
        <w:rPr>
          <w:b/>
          <w:bCs/>
          <w:i/>
          <w:iCs/>
        </w:rPr>
        <w:lastRenderedPageBreak/>
        <w:t>UE training time and comput</w:t>
      </w:r>
      <w:r w:rsidR="002518B8">
        <w:rPr>
          <w:b/>
          <w:bCs/>
          <w:i/>
          <w:iCs/>
        </w:rPr>
        <w:t>ation</w:t>
      </w:r>
      <w:r w:rsidR="004C6A27" w:rsidRPr="002518B8">
        <w:rPr>
          <w:b/>
          <w:bCs/>
          <w:i/>
          <w:iCs/>
        </w:rPr>
        <w:t xml:space="preserve"> load while still delivering near-optimal precoding</w:t>
      </w:r>
      <w:r w:rsidR="002518B8" w:rsidRPr="002518B8">
        <w:rPr>
          <w:b/>
          <w:bCs/>
          <w:i/>
          <w:iCs/>
        </w:rPr>
        <w:t>.</w:t>
      </w:r>
      <w:r w:rsidR="004C6A27" w:rsidRPr="002518B8">
        <w:rPr>
          <w:b/>
          <w:bCs/>
          <w:i/>
          <w:iCs/>
        </w:rPr>
        <w:t xml:space="preserve"> </w:t>
      </w:r>
      <w:r w:rsidR="002518B8" w:rsidRPr="002518B8">
        <w:rPr>
          <w:b/>
          <w:bCs/>
          <w:i/>
          <w:iCs/>
        </w:rPr>
        <w:t>A</w:t>
      </w:r>
      <w:r w:rsidR="004C6A27" w:rsidRPr="002518B8">
        <w:rPr>
          <w:b/>
          <w:bCs/>
          <w:i/>
          <w:iCs/>
        </w:rPr>
        <w:t>ny incremental benefit from prolonging training to improve NMSE remains to be quantified.</w:t>
      </w:r>
      <w:r w:rsidR="00315B26" w:rsidRPr="002518B8">
        <w:rPr>
          <w:b/>
          <w:bCs/>
          <w:i/>
          <w:iCs/>
        </w:rPr>
        <w:t xml:space="preserve"> </w:t>
      </w:r>
    </w:p>
    <w:p w14:paraId="029B26EB" w14:textId="4F497D83" w:rsidR="00813E10" w:rsidRPr="00AB44F7" w:rsidRDefault="00813E10" w:rsidP="00AD7109">
      <w:pPr>
        <w:ind w:firstLine="576"/>
        <w:rPr>
          <w:i/>
          <w:iCs/>
        </w:rPr>
      </w:pPr>
      <w:r w:rsidRPr="00AB44F7">
        <w:rPr>
          <w:b/>
          <w:bCs/>
          <w:i/>
          <w:iCs/>
          <w:u w:val="single"/>
        </w:rPr>
        <w:t>Proposal 1</w:t>
      </w:r>
      <w:r w:rsidRPr="00AB44F7">
        <w:rPr>
          <w:b/>
          <w:bCs/>
          <w:i/>
          <w:iCs/>
        </w:rPr>
        <w:t>: R</w:t>
      </w:r>
      <w:r w:rsidR="005C6E83" w:rsidRPr="00AB44F7">
        <w:rPr>
          <w:b/>
          <w:bCs/>
          <w:i/>
          <w:iCs/>
        </w:rPr>
        <w:t>AN</w:t>
      </w:r>
      <w:r w:rsidRPr="00AB44F7">
        <w:rPr>
          <w:b/>
          <w:bCs/>
          <w:i/>
          <w:iCs/>
        </w:rPr>
        <w:t>1 should further study the two parameters</w:t>
      </w:r>
      <w:r w:rsidR="005C6E83" w:rsidRPr="00AB44F7">
        <w:rPr>
          <w:b/>
          <w:bCs/>
          <w:i/>
          <w:iCs/>
        </w:rPr>
        <w:t>, SGCS and NMSE</w:t>
      </w:r>
      <w:r w:rsidRPr="00AB44F7">
        <w:rPr>
          <w:b/>
          <w:bCs/>
          <w:i/>
          <w:iCs/>
        </w:rPr>
        <w:t xml:space="preserve">, interms of </w:t>
      </w:r>
      <w:r w:rsidR="009E4E26" w:rsidRPr="00AB44F7">
        <w:rPr>
          <w:b/>
          <w:bCs/>
          <w:i/>
          <w:iCs/>
        </w:rPr>
        <w:t>training convergence</w:t>
      </w:r>
      <w:r w:rsidRPr="00AB44F7">
        <w:rPr>
          <w:b/>
          <w:bCs/>
          <w:i/>
          <w:iCs/>
        </w:rPr>
        <w:t xml:space="preserve"> speed and performance of </w:t>
      </w:r>
      <w:r w:rsidR="005C6E83" w:rsidRPr="00AB44F7">
        <w:rPr>
          <w:b/>
          <w:bCs/>
          <w:i/>
          <w:iCs/>
        </w:rPr>
        <w:t>precoder, before</w:t>
      </w:r>
      <w:r w:rsidRPr="00AB44F7">
        <w:rPr>
          <w:b/>
          <w:bCs/>
          <w:i/>
          <w:iCs/>
        </w:rPr>
        <w:t xml:space="preserve"> deciding upon which to choose</w:t>
      </w:r>
      <w:r w:rsidR="00EA68C9" w:rsidRPr="00AB44F7">
        <w:rPr>
          <w:b/>
          <w:bCs/>
          <w:i/>
          <w:iCs/>
        </w:rPr>
        <w:t xml:space="preserve"> as performance target metric</w:t>
      </w:r>
      <w:r w:rsidRPr="00AB44F7">
        <w:rPr>
          <w:i/>
          <w:iCs/>
        </w:rPr>
        <w:t>.</w:t>
      </w:r>
    </w:p>
    <w:p w14:paraId="33AD0112" w14:textId="77777777" w:rsidR="00C3702D" w:rsidRDefault="00C3702D" w:rsidP="004E36A0"/>
    <w:p w14:paraId="0D200E77" w14:textId="5786B540" w:rsidR="0087250A" w:rsidRDefault="005C6E83" w:rsidP="00AD7109">
      <w:pPr>
        <w:pStyle w:val="ListParagraph"/>
        <w:numPr>
          <w:ilvl w:val="1"/>
          <w:numId w:val="30"/>
        </w:numPr>
        <w:rPr>
          <w:rFonts w:ascii="Times New Roman" w:hAnsi="Times New Roman"/>
          <w:b/>
          <w:bCs/>
          <w:sz w:val="28"/>
          <w:szCs w:val="28"/>
        </w:rPr>
      </w:pPr>
      <w:bookmarkStart w:id="3" w:name="_Hlk197743644"/>
      <w:r w:rsidRPr="005C6E83">
        <w:rPr>
          <w:rFonts w:ascii="Times New Roman" w:hAnsi="Times New Roman"/>
          <w:b/>
          <w:bCs/>
          <w:sz w:val="28"/>
          <w:szCs w:val="28"/>
        </w:rPr>
        <w:t>ID-based model</w:t>
      </w:r>
      <w:r w:rsidR="00DA6569">
        <w:rPr>
          <w:rFonts w:ascii="Times New Roman" w:hAnsi="Times New Roman"/>
          <w:b/>
          <w:bCs/>
          <w:sz w:val="28"/>
          <w:szCs w:val="28"/>
        </w:rPr>
        <w:t>/dataset</w:t>
      </w:r>
      <w:r w:rsidRPr="005C6E83">
        <w:rPr>
          <w:rFonts w:ascii="Times New Roman" w:hAnsi="Times New Roman"/>
          <w:b/>
          <w:bCs/>
          <w:sz w:val="28"/>
          <w:szCs w:val="28"/>
        </w:rPr>
        <w:t xml:space="preserve"> pairing</w:t>
      </w:r>
      <w:r w:rsidR="00EC7662">
        <w:rPr>
          <w:rFonts w:ascii="Times New Roman" w:hAnsi="Times New Roman"/>
          <w:b/>
          <w:bCs/>
          <w:sz w:val="28"/>
          <w:szCs w:val="28"/>
        </w:rPr>
        <w:t xml:space="preserve"> </w:t>
      </w:r>
      <w:r w:rsidR="00EC7662" w:rsidRPr="00EA767E">
        <w:rPr>
          <w:rFonts w:ascii="Times New Roman" w:hAnsi="Times New Roman"/>
          <w:b/>
          <w:bCs/>
          <w:sz w:val="28"/>
          <w:szCs w:val="28"/>
        </w:rPr>
        <w:t>for Direction A</w:t>
      </w:r>
      <w:r w:rsidR="00EC7662">
        <w:rPr>
          <w:rFonts w:ascii="Times New Roman" w:hAnsi="Times New Roman"/>
          <w:b/>
          <w:bCs/>
          <w:sz w:val="28"/>
          <w:szCs w:val="28"/>
        </w:rPr>
        <w:t xml:space="preserve"> (</w:t>
      </w:r>
      <w:r w:rsidR="00F758CB" w:rsidRPr="00F758CB">
        <w:rPr>
          <w:rFonts w:ascii="Times New Roman" w:hAnsi="Times New Roman"/>
          <w:b/>
          <w:bCs/>
          <w:sz w:val="28"/>
          <w:szCs w:val="28"/>
        </w:rPr>
        <w:t>Options 3a-1 and 4-1</w:t>
      </w:r>
      <w:r w:rsidR="00EC7662">
        <w:rPr>
          <w:rFonts w:ascii="Times New Roman" w:hAnsi="Times New Roman"/>
          <w:b/>
          <w:bCs/>
          <w:sz w:val="28"/>
          <w:szCs w:val="28"/>
        </w:rPr>
        <w:t>)</w:t>
      </w:r>
    </w:p>
    <w:bookmarkEnd w:id="3"/>
    <w:p w14:paraId="6E704CF7" w14:textId="7B5BBA6E" w:rsidR="00E70075" w:rsidRDefault="00E70075" w:rsidP="00E70075">
      <w:pPr>
        <w:ind w:firstLine="720"/>
      </w:pPr>
      <w:r w:rsidRPr="00E70075">
        <w:t>In Options 3a-1 and 4-1, the exchanged dataset or the model parameters can be associated with an ID for pairing related discussions. The generation of this ID will help in mitigating inter-vendor collaboration issues by associating each NW vendor model with a unique ID. The ID could be generated using methods derived from legacy network-ID generation schemes, and its location within the transmission may likewise follow established configuration procedures (For example: report configuration), to reduce spec impact.</w:t>
      </w:r>
    </w:p>
    <w:p w14:paraId="2DFD739A" w14:textId="3ED5D364" w:rsidR="00E70075" w:rsidRPr="00E70075" w:rsidRDefault="00E70075" w:rsidP="00E70075">
      <w:pPr>
        <w:rPr>
          <w:b/>
          <w:bCs/>
          <w:i/>
          <w:iCs/>
        </w:rPr>
      </w:pPr>
      <w:r>
        <w:tab/>
      </w:r>
      <w:r w:rsidRPr="00E70075">
        <w:rPr>
          <w:b/>
          <w:bCs/>
          <w:i/>
          <w:iCs/>
          <w:u w:val="single"/>
        </w:rPr>
        <w:t>Observation 4</w:t>
      </w:r>
      <w:r w:rsidRPr="00E70075">
        <w:rPr>
          <w:b/>
          <w:bCs/>
          <w:i/>
          <w:iCs/>
        </w:rPr>
        <w:t xml:space="preserve">: The model ID for pairing can be generated with established network-ID generation procedures and its </w:t>
      </w:r>
      <w:r w:rsidR="000E645C">
        <w:rPr>
          <w:b/>
          <w:bCs/>
          <w:i/>
          <w:iCs/>
        </w:rPr>
        <w:t>assignment</w:t>
      </w:r>
      <w:r w:rsidRPr="00E70075">
        <w:rPr>
          <w:b/>
          <w:bCs/>
          <w:i/>
          <w:iCs/>
        </w:rPr>
        <w:t xml:space="preserve"> can follow existing network ID reporting configuration field, minimising additional specification impact.</w:t>
      </w:r>
    </w:p>
    <w:p w14:paraId="6F48A8A5" w14:textId="03FA02EB" w:rsidR="00E70075" w:rsidRPr="00E70075" w:rsidRDefault="00E70075" w:rsidP="00E70075">
      <w:pPr>
        <w:ind w:firstLine="720"/>
        <w:rPr>
          <w:b/>
          <w:bCs/>
          <w:i/>
          <w:iCs/>
        </w:rPr>
      </w:pPr>
      <w:r w:rsidRPr="00E70075">
        <w:rPr>
          <w:b/>
          <w:bCs/>
          <w:i/>
          <w:iCs/>
          <w:u w:val="single"/>
        </w:rPr>
        <w:t>Proposal</w:t>
      </w:r>
      <w:r w:rsidR="00395B41">
        <w:rPr>
          <w:b/>
          <w:bCs/>
          <w:i/>
          <w:iCs/>
          <w:u w:val="single"/>
        </w:rPr>
        <w:t xml:space="preserve"> </w:t>
      </w:r>
      <w:r w:rsidRPr="00E70075">
        <w:rPr>
          <w:b/>
          <w:bCs/>
          <w:i/>
          <w:iCs/>
          <w:u w:val="single"/>
        </w:rPr>
        <w:t>2</w:t>
      </w:r>
      <w:r w:rsidRPr="00E70075">
        <w:rPr>
          <w:b/>
          <w:bCs/>
          <w:i/>
          <w:iCs/>
        </w:rPr>
        <w:t>: Further details of indicating this model</w:t>
      </w:r>
      <w:r w:rsidR="004F02D0">
        <w:rPr>
          <w:b/>
          <w:bCs/>
          <w:i/>
          <w:iCs/>
        </w:rPr>
        <w:t>/dataset</w:t>
      </w:r>
      <w:r w:rsidR="006A7760">
        <w:rPr>
          <w:b/>
          <w:bCs/>
          <w:i/>
          <w:iCs/>
        </w:rPr>
        <w:t>-</w:t>
      </w:r>
      <w:r w:rsidRPr="00E70075">
        <w:rPr>
          <w:b/>
          <w:bCs/>
          <w:i/>
          <w:iCs/>
        </w:rPr>
        <w:t>paired ID using legacy configuration procedures can be studied.</w:t>
      </w:r>
    </w:p>
    <w:p w14:paraId="0F8D024F" w14:textId="517AA9A4" w:rsidR="00E70075" w:rsidRPr="00E70075" w:rsidRDefault="00E70075" w:rsidP="00E70075"/>
    <w:p w14:paraId="67EC1DC4" w14:textId="760511DB" w:rsidR="00A613C2" w:rsidRDefault="00A613C2" w:rsidP="00A613C2">
      <w:pPr>
        <w:pStyle w:val="Heading1"/>
      </w:pPr>
      <w:r w:rsidRPr="007F4D46">
        <w:t>Conclusions</w:t>
      </w:r>
    </w:p>
    <w:p w14:paraId="1BF410F6" w14:textId="6980F71C" w:rsidR="006549BE" w:rsidRDefault="006549BE" w:rsidP="006549BE">
      <w:r w:rsidRPr="006549BE">
        <w:t xml:space="preserve">In this contribution, we presented our perspective on inter-vendor collaboration under Direction A, specifically discussing </w:t>
      </w:r>
      <w:r w:rsidR="004B6C24">
        <w:t>p</w:t>
      </w:r>
      <w:r w:rsidR="004B6C24" w:rsidRPr="004B6C24">
        <w:t>erformance target sharing</w:t>
      </w:r>
      <w:r w:rsidR="004B6C24">
        <w:t xml:space="preserve"> and </w:t>
      </w:r>
      <w:r w:rsidR="004B6C24" w:rsidRPr="004B6C24">
        <w:t>ID-based model pairing for Options 3a-1 and 4-1</w:t>
      </w:r>
      <w:r w:rsidRPr="006549BE">
        <w:t xml:space="preserve">. </w:t>
      </w:r>
    </w:p>
    <w:p w14:paraId="754A99AC" w14:textId="7436B4A4" w:rsidR="006549BE" w:rsidRDefault="006549BE" w:rsidP="006549BE">
      <w:r>
        <w:t>Our observations and proposals can be summarized as follows:</w:t>
      </w:r>
    </w:p>
    <w:p w14:paraId="7A6644D0" w14:textId="2859A368" w:rsidR="00AB44F7" w:rsidRPr="004E36A0" w:rsidRDefault="00AB44F7" w:rsidP="00AB44F7">
      <w:pPr>
        <w:ind w:firstLine="576"/>
        <w:rPr>
          <w:b/>
          <w:bCs/>
          <w:i/>
          <w:iCs/>
        </w:rPr>
      </w:pPr>
      <w:r w:rsidRPr="004E36A0">
        <w:rPr>
          <w:b/>
          <w:bCs/>
          <w:i/>
          <w:iCs/>
          <w:u w:val="single"/>
        </w:rPr>
        <w:t>Observation 1</w:t>
      </w:r>
      <w:r w:rsidRPr="004E36A0">
        <w:rPr>
          <w:b/>
          <w:bCs/>
          <w:i/>
          <w:iCs/>
        </w:rPr>
        <w:t xml:space="preserve">: A performance target computed from the same data that trains the nominal encoder, and the actual decoder naturally </w:t>
      </w:r>
      <w:r w:rsidR="00882ACF">
        <w:rPr>
          <w:b/>
          <w:bCs/>
          <w:i/>
          <w:iCs/>
        </w:rPr>
        <w:t>reflects</w:t>
      </w:r>
      <w:r w:rsidRPr="004E36A0">
        <w:rPr>
          <w:b/>
          <w:bCs/>
          <w:i/>
          <w:iCs/>
        </w:rPr>
        <w:t xml:space="preserve"> both the prevailing channel statistics and the decoder’s implementation losses. By calibrating against this “</w:t>
      </w:r>
      <w:r>
        <w:rPr>
          <w:b/>
          <w:bCs/>
          <w:i/>
          <w:iCs/>
        </w:rPr>
        <w:t>current</w:t>
      </w:r>
      <w:r w:rsidRPr="004E36A0">
        <w:rPr>
          <w:b/>
          <w:bCs/>
          <w:i/>
          <w:iCs/>
        </w:rPr>
        <w:t xml:space="preserve">” </w:t>
      </w:r>
      <w:r>
        <w:rPr>
          <w:b/>
          <w:bCs/>
          <w:i/>
          <w:iCs/>
        </w:rPr>
        <w:t xml:space="preserve">target </w:t>
      </w:r>
      <w:r w:rsidRPr="004E36A0">
        <w:rPr>
          <w:b/>
          <w:bCs/>
          <w:i/>
          <w:iCs/>
        </w:rPr>
        <w:t>figure, the UE optimises for the exact conditions it will encounter</w:t>
      </w:r>
      <w:r>
        <w:rPr>
          <w:b/>
          <w:bCs/>
          <w:i/>
          <w:iCs/>
        </w:rPr>
        <w:t xml:space="preserve"> during transmission of CSI codewords</w:t>
      </w:r>
      <w:r w:rsidRPr="004E36A0">
        <w:rPr>
          <w:b/>
          <w:bCs/>
          <w:i/>
          <w:iCs/>
        </w:rPr>
        <w:t>, while the NW can apply the value as a reliable threshold for current CSI reports.</w:t>
      </w:r>
    </w:p>
    <w:p w14:paraId="406ADB0B" w14:textId="45986F4B" w:rsidR="00AB44F7" w:rsidRDefault="00AB44F7" w:rsidP="00AB44F7">
      <w:pPr>
        <w:ind w:firstLine="576"/>
        <w:rPr>
          <w:b/>
          <w:bCs/>
          <w:i/>
          <w:iCs/>
        </w:rPr>
      </w:pPr>
      <w:r w:rsidRPr="004E36A0">
        <w:rPr>
          <w:b/>
          <w:bCs/>
          <w:i/>
          <w:iCs/>
          <w:u w:val="single"/>
        </w:rPr>
        <w:t>Observation 2</w:t>
      </w:r>
      <w:r w:rsidRPr="004E36A0">
        <w:rPr>
          <w:b/>
          <w:bCs/>
          <w:i/>
          <w:iCs/>
        </w:rPr>
        <w:t xml:space="preserve">: The interval with which the NW recomputes and transmits the target should depend on mobility: slower updates may be enough in low-mobility scenarios where fading is slow, whereas high-mobility scenarios may require recalculation faster to remain representative. Selecting the target is a trade-off: shorter intervals improve the accuracy of pass/fail decisions but increase signalling and decoder training computation, whereas longer intervals conserve resources at the cost of responsiveness. Choosing the </w:t>
      </w:r>
      <w:r w:rsidR="00460F53">
        <w:rPr>
          <w:b/>
          <w:bCs/>
          <w:i/>
          <w:iCs/>
        </w:rPr>
        <w:t xml:space="preserve">performance </w:t>
      </w:r>
      <w:r w:rsidRPr="004E36A0">
        <w:rPr>
          <w:b/>
          <w:bCs/>
          <w:i/>
          <w:iCs/>
        </w:rPr>
        <w:t>target transmission interval, trades signalling and computing cost against the accuracy of switching decisions between AI-based and legacy feedback.</w:t>
      </w:r>
    </w:p>
    <w:p w14:paraId="5E3D2CB7" w14:textId="77777777" w:rsidR="00985DE9" w:rsidRDefault="00985DE9" w:rsidP="00985DE9">
      <w:pPr>
        <w:ind w:firstLine="576"/>
        <w:rPr>
          <w:b/>
          <w:bCs/>
          <w:i/>
          <w:iCs/>
        </w:rPr>
      </w:pPr>
      <w:r w:rsidRPr="005C6E83">
        <w:rPr>
          <w:b/>
          <w:bCs/>
          <w:i/>
          <w:iCs/>
          <w:u w:val="single"/>
        </w:rPr>
        <w:t>Observation 3</w:t>
      </w:r>
      <w:r w:rsidRPr="002518B8">
        <w:rPr>
          <w:b/>
          <w:bCs/>
          <w:i/>
          <w:iCs/>
        </w:rPr>
        <w:t>: SGCS maps directly to beamforming gain and may reach its target earlier, during training the model, than NMSE. Using SGCS as the shared performance benchmark can therefore cut UE training time and comput</w:t>
      </w:r>
      <w:r>
        <w:rPr>
          <w:b/>
          <w:bCs/>
          <w:i/>
          <w:iCs/>
        </w:rPr>
        <w:t>ation</w:t>
      </w:r>
      <w:r w:rsidRPr="002518B8">
        <w:rPr>
          <w:b/>
          <w:bCs/>
          <w:i/>
          <w:iCs/>
        </w:rPr>
        <w:t xml:space="preserve"> load while still delivering near-optimal precoding. Any incremental benefit from prolonging training to improve NMSE remains to be quantified. </w:t>
      </w:r>
    </w:p>
    <w:p w14:paraId="4F67A5FD" w14:textId="6D59610A" w:rsidR="00985DE9" w:rsidRPr="00EC7662" w:rsidRDefault="00985DE9" w:rsidP="00985DE9">
      <w:pPr>
        <w:ind w:firstLine="576"/>
        <w:rPr>
          <w:b/>
          <w:bCs/>
          <w:i/>
          <w:iCs/>
        </w:rPr>
      </w:pPr>
      <w:r w:rsidRPr="00E70075">
        <w:rPr>
          <w:b/>
          <w:bCs/>
          <w:i/>
          <w:iCs/>
          <w:u w:val="single"/>
        </w:rPr>
        <w:t>Observation 4</w:t>
      </w:r>
      <w:r w:rsidRPr="00E70075">
        <w:rPr>
          <w:b/>
          <w:bCs/>
          <w:i/>
          <w:iCs/>
        </w:rPr>
        <w:t xml:space="preserve">: The model ID for pairing can be generated with established network-ID generation procedures and its </w:t>
      </w:r>
      <w:r w:rsidR="00367AA3">
        <w:rPr>
          <w:b/>
          <w:bCs/>
          <w:i/>
          <w:iCs/>
        </w:rPr>
        <w:t>assignment</w:t>
      </w:r>
      <w:r w:rsidRPr="00E70075">
        <w:rPr>
          <w:b/>
          <w:bCs/>
          <w:i/>
          <w:iCs/>
        </w:rPr>
        <w:t xml:space="preserve"> can follow existing network ID reporting configuration field, minimising additional specification impact.</w:t>
      </w:r>
    </w:p>
    <w:p w14:paraId="7001057B" w14:textId="77777777" w:rsidR="006549BE" w:rsidRPr="00DF175D" w:rsidRDefault="006549BE" w:rsidP="006549BE">
      <w:pPr>
        <w:rPr>
          <w:b/>
          <w:bCs/>
          <w:i/>
          <w:iCs/>
        </w:rPr>
      </w:pPr>
    </w:p>
    <w:p w14:paraId="4E330722" w14:textId="77777777" w:rsidR="00AB44F7" w:rsidRPr="00AD7109" w:rsidRDefault="00AB44F7" w:rsidP="00AB44F7">
      <w:pPr>
        <w:ind w:firstLine="576"/>
      </w:pPr>
      <w:r w:rsidRPr="005C6E83">
        <w:rPr>
          <w:b/>
          <w:bCs/>
          <w:i/>
          <w:iCs/>
          <w:u w:val="single"/>
        </w:rPr>
        <w:t>Proposal 1</w:t>
      </w:r>
      <w:r w:rsidRPr="005C6E83">
        <w:rPr>
          <w:b/>
          <w:bCs/>
          <w:i/>
          <w:iCs/>
        </w:rPr>
        <w:t>: R</w:t>
      </w:r>
      <w:r>
        <w:rPr>
          <w:b/>
          <w:bCs/>
          <w:i/>
          <w:iCs/>
        </w:rPr>
        <w:t>AN</w:t>
      </w:r>
      <w:r w:rsidRPr="005C6E83">
        <w:rPr>
          <w:b/>
          <w:bCs/>
          <w:i/>
          <w:iCs/>
        </w:rPr>
        <w:t>1 should further study the two parameters</w:t>
      </w:r>
      <w:r>
        <w:rPr>
          <w:b/>
          <w:bCs/>
          <w:i/>
          <w:iCs/>
        </w:rPr>
        <w:t>, SGCS and NMSE</w:t>
      </w:r>
      <w:r w:rsidRPr="005C6E83">
        <w:rPr>
          <w:b/>
          <w:bCs/>
          <w:i/>
          <w:iCs/>
        </w:rPr>
        <w:t xml:space="preserve">, interms of training </w:t>
      </w:r>
      <w:r>
        <w:rPr>
          <w:b/>
          <w:bCs/>
          <w:i/>
          <w:iCs/>
        </w:rPr>
        <w:t>convergence</w:t>
      </w:r>
      <w:r w:rsidRPr="005C6E83">
        <w:rPr>
          <w:b/>
          <w:bCs/>
          <w:i/>
          <w:iCs/>
        </w:rPr>
        <w:t xml:space="preserve"> speed and performance of precoder, before deciding upon which to choose as performance target metric</w:t>
      </w:r>
      <w:r>
        <w:t>.</w:t>
      </w:r>
    </w:p>
    <w:p w14:paraId="0730A216" w14:textId="77777777" w:rsidR="006549BE" w:rsidRDefault="006549BE" w:rsidP="006549BE">
      <w:pPr>
        <w:rPr>
          <w:b/>
          <w:bCs/>
          <w:i/>
          <w:iCs/>
        </w:rPr>
      </w:pPr>
    </w:p>
    <w:p w14:paraId="26448415" w14:textId="7637886A" w:rsidR="006549BE" w:rsidRPr="00E605E6" w:rsidRDefault="006E3551" w:rsidP="00E605E6">
      <w:pPr>
        <w:ind w:firstLine="720"/>
        <w:rPr>
          <w:b/>
          <w:bCs/>
          <w:i/>
          <w:iCs/>
        </w:rPr>
      </w:pPr>
      <w:r w:rsidRPr="00E70075">
        <w:rPr>
          <w:b/>
          <w:bCs/>
          <w:i/>
          <w:iCs/>
          <w:u w:val="single"/>
        </w:rPr>
        <w:lastRenderedPageBreak/>
        <w:t>Proposal</w:t>
      </w:r>
      <w:r>
        <w:rPr>
          <w:b/>
          <w:bCs/>
          <w:i/>
          <w:iCs/>
          <w:u w:val="single"/>
        </w:rPr>
        <w:t xml:space="preserve"> </w:t>
      </w:r>
      <w:r w:rsidRPr="00E70075">
        <w:rPr>
          <w:b/>
          <w:bCs/>
          <w:i/>
          <w:iCs/>
          <w:u w:val="single"/>
        </w:rPr>
        <w:t>2</w:t>
      </w:r>
      <w:r w:rsidRPr="00E70075">
        <w:rPr>
          <w:b/>
          <w:bCs/>
          <w:i/>
          <w:iCs/>
        </w:rPr>
        <w:t>: Further details of indicating this model</w:t>
      </w:r>
      <w:r>
        <w:rPr>
          <w:b/>
          <w:bCs/>
          <w:i/>
          <w:iCs/>
        </w:rPr>
        <w:t>/dataset-</w:t>
      </w:r>
      <w:r w:rsidRPr="00E70075">
        <w:rPr>
          <w:b/>
          <w:bCs/>
          <w:i/>
          <w:iCs/>
        </w:rPr>
        <w:t>paired ID using legacy configuration procedures can be studied.</w:t>
      </w:r>
    </w:p>
    <w:p w14:paraId="42B21607" w14:textId="77777777" w:rsidR="00A613C2" w:rsidRPr="00CF2EC6" w:rsidRDefault="00A613C2" w:rsidP="00A613C2">
      <w:pPr>
        <w:pStyle w:val="Heading1"/>
        <w:spacing w:before="360"/>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bookmarkEnd w:id="2"/>
    <w:bookmarkEnd w:id="4"/>
    <w:bookmarkEnd w:id="5"/>
    <w:bookmarkEnd w:id="6"/>
    <w:p w14:paraId="50D356C2" w14:textId="6C443505" w:rsidR="00990B8F" w:rsidRPr="003D623D" w:rsidRDefault="000E3DF7" w:rsidP="003D623D">
      <w:pPr>
        <w:pStyle w:val="References"/>
        <w:rPr>
          <w:rFonts w:eastAsia="Calibri"/>
        </w:rPr>
      </w:pPr>
      <w:r w:rsidRPr="000E3DF7">
        <w:rPr>
          <w:bCs/>
        </w:rPr>
        <w:t>R1-2503034</w:t>
      </w:r>
      <w:r w:rsidR="009F0AA6" w:rsidRPr="009F0AA6">
        <w:rPr>
          <w:bCs/>
        </w:rPr>
        <w:t xml:space="preserve">, </w:t>
      </w:r>
      <w:r w:rsidRPr="000E3DF7">
        <w:t>Final summary of Additional study on AI/ML for NR air interface: CSI compression</w:t>
      </w:r>
      <w:r>
        <w:t xml:space="preserve">, Qualcomm </w:t>
      </w:r>
      <w:r w:rsidRPr="009F0AA6">
        <w:rPr>
          <w:rFonts w:eastAsia="Calibri"/>
          <w:bCs/>
        </w:rPr>
        <w:t>(Moderator),</w:t>
      </w:r>
      <w:r>
        <w:rPr>
          <w:rFonts w:eastAsia="Calibri"/>
          <w:bCs/>
        </w:rPr>
        <w:t xml:space="preserve"> RAN1#120bis, </w:t>
      </w:r>
      <w:r w:rsidRPr="000E3DF7">
        <w:rPr>
          <w:rFonts w:eastAsia="Calibri"/>
          <w:bCs/>
        </w:rPr>
        <w:t>Wuhan, China, April 7th – 11th, 2025</w:t>
      </w:r>
    </w:p>
    <w:p w14:paraId="52CAEB0D" w14:textId="77777777" w:rsidR="002F15F8" w:rsidRPr="00E63E2F" w:rsidRDefault="002F15F8">
      <w:pPr>
        <w:rPr>
          <w:lang w:val="en-IN"/>
        </w:rPr>
      </w:pPr>
    </w:p>
    <w:sectPr w:rsidR="002F15F8" w:rsidRPr="00E63E2F" w:rsidSect="00242302">
      <w:headerReference w:type="even" r:id="rId7"/>
      <w:headerReference w:type="default" r:id="rId8"/>
      <w:headerReference w:type="first" r:id="rId9"/>
      <w:pgSz w:w="11909" w:h="16834" w:code="9"/>
      <w:pgMar w:top="1440" w:right="1152"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FCA80" w14:textId="77777777" w:rsidR="00B67F53" w:rsidRDefault="00B67F53" w:rsidP="006C28A0">
      <w:pPr>
        <w:spacing w:after="0"/>
      </w:pPr>
      <w:r>
        <w:separator/>
      </w:r>
    </w:p>
  </w:endnote>
  <w:endnote w:type="continuationSeparator" w:id="0">
    <w:p w14:paraId="31919CB1" w14:textId="77777777" w:rsidR="00B67F53" w:rsidRDefault="00B67F53" w:rsidP="006C2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7F5C" w14:textId="77777777" w:rsidR="00B67F53" w:rsidRDefault="00B67F53" w:rsidP="006C28A0">
      <w:pPr>
        <w:spacing w:after="0"/>
      </w:pPr>
      <w:r>
        <w:separator/>
      </w:r>
    </w:p>
  </w:footnote>
  <w:footnote w:type="continuationSeparator" w:id="0">
    <w:p w14:paraId="1E469225" w14:textId="77777777" w:rsidR="00B67F53" w:rsidRDefault="00B67F53" w:rsidP="006C2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B639" w14:textId="77777777" w:rsidR="006C28A0" w:rsidRDefault="006C28A0">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D6F0" w14:textId="77777777" w:rsidR="006C28A0" w:rsidRDefault="006C28A0">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AA99" w14:textId="77777777" w:rsidR="006C28A0" w:rsidRDefault="006C28A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B531D"/>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7E27F0"/>
    <w:multiLevelType w:val="hybridMultilevel"/>
    <w:tmpl w:val="A8E881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2D24AB"/>
    <w:multiLevelType w:val="hybridMultilevel"/>
    <w:tmpl w:val="DBC0E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E7522A"/>
    <w:multiLevelType w:val="hybridMultilevel"/>
    <w:tmpl w:val="CAFCC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AC2149"/>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12"/>
  </w:num>
  <w:num w:numId="2" w16cid:durableId="1353455386">
    <w:abstractNumId w:val="10"/>
  </w:num>
  <w:num w:numId="3" w16cid:durableId="2060589018">
    <w:abstractNumId w:val="16"/>
  </w:num>
  <w:num w:numId="4" w16cid:durableId="894049100">
    <w:abstractNumId w:val="6"/>
  </w:num>
  <w:num w:numId="5" w16cid:durableId="805004284">
    <w:abstractNumId w:val="1"/>
  </w:num>
  <w:num w:numId="6" w16cid:durableId="1034690577">
    <w:abstractNumId w:val="23"/>
  </w:num>
  <w:num w:numId="7" w16cid:durableId="1445076453">
    <w:abstractNumId w:val="3"/>
  </w:num>
  <w:num w:numId="8" w16cid:durableId="568074631">
    <w:abstractNumId w:val="30"/>
  </w:num>
  <w:num w:numId="9" w16cid:durableId="140778296">
    <w:abstractNumId w:val="28"/>
  </w:num>
  <w:num w:numId="10" w16cid:durableId="1630353925">
    <w:abstractNumId w:val="5"/>
  </w:num>
  <w:num w:numId="11" w16cid:durableId="1310863942">
    <w:abstractNumId w:val="8"/>
  </w:num>
  <w:num w:numId="12" w16cid:durableId="433868250">
    <w:abstractNumId w:val="25"/>
  </w:num>
  <w:num w:numId="13" w16cid:durableId="1471631025">
    <w:abstractNumId w:val="4"/>
  </w:num>
  <w:num w:numId="14" w16cid:durableId="2041122125">
    <w:abstractNumId w:val="15"/>
  </w:num>
  <w:num w:numId="15" w16cid:durableId="369575885">
    <w:abstractNumId w:val="18"/>
  </w:num>
  <w:num w:numId="16" w16cid:durableId="480000688">
    <w:abstractNumId w:val="14"/>
  </w:num>
  <w:num w:numId="17" w16cid:durableId="505092831">
    <w:abstractNumId w:val="2"/>
  </w:num>
  <w:num w:numId="18" w16cid:durableId="56514032">
    <w:abstractNumId w:val="19"/>
  </w:num>
  <w:num w:numId="19" w16cid:durableId="2064254349">
    <w:abstractNumId w:val="7"/>
  </w:num>
  <w:num w:numId="20" w16cid:durableId="2005621519">
    <w:abstractNumId w:val="20"/>
  </w:num>
  <w:num w:numId="21" w16cid:durableId="1520001440">
    <w:abstractNumId w:val="24"/>
  </w:num>
  <w:num w:numId="22" w16cid:durableId="1823155023">
    <w:abstractNumId w:val="13"/>
  </w:num>
  <w:num w:numId="23" w16cid:durableId="990256926">
    <w:abstractNumId w:val="29"/>
  </w:num>
  <w:num w:numId="24" w16cid:durableId="1803036413">
    <w:abstractNumId w:val="21"/>
  </w:num>
  <w:num w:numId="25" w16cid:durableId="664670221">
    <w:abstractNumId w:val="16"/>
  </w:num>
  <w:num w:numId="26" w16cid:durableId="1084063260">
    <w:abstractNumId w:val="9"/>
  </w:num>
  <w:num w:numId="27" w16cid:durableId="46612955">
    <w:abstractNumId w:val="17"/>
  </w:num>
  <w:num w:numId="28" w16cid:durableId="200677036">
    <w:abstractNumId w:val="22"/>
  </w:num>
  <w:num w:numId="29" w16cid:durableId="1508911019">
    <w:abstractNumId w:val="27"/>
  </w:num>
  <w:num w:numId="30" w16cid:durableId="1434276412">
    <w:abstractNumId w:val="0"/>
  </w:num>
  <w:num w:numId="31" w16cid:durableId="1570656705">
    <w:abstractNumId w:val="26"/>
  </w:num>
  <w:num w:numId="32" w16cid:durableId="140352330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1732A"/>
    <w:rsid w:val="00020BF8"/>
    <w:rsid w:val="00022020"/>
    <w:rsid w:val="00022C42"/>
    <w:rsid w:val="000234D6"/>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4949"/>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FD2"/>
    <w:rsid w:val="000A063F"/>
    <w:rsid w:val="000A15F3"/>
    <w:rsid w:val="000A30A9"/>
    <w:rsid w:val="000A33C8"/>
    <w:rsid w:val="000A4A2E"/>
    <w:rsid w:val="000A5F63"/>
    <w:rsid w:val="000B1305"/>
    <w:rsid w:val="000B1836"/>
    <w:rsid w:val="000B1CC1"/>
    <w:rsid w:val="000B25CF"/>
    <w:rsid w:val="000B4D85"/>
    <w:rsid w:val="000B4FED"/>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3DF7"/>
    <w:rsid w:val="000E4B6F"/>
    <w:rsid w:val="000E508D"/>
    <w:rsid w:val="000E5908"/>
    <w:rsid w:val="000E645C"/>
    <w:rsid w:val="000E66BD"/>
    <w:rsid w:val="000F09F2"/>
    <w:rsid w:val="000F292E"/>
    <w:rsid w:val="000F2995"/>
    <w:rsid w:val="000F34B1"/>
    <w:rsid w:val="000F4B28"/>
    <w:rsid w:val="000F5C7B"/>
    <w:rsid w:val="000F65D0"/>
    <w:rsid w:val="000F6919"/>
    <w:rsid w:val="001004B9"/>
    <w:rsid w:val="00101D89"/>
    <w:rsid w:val="00104DFF"/>
    <w:rsid w:val="001066EB"/>
    <w:rsid w:val="00107E3F"/>
    <w:rsid w:val="00107EA7"/>
    <w:rsid w:val="00110A57"/>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01CB"/>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099E"/>
    <w:rsid w:val="001B1770"/>
    <w:rsid w:val="001B2A30"/>
    <w:rsid w:val="001B2BF8"/>
    <w:rsid w:val="001B2CDB"/>
    <w:rsid w:val="001B2FA8"/>
    <w:rsid w:val="001B42AE"/>
    <w:rsid w:val="001B4440"/>
    <w:rsid w:val="001B47BE"/>
    <w:rsid w:val="001B5BCA"/>
    <w:rsid w:val="001C2C70"/>
    <w:rsid w:val="001C42BE"/>
    <w:rsid w:val="001C452D"/>
    <w:rsid w:val="001C5B1B"/>
    <w:rsid w:val="001C5DF7"/>
    <w:rsid w:val="001C7A93"/>
    <w:rsid w:val="001C7C23"/>
    <w:rsid w:val="001D02D5"/>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43BA"/>
    <w:rsid w:val="001F5C60"/>
    <w:rsid w:val="001F6E22"/>
    <w:rsid w:val="00200336"/>
    <w:rsid w:val="00200BBB"/>
    <w:rsid w:val="002021F8"/>
    <w:rsid w:val="00203415"/>
    <w:rsid w:val="00204A29"/>
    <w:rsid w:val="002118BD"/>
    <w:rsid w:val="002125EE"/>
    <w:rsid w:val="002126C8"/>
    <w:rsid w:val="002220A5"/>
    <w:rsid w:val="002222EE"/>
    <w:rsid w:val="0022316F"/>
    <w:rsid w:val="00226B9F"/>
    <w:rsid w:val="00227324"/>
    <w:rsid w:val="00227E3B"/>
    <w:rsid w:val="00227E64"/>
    <w:rsid w:val="00230EC0"/>
    <w:rsid w:val="002312A8"/>
    <w:rsid w:val="00233CB3"/>
    <w:rsid w:val="0023577B"/>
    <w:rsid w:val="002370D3"/>
    <w:rsid w:val="00240935"/>
    <w:rsid w:val="002415B0"/>
    <w:rsid w:val="00241E03"/>
    <w:rsid w:val="00241E8F"/>
    <w:rsid w:val="00242302"/>
    <w:rsid w:val="002440ED"/>
    <w:rsid w:val="002518B8"/>
    <w:rsid w:val="00252F2F"/>
    <w:rsid w:val="002538D8"/>
    <w:rsid w:val="00253E05"/>
    <w:rsid w:val="002545B4"/>
    <w:rsid w:val="0026147A"/>
    <w:rsid w:val="00262AF4"/>
    <w:rsid w:val="00263468"/>
    <w:rsid w:val="00263781"/>
    <w:rsid w:val="00264157"/>
    <w:rsid w:val="00264419"/>
    <w:rsid w:val="00265E54"/>
    <w:rsid w:val="002669B6"/>
    <w:rsid w:val="00266B6E"/>
    <w:rsid w:val="00271969"/>
    <w:rsid w:val="00271F10"/>
    <w:rsid w:val="00273AEB"/>
    <w:rsid w:val="00274848"/>
    <w:rsid w:val="00277177"/>
    <w:rsid w:val="002774FE"/>
    <w:rsid w:val="00280B94"/>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1189"/>
    <w:rsid w:val="002A2E62"/>
    <w:rsid w:val="002A3D3F"/>
    <w:rsid w:val="002A4BC3"/>
    <w:rsid w:val="002A6E5E"/>
    <w:rsid w:val="002A6FF2"/>
    <w:rsid w:val="002A7B60"/>
    <w:rsid w:val="002B591E"/>
    <w:rsid w:val="002C06EC"/>
    <w:rsid w:val="002C145B"/>
    <w:rsid w:val="002C1DB6"/>
    <w:rsid w:val="002C2C9E"/>
    <w:rsid w:val="002C2F80"/>
    <w:rsid w:val="002C373A"/>
    <w:rsid w:val="002C43E3"/>
    <w:rsid w:val="002C6096"/>
    <w:rsid w:val="002C6ECE"/>
    <w:rsid w:val="002D0405"/>
    <w:rsid w:val="002D46EB"/>
    <w:rsid w:val="002D4974"/>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6A25"/>
    <w:rsid w:val="00306D34"/>
    <w:rsid w:val="00306F65"/>
    <w:rsid w:val="00307BDD"/>
    <w:rsid w:val="00311D5B"/>
    <w:rsid w:val="00313DF2"/>
    <w:rsid w:val="00315B26"/>
    <w:rsid w:val="00317A9D"/>
    <w:rsid w:val="0032172C"/>
    <w:rsid w:val="00321F2F"/>
    <w:rsid w:val="00322B8E"/>
    <w:rsid w:val="003239E7"/>
    <w:rsid w:val="00324E26"/>
    <w:rsid w:val="00326F68"/>
    <w:rsid w:val="00327221"/>
    <w:rsid w:val="00330BEC"/>
    <w:rsid w:val="00335C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67AA3"/>
    <w:rsid w:val="003705A5"/>
    <w:rsid w:val="00370618"/>
    <w:rsid w:val="003721B9"/>
    <w:rsid w:val="00374642"/>
    <w:rsid w:val="00374C44"/>
    <w:rsid w:val="0037551C"/>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1A8B"/>
    <w:rsid w:val="003928A6"/>
    <w:rsid w:val="00392E87"/>
    <w:rsid w:val="00395B41"/>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23D"/>
    <w:rsid w:val="003D6913"/>
    <w:rsid w:val="003E6531"/>
    <w:rsid w:val="003E7977"/>
    <w:rsid w:val="003F1563"/>
    <w:rsid w:val="003F18C4"/>
    <w:rsid w:val="003F1BC4"/>
    <w:rsid w:val="003F371E"/>
    <w:rsid w:val="003F3D84"/>
    <w:rsid w:val="003F5976"/>
    <w:rsid w:val="003F6036"/>
    <w:rsid w:val="004007FA"/>
    <w:rsid w:val="004011A2"/>
    <w:rsid w:val="00401EB4"/>
    <w:rsid w:val="004026C1"/>
    <w:rsid w:val="004032AB"/>
    <w:rsid w:val="0040452B"/>
    <w:rsid w:val="004074C5"/>
    <w:rsid w:val="00410E7E"/>
    <w:rsid w:val="00411B12"/>
    <w:rsid w:val="00415759"/>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2B52"/>
    <w:rsid w:val="00446DA8"/>
    <w:rsid w:val="0044757B"/>
    <w:rsid w:val="00447F38"/>
    <w:rsid w:val="00451032"/>
    <w:rsid w:val="004524D7"/>
    <w:rsid w:val="004537E6"/>
    <w:rsid w:val="00454CE8"/>
    <w:rsid w:val="00455C82"/>
    <w:rsid w:val="00455F25"/>
    <w:rsid w:val="00457A74"/>
    <w:rsid w:val="00460F53"/>
    <w:rsid w:val="004663C1"/>
    <w:rsid w:val="00467794"/>
    <w:rsid w:val="00473D6D"/>
    <w:rsid w:val="0047420E"/>
    <w:rsid w:val="00474D55"/>
    <w:rsid w:val="0047513B"/>
    <w:rsid w:val="00477407"/>
    <w:rsid w:val="00481AF8"/>
    <w:rsid w:val="004841A4"/>
    <w:rsid w:val="004844BD"/>
    <w:rsid w:val="0048491A"/>
    <w:rsid w:val="00485483"/>
    <w:rsid w:val="0048691D"/>
    <w:rsid w:val="004920A7"/>
    <w:rsid w:val="00495725"/>
    <w:rsid w:val="0049584A"/>
    <w:rsid w:val="0049712B"/>
    <w:rsid w:val="004A37FE"/>
    <w:rsid w:val="004A5DCE"/>
    <w:rsid w:val="004A6DC5"/>
    <w:rsid w:val="004A748A"/>
    <w:rsid w:val="004B0B85"/>
    <w:rsid w:val="004B0D3C"/>
    <w:rsid w:val="004B11AA"/>
    <w:rsid w:val="004B12B2"/>
    <w:rsid w:val="004B6C24"/>
    <w:rsid w:val="004B7C39"/>
    <w:rsid w:val="004C13A2"/>
    <w:rsid w:val="004C13B3"/>
    <w:rsid w:val="004C2074"/>
    <w:rsid w:val="004C21E8"/>
    <w:rsid w:val="004C3FB4"/>
    <w:rsid w:val="004C44D2"/>
    <w:rsid w:val="004C6A27"/>
    <w:rsid w:val="004D0372"/>
    <w:rsid w:val="004D0460"/>
    <w:rsid w:val="004D14AA"/>
    <w:rsid w:val="004D5E89"/>
    <w:rsid w:val="004D789C"/>
    <w:rsid w:val="004D7DAF"/>
    <w:rsid w:val="004E16A4"/>
    <w:rsid w:val="004E36A0"/>
    <w:rsid w:val="004E462F"/>
    <w:rsid w:val="004E4FE1"/>
    <w:rsid w:val="004F02D0"/>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295F"/>
    <w:rsid w:val="00537219"/>
    <w:rsid w:val="00543F97"/>
    <w:rsid w:val="00544BCD"/>
    <w:rsid w:val="0054608D"/>
    <w:rsid w:val="0054632F"/>
    <w:rsid w:val="00550167"/>
    <w:rsid w:val="005511FF"/>
    <w:rsid w:val="00551A33"/>
    <w:rsid w:val="00552871"/>
    <w:rsid w:val="00554060"/>
    <w:rsid w:val="005574B2"/>
    <w:rsid w:val="00560449"/>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580"/>
    <w:rsid w:val="005A3E4A"/>
    <w:rsid w:val="005A4ED9"/>
    <w:rsid w:val="005A62B2"/>
    <w:rsid w:val="005A6763"/>
    <w:rsid w:val="005B287E"/>
    <w:rsid w:val="005B3D2E"/>
    <w:rsid w:val="005B422C"/>
    <w:rsid w:val="005B693E"/>
    <w:rsid w:val="005B796F"/>
    <w:rsid w:val="005C09A4"/>
    <w:rsid w:val="005C44AC"/>
    <w:rsid w:val="005C4B93"/>
    <w:rsid w:val="005C6E8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70E"/>
    <w:rsid w:val="005F5D26"/>
    <w:rsid w:val="005F5D94"/>
    <w:rsid w:val="005F5F9D"/>
    <w:rsid w:val="005F79E1"/>
    <w:rsid w:val="00600B6F"/>
    <w:rsid w:val="00601B56"/>
    <w:rsid w:val="006026C3"/>
    <w:rsid w:val="00602823"/>
    <w:rsid w:val="00603769"/>
    <w:rsid w:val="00607BBC"/>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548F4"/>
    <w:rsid w:val="006549BE"/>
    <w:rsid w:val="00661836"/>
    <w:rsid w:val="00661F7B"/>
    <w:rsid w:val="006623E8"/>
    <w:rsid w:val="00662D6F"/>
    <w:rsid w:val="0066635F"/>
    <w:rsid w:val="0067546B"/>
    <w:rsid w:val="00675ECE"/>
    <w:rsid w:val="00676E51"/>
    <w:rsid w:val="00683071"/>
    <w:rsid w:val="00684BA0"/>
    <w:rsid w:val="006851AF"/>
    <w:rsid w:val="00687459"/>
    <w:rsid w:val="0069031D"/>
    <w:rsid w:val="00692413"/>
    <w:rsid w:val="00693881"/>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A7760"/>
    <w:rsid w:val="006B02AC"/>
    <w:rsid w:val="006B1E4D"/>
    <w:rsid w:val="006B4BEF"/>
    <w:rsid w:val="006B6A47"/>
    <w:rsid w:val="006B71B1"/>
    <w:rsid w:val="006C28A0"/>
    <w:rsid w:val="006C38CF"/>
    <w:rsid w:val="006C4F51"/>
    <w:rsid w:val="006C5692"/>
    <w:rsid w:val="006C6315"/>
    <w:rsid w:val="006C6AB9"/>
    <w:rsid w:val="006C7763"/>
    <w:rsid w:val="006D4838"/>
    <w:rsid w:val="006D6F06"/>
    <w:rsid w:val="006E11A5"/>
    <w:rsid w:val="006E1956"/>
    <w:rsid w:val="006E3551"/>
    <w:rsid w:val="006E44EB"/>
    <w:rsid w:val="006E676C"/>
    <w:rsid w:val="006E751F"/>
    <w:rsid w:val="006F0082"/>
    <w:rsid w:val="006F0CDA"/>
    <w:rsid w:val="006F332D"/>
    <w:rsid w:val="006F4E01"/>
    <w:rsid w:val="006F51F7"/>
    <w:rsid w:val="006F5D29"/>
    <w:rsid w:val="006F5E4B"/>
    <w:rsid w:val="006F6FCD"/>
    <w:rsid w:val="006F7192"/>
    <w:rsid w:val="0070214C"/>
    <w:rsid w:val="00703BD6"/>
    <w:rsid w:val="00703CB9"/>
    <w:rsid w:val="0070611F"/>
    <w:rsid w:val="00707070"/>
    <w:rsid w:val="007101D9"/>
    <w:rsid w:val="00712057"/>
    <w:rsid w:val="007140D2"/>
    <w:rsid w:val="00714819"/>
    <w:rsid w:val="0071526B"/>
    <w:rsid w:val="00716893"/>
    <w:rsid w:val="00717A29"/>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9C8"/>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3CC7"/>
    <w:rsid w:val="00784F15"/>
    <w:rsid w:val="00786761"/>
    <w:rsid w:val="00790B4C"/>
    <w:rsid w:val="00791802"/>
    <w:rsid w:val="00792961"/>
    <w:rsid w:val="00792DD9"/>
    <w:rsid w:val="007960ED"/>
    <w:rsid w:val="007A33A8"/>
    <w:rsid w:val="007A5BC2"/>
    <w:rsid w:val="007A69A0"/>
    <w:rsid w:val="007A6F25"/>
    <w:rsid w:val="007B0C76"/>
    <w:rsid w:val="007B1BDF"/>
    <w:rsid w:val="007B2F69"/>
    <w:rsid w:val="007B55E0"/>
    <w:rsid w:val="007B6CBD"/>
    <w:rsid w:val="007B70C5"/>
    <w:rsid w:val="007C122B"/>
    <w:rsid w:val="007C2094"/>
    <w:rsid w:val="007C24A6"/>
    <w:rsid w:val="007C24FE"/>
    <w:rsid w:val="007C341A"/>
    <w:rsid w:val="007C3877"/>
    <w:rsid w:val="007C38E7"/>
    <w:rsid w:val="007C4F03"/>
    <w:rsid w:val="007C6B92"/>
    <w:rsid w:val="007C70F6"/>
    <w:rsid w:val="007C72B1"/>
    <w:rsid w:val="007D0EDA"/>
    <w:rsid w:val="007D3EF6"/>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5BE"/>
    <w:rsid w:val="007F6F05"/>
    <w:rsid w:val="007F6F08"/>
    <w:rsid w:val="00801307"/>
    <w:rsid w:val="00801EC5"/>
    <w:rsid w:val="0080265E"/>
    <w:rsid w:val="00803758"/>
    <w:rsid w:val="00804887"/>
    <w:rsid w:val="00805031"/>
    <w:rsid w:val="00806AC0"/>
    <w:rsid w:val="008075D2"/>
    <w:rsid w:val="008100F2"/>
    <w:rsid w:val="0081247F"/>
    <w:rsid w:val="00812E23"/>
    <w:rsid w:val="00813727"/>
    <w:rsid w:val="00813E10"/>
    <w:rsid w:val="00814830"/>
    <w:rsid w:val="00815047"/>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13A5"/>
    <w:rsid w:val="00863AA4"/>
    <w:rsid w:val="00863CB0"/>
    <w:rsid w:val="00864CEE"/>
    <w:rsid w:val="008661A7"/>
    <w:rsid w:val="00871F0D"/>
    <w:rsid w:val="00871F2C"/>
    <w:rsid w:val="0087250A"/>
    <w:rsid w:val="00873E3B"/>
    <w:rsid w:val="008741EC"/>
    <w:rsid w:val="00875F39"/>
    <w:rsid w:val="0087696D"/>
    <w:rsid w:val="008808EE"/>
    <w:rsid w:val="00881290"/>
    <w:rsid w:val="0088234E"/>
    <w:rsid w:val="00882ACF"/>
    <w:rsid w:val="00882C81"/>
    <w:rsid w:val="00882C94"/>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537"/>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13DD"/>
    <w:rsid w:val="00912DD0"/>
    <w:rsid w:val="009134DB"/>
    <w:rsid w:val="0091387D"/>
    <w:rsid w:val="009145CC"/>
    <w:rsid w:val="0091575A"/>
    <w:rsid w:val="00923F9A"/>
    <w:rsid w:val="0092476E"/>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464D9"/>
    <w:rsid w:val="009502DA"/>
    <w:rsid w:val="009539EC"/>
    <w:rsid w:val="00954BA3"/>
    <w:rsid w:val="00954DB0"/>
    <w:rsid w:val="00962147"/>
    <w:rsid w:val="00962CA2"/>
    <w:rsid w:val="00963204"/>
    <w:rsid w:val="00964758"/>
    <w:rsid w:val="009649D6"/>
    <w:rsid w:val="00966B02"/>
    <w:rsid w:val="00967D7E"/>
    <w:rsid w:val="00970C2B"/>
    <w:rsid w:val="00975FE3"/>
    <w:rsid w:val="009771DA"/>
    <w:rsid w:val="00981364"/>
    <w:rsid w:val="00981640"/>
    <w:rsid w:val="00981B7B"/>
    <w:rsid w:val="0098358F"/>
    <w:rsid w:val="009845A7"/>
    <w:rsid w:val="00985DE9"/>
    <w:rsid w:val="0098645F"/>
    <w:rsid w:val="00986F66"/>
    <w:rsid w:val="00987117"/>
    <w:rsid w:val="00990B8F"/>
    <w:rsid w:val="00991715"/>
    <w:rsid w:val="00991DF7"/>
    <w:rsid w:val="009921D1"/>
    <w:rsid w:val="00993B12"/>
    <w:rsid w:val="00994645"/>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B1C"/>
    <w:rsid w:val="009D6679"/>
    <w:rsid w:val="009E0471"/>
    <w:rsid w:val="009E0DA3"/>
    <w:rsid w:val="009E2AC4"/>
    <w:rsid w:val="009E4E26"/>
    <w:rsid w:val="009E59B0"/>
    <w:rsid w:val="009E5D57"/>
    <w:rsid w:val="009E6223"/>
    <w:rsid w:val="009F0AA6"/>
    <w:rsid w:val="009F4589"/>
    <w:rsid w:val="009F45F8"/>
    <w:rsid w:val="009F47B6"/>
    <w:rsid w:val="009F5023"/>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6FC3"/>
    <w:rsid w:val="00A272F9"/>
    <w:rsid w:val="00A276F3"/>
    <w:rsid w:val="00A30088"/>
    <w:rsid w:val="00A30E8B"/>
    <w:rsid w:val="00A31881"/>
    <w:rsid w:val="00A3354F"/>
    <w:rsid w:val="00A3359E"/>
    <w:rsid w:val="00A33E90"/>
    <w:rsid w:val="00A3481D"/>
    <w:rsid w:val="00A35DBA"/>
    <w:rsid w:val="00A3738A"/>
    <w:rsid w:val="00A37EAD"/>
    <w:rsid w:val="00A40121"/>
    <w:rsid w:val="00A4232F"/>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F8A"/>
    <w:rsid w:val="00A91BBB"/>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B44F7"/>
    <w:rsid w:val="00AC1354"/>
    <w:rsid w:val="00AC1590"/>
    <w:rsid w:val="00AC1E6B"/>
    <w:rsid w:val="00AC3279"/>
    <w:rsid w:val="00AC3442"/>
    <w:rsid w:val="00AC378B"/>
    <w:rsid w:val="00AC3AD9"/>
    <w:rsid w:val="00AC5143"/>
    <w:rsid w:val="00AC5802"/>
    <w:rsid w:val="00AC7484"/>
    <w:rsid w:val="00AC7BA3"/>
    <w:rsid w:val="00AC7EBD"/>
    <w:rsid w:val="00AD7108"/>
    <w:rsid w:val="00AD7109"/>
    <w:rsid w:val="00AE0E19"/>
    <w:rsid w:val="00AE23BC"/>
    <w:rsid w:val="00AE2580"/>
    <w:rsid w:val="00AE4698"/>
    <w:rsid w:val="00AF1E8A"/>
    <w:rsid w:val="00AF372A"/>
    <w:rsid w:val="00AF68C6"/>
    <w:rsid w:val="00AF6E1C"/>
    <w:rsid w:val="00B0010D"/>
    <w:rsid w:val="00B01AA8"/>
    <w:rsid w:val="00B02705"/>
    <w:rsid w:val="00B03F67"/>
    <w:rsid w:val="00B0448D"/>
    <w:rsid w:val="00B052D3"/>
    <w:rsid w:val="00B05CBE"/>
    <w:rsid w:val="00B063B0"/>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67F53"/>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967E9"/>
    <w:rsid w:val="00BA036E"/>
    <w:rsid w:val="00BA06F2"/>
    <w:rsid w:val="00BA46E4"/>
    <w:rsid w:val="00BA7D2A"/>
    <w:rsid w:val="00BB0E67"/>
    <w:rsid w:val="00BB18F1"/>
    <w:rsid w:val="00BB2185"/>
    <w:rsid w:val="00BB5C91"/>
    <w:rsid w:val="00BB68A1"/>
    <w:rsid w:val="00BB7D56"/>
    <w:rsid w:val="00BC0863"/>
    <w:rsid w:val="00BC3E8A"/>
    <w:rsid w:val="00BC4509"/>
    <w:rsid w:val="00BC4E5A"/>
    <w:rsid w:val="00BC60FE"/>
    <w:rsid w:val="00BC78B0"/>
    <w:rsid w:val="00BC7A3C"/>
    <w:rsid w:val="00BC7BBB"/>
    <w:rsid w:val="00BD0AE3"/>
    <w:rsid w:val="00BD1A91"/>
    <w:rsid w:val="00BD3204"/>
    <w:rsid w:val="00BD409B"/>
    <w:rsid w:val="00BD45EA"/>
    <w:rsid w:val="00BD4DD9"/>
    <w:rsid w:val="00BD5132"/>
    <w:rsid w:val="00BD6B45"/>
    <w:rsid w:val="00BD6D41"/>
    <w:rsid w:val="00BD6D5C"/>
    <w:rsid w:val="00BE0C0B"/>
    <w:rsid w:val="00BE1745"/>
    <w:rsid w:val="00BE20E7"/>
    <w:rsid w:val="00BE243A"/>
    <w:rsid w:val="00BE412D"/>
    <w:rsid w:val="00BE555C"/>
    <w:rsid w:val="00BE62FD"/>
    <w:rsid w:val="00BE64B0"/>
    <w:rsid w:val="00BE6B11"/>
    <w:rsid w:val="00BE74C0"/>
    <w:rsid w:val="00BE75AC"/>
    <w:rsid w:val="00BE75E1"/>
    <w:rsid w:val="00BE7E9D"/>
    <w:rsid w:val="00BF0357"/>
    <w:rsid w:val="00BF12C6"/>
    <w:rsid w:val="00BF1513"/>
    <w:rsid w:val="00BF4A39"/>
    <w:rsid w:val="00BF4B89"/>
    <w:rsid w:val="00BF6C87"/>
    <w:rsid w:val="00BF717D"/>
    <w:rsid w:val="00C0186C"/>
    <w:rsid w:val="00C01E9F"/>
    <w:rsid w:val="00C05649"/>
    <w:rsid w:val="00C07294"/>
    <w:rsid w:val="00C11F93"/>
    <w:rsid w:val="00C1298A"/>
    <w:rsid w:val="00C12A10"/>
    <w:rsid w:val="00C14B6E"/>
    <w:rsid w:val="00C16999"/>
    <w:rsid w:val="00C2124F"/>
    <w:rsid w:val="00C225C3"/>
    <w:rsid w:val="00C22C2D"/>
    <w:rsid w:val="00C234A3"/>
    <w:rsid w:val="00C24426"/>
    <w:rsid w:val="00C24D38"/>
    <w:rsid w:val="00C27706"/>
    <w:rsid w:val="00C308D6"/>
    <w:rsid w:val="00C30F3B"/>
    <w:rsid w:val="00C32028"/>
    <w:rsid w:val="00C355B6"/>
    <w:rsid w:val="00C3702D"/>
    <w:rsid w:val="00C378E6"/>
    <w:rsid w:val="00C41AED"/>
    <w:rsid w:val="00C43D6A"/>
    <w:rsid w:val="00C45C5E"/>
    <w:rsid w:val="00C46F33"/>
    <w:rsid w:val="00C47B3A"/>
    <w:rsid w:val="00C512F2"/>
    <w:rsid w:val="00C524E1"/>
    <w:rsid w:val="00C52511"/>
    <w:rsid w:val="00C53806"/>
    <w:rsid w:val="00C53A67"/>
    <w:rsid w:val="00C5668B"/>
    <w:rsid w:val="00C615C1"/>
    <w:rsid w:val="00C620B0"/>
    <w:rsid w:val="00C631AC"/>
    <w:rsid w:val="00C638B9"/>
    <w:rsid w:val="00C6432B"/>
    <w:rsid w:val="00C64499"/>
    <w:rsid w:val="00C64A55"/>
    <w:rsid w:val="00C65BC0"/>
    <w:rsid w:val="00C65F70"/>
    <w:rsid w:val="00C67830"/>
    <w:rsid w:val="00C6786F"/>
    <w:rsid w:val="00C67ADD"/>
    <w:rsid w:val="00C71A7D"/>
    <w:rsid w:val="00C72339"/>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97B5F"/>
    <w:rsid w:val="00CA120D"/>
    <w:rsid w:val="00CA23CF"/>
    <w:rsid w:val="00CA4245"/>
    <w:rsid w:val="00CA44B8"/>
    <w:rsid w:val="00CA4FA5"/>
    <w:rsid w:val="00CA64DC"/>
    <w:rsid w:val="00CA64F7"/>
    <w:rsid w:val="00CB02FD"/>
    <w:rsid w:val="00CB0EB5"/>
    <w:rsid w:val="00CB2F96"/>
    <w:rsid w:val="00CB3872"/>
    <w:rsid w:val="00CB3DA0"/>
    <w:rsid w:val="00CB3E76"/>
    <w:rsid w:val="00CB47D9"/>
    <w:rsid w:val="00CB55CA"/>
    <w:rsid w:val="00CB5677"/>
    <w:rsid w:val="00CB5C3B"/>
    <w:rsid w:val="00CB6950"/>
    <w:rsid w:val="00CB6D28"/>
    <w:rsid w:val="00CC0453"/>
    <w:rsid w:val="00CC51BA"/>
    <w:rsid w:val="00CC57BB"/>
    <w:rsid w:val="00CC6A10"/>
    <w:rsid w:val="00CC6B07"/>
    <w:rsid w:val="00CC7ABC"/>
    <w:rsid w:val="00CC7D9A"/>
    <w:rsid w:val="00CD0420"/>
    <w:rsid w:val="00CD1865"/>
    <w:rsid w:val="00CD24CB"/>
    <w:rsid w:val="00CD518E"/>
    <w:rsid w:val="00CD5757"/>
    <w:rsid w:val="00CD6C54"/>
    <w:rsid w:val="00CE0763"/>
    <w:rsid w:val="00CE0C97"/>
    <w:rsid w:val="00CE238C"/>
    <w:rsid w:val="00CE2BC5"/>
    <w:rsid w:val="00CE366A"/>
    <w:rsid w:val="00CE3F76"/>
    <w:rsid w:val="00CE5886"/>
    <w:rsid w:val="00CE7635"/>
    <w:rsid w:val="00CE781F"/>
    <w:rsid w:val="00CF007A"/>
    <w:rsid w:val="00CF0830"/>
    <w:rsid w:val="00CF1653"/>
    <w:rsid w:val="00CF393D"/>
    <w:rsid w:val="00CF44DB"/>
    <w:rsid w:val="00CF4ECB"/>
    <w:rsid w:val="00CF5AF8"/>
    <w:rsid w:val="00CF5EE5"/>
    <w:rsid w:val="00CF7D4D"/>
    <w:rsid w:val="00D01546"/>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2C2C"/>
    <w:rsid w:val="00D55889"/>
    <w:rsid w:val="00D55B67"/>
    <w:rsid w:val="00D56F77"/>
    <w:rsid w:val="00D61485"/>
    <w:rsid w:val="00D62AA3"/>
    <w:rsid w:val="00D6434B"/>
    <w:rsid w:val="00D6476F"/>
    <w:rsid w:val="00D665AB"/>
    <w:rsid w:val="00D676DD"/>
    <w:rsid w:val="00D70029"/>
    <w:rsid w:val="00D73685"/>
    <w:rsid w:val="00D73FB5"/>
    <w:rsid w:val="00D74560"/>
    <w:rsid w:val="00D74A8F"/>
    <w:rsid w:val="00D7657E"/>
    <w:rsid w:val="00D76AAE"/>
    <w:rsid w:val="00D76D8F"/>
    <w:rsid w:val="00D80DFD"/>
    <w:rsid w:val="00D8152A"/>
    <w:rsid w:val="00D83330"/>
    <w:rsid w:val="00D83E07"/>
    <w:rsid w:val="00D864CB"/>
    <w:rsid w:val="00D86505"/>
    <w:rsid w:val="00D866C4"/>
    <w:rsid w:val="00D87E64"/>
    <w:rsid w:val="00D90F83"/>
    <w:rsid w:val="00D91814"/>
    <w:rsid w:val="00D91E52"/>
    <w:rsid w:val="00D94E2C"/>
    <w:rsid w:val="00D95138"/>
    <w:rsid w:val="00DA0608"/>
    <w:rsid w:val="00DA2094"/>
    <w:rsid w:val="00DA37D0"/>
    <w:rsid w:val="00DA3B9A"/>
    <w:rsid w:val="00DA6569"/>
    <w:rsid w:val="00DA686A"/>
    <w:rsid w:val="00DB0DE1"/>
    <w:rsid w:val="00DB141D"/>
    <w:rsid w:val="00DB15F2"/>
    <w:rsid w:val="00DB4110"/>
    <w:rsid w:val="00DB54A9"/>
    <w:rsid w:val="00DB6784"/>
    <w:rsid w:val="00DC3C06"/>
    <w:rsid w:val="00DC3F2C"/>
    <w:rsid w:val="00DC46B5"/>
    <w:rsid w:val="00DC546F"/>
    <w:rsid w:val="00DC65CE"/>
    <w:rsid w:val="00DC6E42"/>
    <w:rsid w:val="00DC79DA"/>
    <w:rsid w:val="00DC7D0C"/>
    <w:rsid w:val="00DD01CA"/>
    <w:rsid w:val="00DD031A"/>
    <w:rsid w:val="00DD0DC1"/>
    <w:rsid w:val="00DD0E20"/>
    <w:rsid w:val="00DD341A"/>
    <w:rsid w:val="00DD3A2A"/>
    <w:rsid w:val="00DD48CB"/>
    <w:rsid w:val="00DD5504"/>
    <w:rsid w:val="00DD5D22"/>
    <w:rsid w:val="00DD735D"/>
    <w:rsid w:val="00DE10D7"/>
    <w:rsid w:val="00DE1612"/>
    <w:rsid w:val="00DE3AC8"/>
    <w:rsid w:val="00DE4023"/>
    <w:rsid w:val="00DE4390"/>
    <w:rsid w:val="00DE477D"/>
    <w:rsid w:val="00DE5670"/>
    <w:rsid w:val="00DE5CF7"/>
    <w:rsid w:val="00DE60CB"/>
    <w:rsid w:val="00DE7FB9"/>
    <w:rsid w:val="00DF175D"/>
    <w:rsid w:val="00DF20BC"/>
    <w:rsid w:val="00DF281C"/>
    <w:rsid w:val="00DF5BC0"/>
    <w:rsid w:val="00DF66BD"/>
    <w:rsid w:val="00E01842"/>
    <w:rsid w:val="00E01DFF"/>
    <w:rsid w:val="00E021E9"/>
    <w:rsid w:val="00E04E05"/>
    <w:rsid w:val="00E054DD"/>
    <w:rsid w:val="00E05777"/>
    <w:rsid w:val="00E124FF"/>
    <w:rsid w:val="00E134A4"/>
    <w:rsid w:val="00E144C3"/>
    <w:rsid w:val="00E16A90"/>
    <w:rsid w:val="00E24324"/>
    <w:rsid w:val="00E246B3"/>
    <w:rsid w:val="00E25CD3"/>
    <w:rsid w:val="00E27E53"/>
    <w:rsid w:val="00E3035B"/>
    <w:rsid w:val="00E3113B"/>
    <w:rsid w:val="00E32155"/>
    <w:rsid w:val="00E32593"/>
    <w:rsid w:val="00E3287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5E6"/>
    <w:rsid w:val="00E60A38"/>
    <w:rsid w:val="00E61DC8"/>
    <w:rsid w:val="00E6346B"/>
    <w:rsid w:val="00E63E2F"/>
    <w:rsid w:val="00E70075"/>
    <w:rsid w:val="00E73A8E"/>
    <w:rsid w:val="00E759FD"/>
    <w:rsid w:val="00E75E07"/>
    <w:rsid w:val="00E83108"/>
    <w:rsid w:val="00E83DCC"/>
    <w:rsid w:val="00E84B8E"/>
    <w:rsid w:val="00E91080"/>
    <w:rsid w:val="00E91EA4"/>
    <w:rsid w:val="00E925DE"/>
    <w:rsid w:val="00E92B49"/>
    <w:rsid w:val="00E92D98"/>
    <w:rsid w:val="00E94FAD"/>
    <w:rsid w:val="00E97680"/>
    <w:rsid w:val="00E9794E"/>
    <w:rsid w:val="00EA1527"/>
    <w:rsid w:val="00EA2DEC"/>
    <w:rsid w:val="00EA35B8"/>
    <w:rsid w:val="00EA3B4E"/>
    <w:rsid w:val="00EA583C"/>
    <w:rsid w:val="00EA68C9"/>
    <w:rsid w:val="00EA767E"/>
    <w:rsid w:val="00EB0451"/>
    <w:rsid w:val="00EB181C"/>
    <w:rsid w:val="00EB2F8C"/>
    <w:rsid w:val="00EB4732"/>
    <w:rsid w:val="00EB521A"/>
    <w:rsid w:val="00EB70DA"/>
    <w:rsid w:val="00EB776A"/>
    <w:rsid w:val="00EC1989"/>
    <w:rsid w:val="00EC3A72"/>
    <w:rsid w:val="00EC4325"/>
    <w:rsid w:val="00EC5C83"/>
    <w:rsid w:val="00EC60E0"/>
    <w:rsid w:val="00EC62F1"/>
    <w:rsid w:val="00EC7560"/>
    <w:rsid w:val="00EC7662"/>
    <w:rsid w:val="00ED0A89"/>
    <w:rsid w:val="00ED642C"/>
    <w:rsid w:val="00ED74A2"/>
    <w:rsid w:val="00ED7888"/>
    <w:rsid w:val="00EE150A"/>
    <w:rsid w:val="00EE1FE3"/>
    <w:rsid w:val="00EE32CD"/>
    <w:rsid w:val="00EE3E3B"/>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0935"/>
    <w:rsid w:val="00F311C5"/>
    <w:rsid w:val="00F3169A"/>
    <w:rsid w:val="00F338A2"/>
    <w:rsid w:val="00F33AD8"/>
    <w:rsid w:val="00F346DC"/>
    <w:rsid w:val="00F34861"/>
    <w:rsid w:val="00F35C0D"/>
    <w:rsid w:val="00F362C5"/>
    <w:rsid w:val="00F36A0A"/>
    <w:rsid w:val="00F37866"/>
    <w:rsid w:val="00F37882"/>
    <w:rsid w:val="00F415EF"/>
    <w:rsid w:val="00F441C6"/>
    <w:rsid w:val="00F4567F"/>
    <w:rsid w:val="00F5013F"/>
    <w:rsid w:val="00F52D76"/>
    <w:rsid w:val="00F54CC7"/>
    <w:rsid w:val="00F57BEC"/>
    <w:rsid w:val="00F63D74"/>
    <w:rsid w:val="00F6453A"/>
    <w:rsid w:val="00F64C00"/>
    <w:rsid w:val="00F70C37"/>
    <w:rsid w:val="00F718C9"/>
    <w:rsid w:val="00F71B75"/>
    <w:rsid w:val="00F71DC1"/>
    <w:rsid w:val="00F749EF"/>
    <w:rsid w:val="00F758CB"/>
    <w:rsid w:val="00F80FD0"/>
    <w:rsid w:val="00F85BC5"/>
    <w:rsid w:val="00F903AE"/>
    <w:rsid w:val="00F90B7F"/>
    <w:rsid w:val="00F9419E"/>
    <w:rsid w:val="00F97636"/>
    <w:rsid w:val="00FA117E"/>
    <w:rsid w:val="00FA13C9"/>
    <w:rsid w:val="00FA16F7"/>
    <w:rsid w:val="00FA595B"/>
    <w:rsid w:val="00FA76A2"/>
    <w:rsid w:val="00FB163A"/>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E5C"/>
    <w:rsid w:val="00FF2F96"/>
    <w:rsid w:val="00FF3369"/>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551"/>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spacing w:before="120"/>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spacing w:before="120"/>
      <w:outlineLvl w:val="2"/>
    </w:pPr>
    <w:rPr>
      <w:rFonts w:ascii="Arial" w:hAnsi="Arial"/>
      <w:b/>
    </w:rPr>
  </w:style>
  <w:style w:type="paragraph" w:styleId="Heading4">
    <w:name w:val="heading 4"/>
    <w:aliases w:val="H4"/>
    <w:basedOn w:val="Normal"/>
    <w:next w:val="Normal"/>
    <w:link w:val="Heading4Char"/>
    <w:qFormat/>
    <w:rsid w:val="006B71B1"/>
    <w:pPr>
      <w:keepNext/>
      <w:spacing w:before="120"/>
      <w:outlineLvl w:val="3"/>
    </w:pPr>
    <w:rPr>
      <w:b/>
      <w:bCs/>
      <w:szCs w:val="28"/>
    </w:rPr>
  </w:style>
  <w:style w:type="paragraph" w:styleId="Heading5">
    <w:name w:val="heading 5"/>
    <w:aliases w:val="h5"/>
    <w:basedOn w:val="Normal"/>
    <w:next w:val="Normal"/>
    <w:link w:val="Heading5Char"/>
    <w:qFormat/>
    <w:rsid w:val="006B71B1"/>
    <w:pPr>
      <w:keepNext/>
      <w:spacing w:before="120"/>
      <w:outlineLvl w:val="4"/>
    </w:pPr>
    <w:rPr>
      <w:b/>
      <w:bCs/>
      <w:i/>
      <w:iCs/>
      <w:szCs w:val="26"/>
    </w:rPr>
  </w:style>
  <w:style w:type="paragraph" w:styleId="Heading6">
    <w:name w:val="heading 6"/>
    <w:aliases w:val="figure,h6"/>
    <w:basedOn w:val="Normal"/>
    <w:next w:val="Normal"/>
    <w:link w:val="Heading6Char"/>
    <w:qFormat/>
    <w:rsid w:val="006B71B1"/>
    <w:pPr>
      <w:spacing w:before="240" w:after="60"/>
      <w:outlineLvl w:val="5"/>
    </w:pPr>
    <w:rPr>
      <w:b/>
      <w:bCs/>
    </w:rPr>
  </w:style>
  <w:style w:type="paragraph" w:styleId="Heading7">
    <w:name w:val="heading 7"/>
    <w:aliases w:val="table,st,h7"/>
    <w:basedOn w:val="Normal"/>
    <w:next w:val="Normal"/>
    <w:link w:val="Heading7Char"/>
    <w:qFormat/>
    <w:rsid w:val="006B71B1"/>
    <w:pPr>
      <w:spacing w:before="240" w:after="60"/>
      <w:outlineLvl w:val="6"/>
    </w:pPr>
    <w:rPr>
      <w:sz w:val="24"/>
      <w:szCs w:val="24"/>
    </w:rPr>
  </w:style>
  <w:style w:type="paragraph" w:styleId="Heading8">
    <w:name w:val="heading 8"/>
    <w:aliases w:val="acronym"/>
    <w:basedOn w:val="Normal"/>
    <w:next w:val="Normal"/>
    <w:link w:val="Heading8Char"/>
    <w:qFormat/>
    <w:rsid w:val="006B71B1"/>
    <w:pPr>
      <w:spacing w:before="240" w:after="60"/>
      <w:outlineLvl w:val="7"/>
    </w:pPr>
    <w:rPr>
      <w:i/>
      <w:iCs/>
      <w:sz w:val="24"/>
      <w:szCs w:val="24"/>
    </w:rPr>
  </w:style>
  <w:style w:type="paragraph" w:styleId="Heading9">
    <w:name w:val="heading 9"/>
    <w:aliases w:val="appendix"/>
    <w:basedOn w:val="Normal"/>
    <w:next w:val="Normal"/>
    <w:link w:val="Heading9Char"/>
    <w:qFormat/>
    <w:rsid w:val="006B71B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 w:type="paragraph" w:styleId="Footer">
    <w:name w:val="footer"/>
    <w:basedOn w:val="Normal"/>
    <w:link w:val="FooterChar"/>
    <w:uiPriority w:val="99"/>
    <w:unhideWhenUsed/>
    <w:rsid w:val="006C28A0"/>
    <w:pPr>
      <w:tabs>
        <w:tab w:val="center" w:pos="4513"/>
        <w:tab w:val="right" w:pos="9026"/>
      </w:tabs>
      <w:spacing w:after="0"/>
    </w:pPr>
  </w:style>
  <w:style w:type="character" w:customStyle="1" w:styleId="FooterChar">
    <w:name w:val="Footer Char"/>
    <w:basedOn w:val="DefaultParagraphFont"/>
    <w:link w:val="Footer"/>
    <w:uiPriority w:val="99"/>
    <w:rsid w:val="006C28A0"/>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552">
      <w:bodyDiv w:val="1"/>
      <w:marLeft w:val="0"/>
      <w:marRight w:val="0"/>
      <w:marTop w:val="0"/>
      <w:marBottom w:val="0"/>
      <w:divBdr>
        <w:top w:val="none" w:sz="0" w:space="0" w:color="auto"/>
        <w:left w:val="none" w:sz="0" w:space="0" w:color="auto"/>
        <w:bottom w:val="none" w:sz="0" w:space="0" w:color="auto"/>
        <w:right w:val="none" w:sz="0" w:space="0" w:color="auto"/>
      </w:divBdr>
    </w:div>
    <w:div w:id="15615649">
      <w:bodyDiv w:val="1"/>
      <w:marLeft w:val="0"/>
      <w:marRight w:val="0"/>
      <w:marTop w:val="0"/>
      <w:marBottom w:val="0"/>
      <w:divBdr>
        <w:top w:val="none" w:sz="0" w:space="0" w:color="auto"/>
        <w:left w:val="none" w:sz="0" w:space="0" w:color="auto"/>
        <w:bottom w:val="none" w:sz="0" w:space="0" w:color="auto"/>
        <w:right w:val="none" w:sz="0" w:space="0" w:color="auto"/>
      </w:divBdr>
    </w:div>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141624276">
      <w:bodyDiv w:val="1"/>
      <w:marLeft w:val="0"/>
      <w:marRight w:val="0"/>
      <w:marTop w:val="0"/>
      <w:marBottom w:val="0"/>
      <w:divBdr>
        <w:top w:val="none" w:sz="0" w:space="0" w:color="auto"/>
        <w:left w:val="none" w:sz="0" w:space="0" w:color="auto"/>
        <w:bottom w:val="none" w:sz="0" w:space="0" w:color="auto"/>
        <w:right w:val="none" w:sz="0" w:space="0" w:color="auto"/>
      </w:divBdr>
    </w:div>
    <w:div w:id="155997329">
      <w:bodyDiv w:val="1"/>
      <w:marLeft w:val="0"/>
      <w:marRight w:val="0"/>
      <w:marTop w:val="0"/>
      <w:marBottom w:val="0"/>
      <w:divBdr>
        <w:top w:val="none" w:sz="0" w:space="0" w:color="auto"/>
        <w:left w:val="none" w:sz="0" w:space="0" w:color="auto"/>
        <w:bottom w:val="none" w:sz="0" w:space="0" w:color="auto"/>
        <w:right w:val="none" w:sz="0" w:space="0" w:color="auto"/>
      </w:divBdr>
    </w:div>
    <w:div w:id="166555692">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283541157">
      <w:bodyDiv w:val="1"/>
      <w:marLeft w:val="0"/>
      <w:marRight w:val="0"/>
      <w:marTop w:val="0"/>
      <w:marBottom w:val="0"/>
      <w:divBdr>
        <w:top w:val="none" w:sz="0" w:space="0" w:color="auto"/>
        <w:left w:val="none" w:sz="0" w:space="0" w:color="auto"/>
        <w:bottom w:val="none" w:sz="0" w:space="0" w:color="auto"/>
        <w:right w:val="none" w:sz="0" w:space="0" w:color="auto"/>
      </w:divBdr>
    </w:div>
    <w:div w:id="343478766">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54376834">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67473548">
      <w:bodyDiv w:val="1"/>
      <w:marLeft w:val="0"/>
      <w:marRight w:val="0"/>
      <w:marTop w:val="0"/>
      <w:marBottom w:val="0"/>
      <w:divBdr>
        <w:top w:val="none" w:sz="0" w:space="0" w:color="auto"/>
        <w:left w:val="none" w:sz="0" w:space="0" w:color="auto"/>
        <w:bottom w:val="none" w:sz="0" w:space="0" w:color="auto"/>
        <w:right w:val="none" w:sz="0" w:space="0" w:color="auto"/>
      </w:divBdr>
    </w:div>
    <w:div w:id="473530106">
      <w:bodyDiv w:val="1"/>
      <w:marLeft w:val="0"/>
      <w:marRight w:val="0"/>
      <w:marTop w:val="0"/>
      <w:marBottom w:val="0"/>
      <w:divBdr>
        <w:top w:val="none" w:sz="0" w:space="0" w:color="auto"/>
        <w:left w:val="none" w:sz="0" w:space="0" w:color="auto"/>
        <w:bottom w:val="none" w:sz="0" w:space="0" w:color="auto"/>
        <w:right w:val="none" w:sz="0" w:space="0" w:color="auto"/>
      </w:divBdr>
    </w:div>
    <w:div w:id="495655129">
      <w:bodyDiv w:val="1"/>
      <w:marLeft w:val="0"/>
      <w:marRight w:val="0"/>
      <w:marTop w:val="0"/>
      <w:marBottom w:val="0"/>
      <w:divBdr>
        <w:top w:val="none" w:sz="0" w:space="0" w:color="auto"/>
        <w:left w:val="none" w:sz="0" w:space="0" w:color="auto"/>
        <w:bottom w:val="none" w:sz="0" w:space="0" w:color="auto"/>
        <w:right w:val="none" w:sz="0" w:space="0" w:color="auto"/>
      </w:divBdr>
    </w:div>
    <w:div w:id="496768112">
      <w:bodyDiv w:val="1"/>
      <w:marLeft w:val="0"/>
      <w:marRight w:val="0"/>
      <w:marTop w:val="0"/>
      <w:marBottom w:val="0"/>
      <w:divBdr>
        <w:top w:val="none" w:sz="0" w:space="0" w:color="auto"/>
        <w:left w:val="none" w:sz="0" w:space="0" w:color="auto"/>
        <w:bottom w:val="none" w:sz="0" w:space="0" w:color="auto"/>
        <w:right w:val="none" w:sz="0" w:space="0" w:color="auto"/>
      </w:divBdr>
    </w:div>
    <w:div w:id="603461688">
      <w:bodyDiv w:val="1"/>
      <w:marLeft w:val="0"/>
      <w:marRight w:val="0"/>
      <w:marTop w:val="0"/>
      <w:marBottom w:val="0"/>
      <w:divBdr>
        <w:top w:val="none" w:sz="0" w:space="0" w:color="auto"/>
        <w:left w:val="none" w:sz="0" w:space="0" w:color="auto"/>
        <w:bottom w:val="none" w:sz="0" w:space="0" w:color="auto"/>
        <w:right w:val="none" w:sz="0" w:space="0" w:color="auto"/>
      </w:divBdr>
    </w:div>
    <w:div w:id="732234890">
      <w:bodyDiv w:val="1"/>
      <w:marLeft w:val="0"/>
      <w:marRight w:val="0"/>
      <w:marTop w:val="0"/>
      <w:marBottom w:val="0"/>
      <w:divBdr>
        <w:top w:val="none" w:sz="0" w:space="0" w:color="auto"/>
        <w:left w:val="none" w:sz="0" w:space="0" w:color="auto"/>
        <w:bottom w:val="none" w:sz="0" w:space="0" w:color="auto"/>
        <w:right w:val="none" w:sz="0" w:space="0" w:color="auto"/>
      </w:divBdr>
    </w:div>
    <w:div w:id="733158122">
      <w:bodyDiv w:val="1"/>
      <w:marLeft w:val="0"/>
      <w:marRight w:val="0"/>
      <w:marTop w:val="0"/>
      <w:marBottom w:val="0"/>
      <w:divBdr>
        <w:top w:val="none" w:sz="0" w:space="0" w:color="auto"/>
        <w:left w:val="none" w:sz="0" w:space="0" w:color="auto"/>
        <w:bottom w:val="none" w:sz="0" w:space="0" w:color="auto"/>
        <w:right w:val="none" w:sz="0" w:space="0" w:color="auto"/>
      </w:divBdr>
    </w:div>
    <w:div w:id="737292657">
      <w:bodyDiv w:val="1"/>
      <w:marLeft w:val="0"/>
      <w:marRight w:val="0"/>
      <w:marTop w:val="0"/>
      <w:marBottom w:val="0"/>
      <w:divBdr>
        <w:top w:val="none" w:sz="0" w:space="0" w:color="auto"/>
        <w:left w:val="none" w:sz="0" w:space="0" w:color="auto"/>
        <w:bottom w:val="none" w:sz="0" w:space="0" w:color="auto"/>
        <w:right w:val="none" w:sz="0" w:space="0" w:color="auto"/>
      </w:divBdr>
    </w:div>
    <w:div w:id="782963391">
      <w:bodyDiv w:val="1"/>
      <w:marLeft w:val="0"/>
      <w:marRight w:val="0"/>
      <w:marTop w:val="0"/>
      <w:marBottom w:val="0"/>
      <w:divBdr>
        <w:top w:val="none" w:sz="0" w:space="0" w:color="auto"/>
        <w:left w:val="none" w:sz="0" w:space="0" w:color="auto"/>
        <w:bottom w:val="none" w:sz="0" w:space="0" w:color="auto"/>
        <w:right w:val="none" w:sz="0" w:space="0" w:color="auto"/>
      </w:divBdr>
    </w:div>
    <w:div w:id="796293286">
      <w:bodyDiv w:val="1"/>
      <w:marLeft w:val="0"/>
      <w:marRight w:val="0"/>
      <w:marTop w:val="0"/>
      <w:marBottom w:val="0"/>
      <w:divBdr>
        <w:top w:val="none" w:sz="0" w:space="0" w:color="auto"/>
        <w:left w:val="none" w:sz="0" w:space="0" w:color="auto"/>
        <w:bottom w:val="none" w:sz="0" w:space="0" w:color="auto"/>
        <w:right w:val="none" w:sz="0" w:space="0" w:color="auto"/>
      </w:divBdr>
    </w:div>
    <w:div w:id="865800525">
      <w:bodyDiv w:val="1"/>
      <w:marLeft w:val="0"/>
      <w:marRight w:val="0"/>
      <w:marTop w:val="0"/>
      <w:marBottom w:val="0"/>
      <w:divBdr>
        <w:top w:val="none" w:sz="0" w:space="0" w:color="auto"/>
        <w:left w:val="none" w:sz="0" w:space="0" w:color="auto"/>
        <w:bottom w:val="none" w:sz="0" w:space="0" w:color="auto"/>
        <w:right w:val="none" w:sz="0" w:space="0" w:color="auto"/>
      </w:divBdr>
    </w:div>
    <w:div w:id="874200465">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68126438">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65181407">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35299774">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169642386">
      <w:bodyDiv w:val="1"/>
      <w:marLeft w:val="0"/>
      <w:marRight w:val="0"/>
      <w:marTop w:val="0"/>
      <w:marBottom w:val="0"/>
      <w:divBdr>
        <w:top w:val="none" w:sz="0" w:space="0" w:color="auto"/>
        <w:left w:val="none" w:sz="0" w:space="0" w:color="auto"/>
        <w:bottom w:val="none" w:sz="0" w:space="0" w:color="auto"/>
        <w:right w:val="none" w:sz="0" w:space="0" w:color="auto"/>
      </w:divBdr>
    </w:div>
    <w:div w:id="1203325061">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29849652">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9481238">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53327776">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466849186">
      <w:bodyDiv w:val="1"/>
      <w:marLeft w:val="0"/>
      <w:marRight w:val="0"/>
      <w:marTop w:val="0"/>
      <w:marBottom w:val="0"/>
      <w:divBdr>
        <w:top w:val="none" w:sz="0" w:space="0" w:color="auto"/>
        <w:left w:val="none" w:sz="0" w:space="0" w:color="auto"/>
        <w:bottom w:val="none" w:sz="0" w:space="0" w:color="auto"/>
        <w:right w:val="none" w:sz="0" w:space="0" w:color="auto"/>
      </w:divBdr>
    </w:div>
    <w:div w:id="1470855315">
      <w:bodyDiv w:val="1"/>
      <w:marLeft w:val="0"/>
      <w:marRight w:val="0"/>
      <w:marTop w:val="0"/>
      <w:marBottom w:val="0"/>
      <w:divBdr>
        <w:top w:val="none" w:sz="0" w:space="0" w:color="auto"/>
        <w:left w:val="none" w:sz="0" w:space="0" w:color="auto"/>
        <w:bottom w:val="none" w:sz="0" w:space="0" w:color="auto"/>
        <w:right w:val="none" w:sz="0" w:space="0" w:color="auto"/>
      </w:divBdr>
    </w:div>
    <w:div w:id="1492328763">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5572689">
      <w:bodyDiv w:val="1"/>
      <w:marLeft w:val="0"/>
      <w:marRight w:val="0"/>
      <w:marTop w:val="0"/>
      <w:marBottom w:val="0"/>
      <w:divBdr>
        <w:top w:val="none" w:sz="0" w:space="0" w:color="auto"/>
        <w:left w:val="none" w:sz="0" w:space="0" w:color="auto"/>
        <w:bottom w:val="none" w:sz="0" w:space="0" w:color="auto"/>
        <w:right w:val="none" w:sz="0" w:space="0" w:color="auto"/>
      </w:divBdr>
    </w:div>
    <w:div w:id="1656107053">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35347149">
      <w:bodyDiv w:val="1"/>
      <w:marLeft w:val="0"/>
      <w:marRight w:val="0"/>
      <w:marTop w:val="0"/>
      <w:marBottom w:val="0"/>
      <w:divBdr>
        <w:top w:val="none" w:sz="0" w:space="0" w:color="auto"/>
        <w:left w:val="none" w:sz="0" w:space="0" w:color="auto"/>
        <w:bottom w:val="none" w:sz="0" w:space="0" w:color="auto"/>
        <w:right w:val="none" w:sz="0" w:space="0" w:color="auto"/>
      </w:divBdr>
    </w:div>
    <w:div w:id="17365106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768228392">
      <w:bodyDiv w:val="1"/>
      <w:marLeft w:val="0"/>
      <w:marRight w:val="0"/>
      <w:marTop w:val="0"/>
      <w:marBottom w:val="0"/>
      <w:divBdr>
        <w:top w:val="none" w:sz="0" w:space="0" w:color="auto"/>
        <w:left w:val="none" w:sz="0" w:space="0" w:color="auto"/>
        <w:bottom w:val="none" w:sz="0" w:space="0" w:color="auto"/>
        <w:right w:val="none" w:sz="0" w:space="0" w:color="auto"/>
      </w:divBdr>
    </w:div>
    <w:div w:id="1769539353">
      <w:bodyDiv w:val="1"/>
      <w:marLeft w:val="0"/>
      <w:marRight w:val="0"/>
      <w:marTop w:val="0"/>
      <w:marBottom w:val="0"/>
      <w:divBdr>
        <w:top w:val="none" w:sz="0" w:space="0" w:color="auto"/>
        <w:left w:val="none" w:sz="0" w:space="0" w:color="auto"/>
        <w:bottom w:val="none" w:sz="0" w:space="0" w:color="auto"/>
        <w:right w:val="none" w:sz="0" w:space="0" w:color="auto"/>
      </w:divBdr>
    </w:div>
    <w:div w:id="1795366612">
      <w:bodyDiv w:val="1"/>
      <w:marLeft w:val="0"/>
      <w:marRight w:val="0"/>
      <w:marTop w:val="0"/>
      <w:marBottom w:val="0"/>
      <w:divBdr>
        <w:top w:val="none" w:sz="0" w:space="0" w:color="auto"/>
        <w:left w:val="none" w:sz="0" w:space="0" w:color="auto"/>
        <w:bottom w:val="none" w:sz="0" w:space="0" w:color="auto"/>
        <w:right w:val="none" w:sz="0" w:space="0" w:color="auto"/>
      </w:divBdr>
    </w:div>
    <w:div w:id="1797984078">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54843886">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5073</TotalTime>
  <Pages>4</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Chethan R</cp:lastModifiedBy>
  <cp:revision>1598</cp:revision>
  <dcterms:created xsi:type="dcterms:W3CDTF">2023-05-14T09:22:00Z</dcterms:created>
  <dcterms:modified xsi:type="dcterms:W3CDTF">2025-05-09T23:26:00Z</dcterms:modified>
</cp:coreProperties>
</file>