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5E611" w14:textId="5297375F" w:rsidR="0040541E" w:rsidRDefault="0040541E" w:rsidP="0040541E">
      <w:pPr>
        <w:pStyle w:val="Header"/>
        <w:tabs>
          <w:tab w:val="right" w:pos="9639"/>
        </w:tabs>
        <w:rPr>
          <w:noProof w:val="0"/>
          <w:sz w:val="24"/>
        </w:rPr>
      </w:pPr>
      <w:bookmarkStart w:id="0" w:name="_Hlk110382182"/>
      <w:bookmarkEnd w:id="0"/>
      <w:r>
        <w:rPr>
          <w:noProof w:val="0"/>
          <w:sz w:val="24"/>
        </w:rPr>
        <w:t>3GPP TSG-RAN WG1 Meeting #1</w:t>
      </w:r>
      <w:r w:rsidR="00321E0C">
        <w:rPr>
          <w:noProof w:val="0"/>
          <w:sz w:val="24"/>
        </w:rPr>
        <w:t>2</w:t>
      </w:r>
      <w:r w:rsidR="00462187">
        <w:rPr>
          <w:noProof w:val="0"/>
          <w:sz w:val="24"/>
        </w:rPr>
        <w:t>1</w:t>
      </w:r>
      <w:r>
        <w:rPr>
          <w:noProof w:val="0"/>
          <w:sz w:val="24"/>
        </w:rPr>
        <w:tab/>
      </w:r>
      <w:r w:rsidR="007C77EE" w:rsidRPr="007C77EE">
        <w:rPr>
          <w:noProof w:val="0"/>
          <w:sz w:val="24"/>
        </w:rPr>
        <w:t>R1-2503817</w:t>
      </w:r>
    </w:p>
    <w:p w14:paraId="209BF2A3" w14:textId="35F08D9E" w:rsidR="002E2FAF" w:rsidRDefault="00462187" w:rsidP="008576BA">
      <w:pPr>
        <w:pStyle w:val="Header"/>
        <w:tabs>
          <w:tab w:val="right" w:pos="10206"/>
        </w:tabs>
        <w:rPr>
          <w:noProof w:val="0"/>
          <w:sz w:val="24"/>
        </w:rPr>
      </w:pPr>
      <w:r>
        <w:rPr>
          <w:noProof w:val="0"/>
          <w:sz w:val="24"/>
        </w:rPr>
        <w:t>Malta, May 19 – May 23, 2025</w:t>
      </w:r>
    </w:p>
    <w:p w14:paraId="24B78FEA" w14:textId="77777777" w:rsidR="008576BA" w:rsidRPr="008576BA" w:rsidRDefault="008576BA" w:rsidP="008576BA">
      <w:pPr>
        <w:pStyle w:val="Header"/>
        <w:tabs>
          <w:tab w:val="right" w:pos="10206"/>
        </w:tabs>
        <w:rPr>
          <w:noProof w:val="0"/>
          <w:sz w:val="24"/>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8D8B5F9"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013882" w:rsidRPr="00013882">
        <w:rPr>
          <w:rFonts w:ascii="Arial" w:hAnsi="Arial"/>
          <w:bCs/>
          <w:sz w:val="24"/>
        </w:rPr>
        <w:t xml:space="preserve">Enhancement for asymmetric DL </w:t>
      </w:r>
      <w:proofErr w:type="spellStart"/>
      <w:r w:rsidR="00013882" w:rsidRPr="00013882">
        <w:rPr>
          <w:rFonts w:ascii="Arial" w:hAnsi="Arial"/>
          <w:bCs/>
          <w:sz w:val="24"/>
        </w:rPr>
        <w:t>sTRP</w:t>
      </w:r>
      <w:proofErr w:type="spellEnd"/>
      <w:r w:rsidR="00013882" w:rsidRPr="00013882">
        <w:rPr>
          <w:rFonts w:ascii="Arial" w:hAnsi="Arial"/>
          <w:bCs/>
          <w:sz w:val="24"/>
        </w:rPr>
        <w:t xml:space="preserve">/UL </w:t>
      </w:r>
      <w:proofErr w:type="spellStart"/>
      <w:r w:rsidR="00013882" w:rsidRPr="00013882">
        <w:rPr>
          <w:rFonts w:ascii="Arial" w:hAnsi="Arial"/>
          <w:bCs/>
          <w:sz w:val="24"/>
        </w:rPr>
        <w:t>mTRP</w:t>
      </w:r>
      <w:proofErr w:type="spellEnd"/>
      <w:r w:rsidR="00013882" w:rsidRPr="00013882">
        <w:rPr>
          <w:rFonts w:ascii="Arial" w:hAnsi="Arial"/>
          <w:bCs/>
          <w:sz w:val="24"/>
        </w:rPr>
        <w:t xml:space="preserve"> scenarios</w:t>
      </w:r>
      <w:r>
        <w:rPr>
          <w:rFonts w:ascii="Arial" w:hAnsi="Arial"/>
          <w:b/>
          <w:sz w:val="24"/>
        </w:rPr>
        <w:tab/>
      </w:r>
    </w:p>
    <w:p w14:paraId="4675ECCD" w14:textId="0501E613"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w:t>
      </w:r>
      <w:r w:rsidR="00A37D9F">
        <w:rPr>
          <w:rFonts w:ascii="Arial" w:hAnsi="Arial"/>
          <w:sz w:val="24"/>
        </w:rPr>
        <w:t>4</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71406704"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0AE9D851">
                <wp:simplePos x="0" y="0"/>
                <wp:positionH relativeFrom="column">
                  <wp:posOffset>-56515</wp:posOffset>
                </wp:positionH>
                <wp:positionV relativeFrom="paragraph">
                  <wp:posOffset>349250</wp:posOffset>
                </wp:positionV>
                <wp:extent cx="6321775" cy="1310640"/>
                <wp:effectExtent l="0" t="0" r="22225" b="22860"/>
                <wp:wrapNone/>
                <wp:docPr id="1" name="Rectangle 1"/>
                <wp:cNvGraphicFramePr/>
                <a:graphic xmlns:a="http://schemas.openxmlformats.org/drawingml/2006/main">
                  <a:graphicData uri="http://schemas.microsoft.com/office/word/2010/wordprocessingShape">
                    <wps:wsp>
                      <wps:cNvSpPr/>
                      <wps:spPr>
                        <a:xfrm>
                          <a:off x="0" y="0"/>
                          <a:ext cx="6321775" cy="13106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32C7AC" id="Rectangle 1" o:spid="_x0000_s1026" style="position:absolute;margin-left:-4.45pt;margin-top:27.5pt;width:497.8pt;height:10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w:t>
      </w:r>
      <w:r w:rsidR="000F3023">
        <w:t xml:space="preserve"> (revised in [2])</w:t>
      </w:r>
      <w:r w:rsidR="009B6094">
        <w:t xml:space="preserve">: </w:t>
      </w:r>
    </w:p>
    <w:p w14:paraId="3569C314" w14:textId="77777777" w:rsidR="002B214F" w:rsidRPr="000B264A" w:rsidRDefault="002B214F" w:rsidP="002B214F">
      <w:pPr>
        <w:snapToGrid w:val="0"/>
        <w:spacing w:after="0"/>
        <w:rPr>
          <w:rFonts w:eastAsia="Times New Roman"/>
        </w:rPr>
      </w:pPr>
      <w:r w:rsidRPr="000B264A">
        <w:rPr>
          <w:rFonts w:eastAsia="Times New Roman"/>
        </w:rPr>
        <w:t xml:space="preserve">Specify enhancement for asymmetric DL </w:t>
      </w:r>
      <w:proofErr w:type="spellStart"/>
      <w:r w:rsidRPr="000B264A">
        <w:rPr>
          <w:rFonts w:eastAsia="Times New Roman"/>
        </w:rPr>
        <w:t>sTRP</w:t>
      </w:r>
      <w:proofErr w:type="spellEnd"/>
      <w:r w:rsidRPr="000B264A">
        <w:rPr>
          <w:rFonts w:eastAsia="Times New Roman"/>
        </w:rPr>
        <w:t xml:space="preserve">/UL </w:t>
      </w:r>
      <w:proofErr w:type="spellStart"/>
      <w:r w:rsidRPr="000B264A">
        <w:rPr>
          <w:rFonts w:eastAsia="Times New Roman"/>
        </w:rPr>
        <w:t>mTRP</w:t>
      </w:r>
      <w:proofErr w:type="spellEnd"/>
      <w:r w:rsidRPr="000B264A">
        <w:rPr>
          <w:rFonts w:eastAsia="Times New Roman"/>
        </w:rPr>
        <w:t xml:space="preserve"> deployment scenarios, assuming intra-band intra-DU non-co-located </w:t>
      </w:r>
      <w:proofErr w:type="spellStart"/>
      <w:r w:rsidRPr="000B264A">
        <w:rPr>
          <w:rFonts w:eastAsia="Times New Roman"/>
        </w:rPr>
        <w:t>mTRP</w:t>
      </w:r>
      <w:proofErr w:type="spellEnd"/>
      <w:r w:rsidRPr="000B264A">
        <w:rPr>
          <w:rFonts w:eastAsia="Times New Roman"/>
        </w:rPr>
        <w:t xml:space="preserve"> scenarios, without changing existing cell definition or defining a new cell (e.g. UL-only cell), assuming the Rel-17/18 unified TCI framework and fully reusing the legacy QCL/UL spatial relation rules, targeting FR1 and FR2 </w:t>
      </w:r>
    </w:p>
    <w:p w14:paraId="356D9B93" w14:textId="77777777" w:rsidR="002B214F" w:rsidRDefault="002B214F" w:rsidP="00714E3A">
      <w:pPr>
        <w:numPr>
          <w:ilvl w:val="1"/>
          <w:numId w:val="8"/>
        </w:numPr>
        <w:tabs>
          <w:tab w:val="clear" w:pos="1440"/>
          <w:tab w:val="num" w:pos="432"/>
        </w:tabs>
        <w:snapToGrid w:val="0"/>
        <w:spacing w:after="0"/>
        <w:ind w:left="720"/>
        <w:rPr>
          <w:rFonts w:eastAsia="Times New Roman"/>
        </w:rPr>
      </w:pPr>
      <w:r w:rsidRPr="000B264A">
        <w:rPr>
          <w:rFonts w:eastAsia="Times New Roman"/>
        </w:rPr>
        <w:t xml:space="preserve">Two closed-loop PC adjustment states for SRS, both separate from PUSCH; and pathloss offset configurations for pathloss calculation to UL TRP(s), when the pathloss RS is from DL </w:t>
      </w:r>
      <w:proofErr w:type="spellStart"/>
      <w:r w:rsidRPr="000B264A">
        <w:rPr>
          <w:rFonts w:eastAsia="Times New Roman"/>
        </w:rPr>
        <w:t>sTRP</w:t>
      </w:r>
      <w:proofErr w:type="spellEnd"/>
      <w:r w:rsidRPr="000B264A">
        <w:rPr>
          <w:rFonts w:eastAsia="Times New Roman"/>
        </w:rPr>
        <w:t xml:space="preserve">. </w:t>
      </w:r>
    </w:p>
    <w:p w14:paraId="40D09C2A" w14:textId="61853E60" w:rsidR="000F3023" w:rsidRPr="000B264A" w:rsidRDefault="00BF5C2A" w:rsidP="00714E3A">
      <w:pPr>
        <w:numPr>
          <w:ilvl w:val="1"/>
          <w:numId w:val="8"/>
        </w:numPr>
        <w:tabs>
          <w:tab w:val="clear" w:pos="1440"/>
          <w:tab w:val="num" w:pos="432"/>
        </w:tabs>
        <w:snapToGrid w:val="0"/>
        <w:spacing w:after="0"/>
        <w:ind w:left="720"/>
        <w:rPr>
          <w:rFonts w:eastAsia="Times New Roman"/>
        </w:rPr>
      </w:pPr>
      <w:r w:rsidRPr="00BF5C2A">
        <w:rPr>
          <w:rFonts w:eastAsia="Times New Roman"/>
          <w:bCs/>
          <w:lang w:val="en-US"/>
        </w:rPr>
        <w:t xml:space="preserve">Two TAs through reusing Rel-18 specification of two TAs for multi-DCI-based multi-TRP and removing the restriction that </w:t>
      </w:r>
      <w:proofErr w:type="spellStart"/>
      <w:r w:rsidRPr="00BF5C2A">
        <w:rPr>
          <w:rFonts w:eastAsia="Times New Roman"/>
          <w:bCs/>
          <w:i/>
          <w:iCs/>
          <w:lang w:val="en-US"/>
        </w:rPr>
        <w:t>coresetPoolIndex</w:t>
      </w:r>
      <w:proofErr w:type="spellEnd"/>
      <w:r w:rsidRPr="00BF5C2A">
        <w:rPr>
          <w:rFonts w:eastAsia="Times New Roman"/>
          <w:bCs/>
          <w:lang w:val="en-US"/>
        </w:rPr>
        <w:t xml:space="preserve"> needs to be configured, assuming legacy PRACH resources</w:t>
      </w:r>
    </w:p>
    <w:p w14:paraId="11F837DC" w14:textId="2426E8D0" w:rsidR="00327730" w:rsidRDefault="00327730" w:rsidP="00327730">
      <w:pPr>
        <w:spacing w:after="0"/>
        <w:rPr>
          <w:bCs/>
        </w:rPr>
      </w:pPr>
    </w:p>
    <w:p w14:paraId="33F4AA83" w14:textId="321A23B4"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ED7A57">
        <w:rPr>
          <w:rFonts w:ascii="Times" w:eastAsia="Batang" w:hAnsi="Times" w:cs="Times"/>
          <w:szCs w:val="24"/>
          <w:lang w:eastAsia="zh-TW"/>
        </w:rPr>
        <w:t>the issues of pathloss offset</w:t>
      </w:r>
      <w:r w:rsidR="00ED7A57">
        <w:rPr>
          <w:rFonts w:ascii="Times" w:hAnsi="Times" w:cs="Times"/>
          <w:szCs w:val="24"/>
          <w:lang w:eastAsia="ja-JP"/>
        </w:rPr>
        <w:t xml:space="preserve"> </w:t>
      </w:r>
      <w:r w:rsidR="008A07C8">
        <w:rPr>
          <w:rFonts w:ascii="Times" w:hAnsi="Times" w:cs="Times" w:hint="eastAsia"/>
          <w:szCs w:val="24"/>
          <w:lang w:eastAsia="ja-JP"/>
        </w:rPr>
        <w:t>to UL TRP(s)</w:t>
      </w:r>
      <w:r w:rsidR="00ED7A57">
        <w:rPr>
          <w:rFonts w:ascii="Times" w:eastAsia="Batang" w:hAnsi="Times" w:cs="Times"/>
          <w:szCs w:val="24"/>
          <w:lang w:eastAsia="zh-TW"/>
        </w:rPr>
        <w:t xml:space="preserve"> and </w:t>
      </w:r>
      <w:r w:rsidR="00E00A0C">
        <w:rPr>
          <w:rFonts w:ascii="Times" w:eastAsia="Batang" w:hAnsi="Times" w:cs="Times"/>
          <w:szCs w:val="24"/>
          <w:lang w:eastAsia="zh-TW"/>
        </w:rPr>
        <w:t xml:space="preserve">the </w:t>
      </w:r>
      <w:r w:rsidR="00E00A0C">
        <w:rPr>
          <w:rFonts w:eastAsia="Times New Roman"/>
        </w:rPr>
        <w:t>t</w:t>
      </w:r>
      <w:r w:rsidR="00E00A0C" w:rsidRPr="000B264A">
        <w:rPr>
          <w:rFonts w:eastAsia="Times New Roman"/>
        </w:rPr>
        <w:t>wo closed-loop PC adjustment states for SRS</w:t>
      </w:r>
      <w:r w:rsidR="00782A5D">
        <w:rPr>
          <w:rFonts w:eastAsia="Times New Roman"/>
        </w:rPr>
        <w:t xml:space="preserve">. </w:t>
      </w:r>
    </w:p>
    <w:p w14:paraId="1B70A940" w14:textId="77777777" w:rsidR="002E2FAF" w:rsidRDefault="00CB24EA">
      <w:pPr>
        <w:pStyle w:val="Heading1"/>
        <w:rPr>
          <w:rFonts w:cs="Arial"/>
        </w:rPr>
      </w:pPr>
      <w:r>
        <w:rPr>
          <w:rFonts w:cs="Arial"/>
        </w:rPr>
        <w:t>Discussion</w:t>
      </w:r>
    </w:p>
    <w:p w14:paraId="0EFEA976" w14:textId="77777777" w:rsidR="00717FFD" w:rsidRDefault="00717FFD" w:rsidP="00717FFD">
      <w:pPr>
        <w:pStyle w:val="Heading2"/>
      </w:pPr>
      <w:r>
        <w:t xml:space="preserve">Uplink Power Control </w:t>
      </w:r>
    </w:p>
    <w:p w14:paraId="4EA68E29" w14:textId="709F97D1" w:rsidR="00C67847" w:rsidRDefault="001A0DFF" w:rsidP="00FD0CFF">
      <w:r>
        <w:rPr>
          <w:rFonts w:hint="eastAsia"/>
          <w:lang w:eastAsia="ja-JP"/>
        </w:rPr>
        <w:t>F</w:t>
      </w:r>
      <w:r>
        <w:t xml:space="preserve">or </w:t>
      </w:r>
      <w:r w:rsidRPr="00B226D2">
        <w:t xml:space="preserve">asymmetric DL </w:t>
      </w:r>
      <w:proofErr w:type="spellStart"/>
      <w:r w:rsidRPr="00B226D2">
        <w:t>sTRP</w:t>
      </w:r>
      <w:proofErr w:type="spellEnd"/>
      <w:r w:rsidRPr="00B226D2">
        <w:t xml:space="preserve">/UL </w:t>
      </w:r>
      <w:proofErr w:type="spellStart"/>
      <w:r w:rsidRPr="00B226D2">
        <w:t>mTRP</w:t>
      </w:r>
      <w:proofErr w:type="spellEnd"/>
      <w:r w:rsidRPr="00B226D2">
        <w:t xml:space="preserve"> </w:t>
      </w:r>
      <w:r>
        <w:t xml:space="preserve">deployment </w:t>
      </w:r>
      <w:r w:rsidRPr="00B226D2">
        <w:t>scenarios</w:t>
      </w:r>
      <w:r>
        <w:rPr>
          <w:rFonts w:hint="eastAsia"/>
          <w:lang w:eastAsia="ja-JP"/>
        </w:rPr>
        <w:t>,</w:t>
      </w:r>
      <w:r>
        <w:t xml:space="preserve"> </w:t>
      </w:r>
      <w:r>
        <w:rPr>
          <w:rFonts w:hint="eastAsia"/>
          <w:lang w:eastAsia="ja-JP"/>
        </w:rPr>
        <w:t>t</w:t>
      </w:r>
      <w:r w:rsidR="00717FFD">
        <w:t xml:space="preserve">he UE cannot use legacy procedures </w:t>
      </w:r>
      <w:r w:rsidR="00C90189">
        <w:t xml:space="preserve">in section </w:t>
      </w:r>
      <w:r w:rsidR="00115064">
        <w:t>7</w:t>
      </w:r>
      <w:r w:rsidR="00B14717">
        <w:t xml:space="preserve"> </w:t>
      </w:r>
      <w:r w:rsidR="00115064">
        <w:t xml:space="preserve">in TS </w:t>
      </w:r>
      <w:r w:rsidR="00B14717">
        <w:t xml:space="preserve">38.213 </w:t>
      </w:r>
      <w:r w:rsidR="00717FFD">
        <w:t>to calculate UL transmit power</w:t>
      </w:r>
      <w:r w:rsidR="0022751E">
        <w:t xml:space="preserve"> </w:t>
      </w:r>
      <w:r w:rsidR="000A7397">
        <w:t xml:space="preserve">because </w:t>
      </w:r>
      <w:r w:rsidR="00717FFD">
        <w:t>the calculated downlink pathloss using the DL RS is not a good estimate of the uplink pathloss anymore. Therefore, legacy procedures to calculate PUSCH, PUCCH, and SRS transmit power should be update</w:t>
      </w:r>
      <w:r w:rsidR="00717FFD">
        <w:rPr>
          <w:rFonts w:hint="eastAsia"/>
          <w:lang w:eastAsia="ja-JP"/>
        </w:rPr>
        <w:t>d</w:t>
      </w:r>
      <w:r w:rsidR="00717FFD">
        <w:t xml:space="preserve">, as well as the procedures to calculate power headroom and trigger the PHR reporting. </w:t>
      </w:r>
      <w:r w:rsidR="00FD0CFF">
        <w:t xml:space="preserve">In RAN1#118, general wording </w:t>
      </w:r>
      <w:r w:rsidR="00C67847">
        <w:t xml:space="preserve">was used to support including PL offset </w:t>
      </w:r>
      <w:r w:rsidR="00C67847" w:rsidRPr="00C67847">
        <w:t>in the calculation of Type 1 PHR</w:t>
      </w:r>
      <w:r w:rsidR="00C67847">
        <w:t xml:space="preserve">. </w:t>
      </w:r>
    </w:p>
    <w:p w14:paraId="028DB90B" w14:textId="77777777" w:rsidR="00FD0CFF" w:rsidRPr="00DD0FDB" w:rsidRDefault="00FD0CFF" w:rsidP="00FD0CFF">
      <w:pPr>
        <w:ind w:left="852"/>
        <w:rPr>
          <w:rFonts w:cs="Times"/>
          <w:b/>
          <w:bCs/>
          <w:sz w:val="18"/>
          <w:szCs w:val="18"/>
          <w:highlight w:val="green"/>
          <w:lang w:eastAsia="x-none"/>
        </w:rPr>
      </w:pPr>
      <w:r w:rsidRPr="00DD0FDB">
        <w:rPr>
          <w:rFonts w:cs="Times"/>
          <w:b/>
          <w:bCs/>
          <w:sz w:val="18"/>
          <w:szCs w:val="18"/>
          <w:highlight w:val="green"/>
          <w:lang w:eastAsia="x-none"/>
        </w:rPr>
        <w:t>Agreement</w:t>
      </w:r>
    </w:p>
    <w:p w14:paraId="5AB7C698" w14:textId="61018E31" w:rsidR="00717FFD" w:rsidRDefault="00FD0CFF" w:rsidP="007564F0">
      <w:pPr>
        <w:pStyle w:val="0Maintext"/>
        <w:ind w:left="852"/>
        <w:rPr>
          <w:rFonts w:eastAsia="DengXian"/>
          <w:sz w:val="18"/>
          <w:szCs w:val="18"/>
          <w:lang w:eastAsia="zh-CN"/>
        </w:rPr>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 support to include PL offset </w:t>
      </w:r>
      <w:bookmarkStart w:id="1" w:name="_Hlk181677240"/>
      <w:r w:rsidRPr="00DD0FDB">
        <w:rPr>
          <w:rFonts w:eastAsia="DengXian"/>
          <w:sz w:val="18"/>
          <w:szCs w:val="18"/>
          <w:lang w:eastAsia="zh-CN"/>
        </w:rPr>
        <w:t xml:space="preserve">in the calculation of Type 1 PHR </w:t>
      </w:r>
      <w:bookmarkEnd w:id="1"/>
      <w:r w:rsidRPr="00DD0FDB">
        <w:rPr>
          <w:rFonts w:eastAsia="DengXian"/>
          <w:sz w:val="18"/>
          <w:szCs w:val="18"/>
          <w:lang w:eastAsia="zh-CN"/>
        </w:rPr>
        <w:t>based on actual PUSCH transmission and Type 1 PHR based on reference PUSCH</w:t>
      </w:r>
    </w:p>
    <w:p w14:paraId="3536D493" w14:textId="77777777" w:rsidR="007564F0" w:rsidRPr="007564F0" w:rsidRDefault="007564F0" w:rsidP="007564F0">
      <w:pPr>
        <w:pStyle w:val="0Maintext"/>
        <w:ind w:left="852"/>
        <w:rPr>
          <w:rFonts w:eastAsia="DengXian"/>
          <w:sz w:val="18"/>
          <w:szCs w:val="18"/>
          <w:lang w:eastAsia="zh-CN"/>
        </w:rPr>
      </w:pPr>
    </w:p>
    <w:p w14:paraId="5F08FEE5" w14:textId="7A0FF352" w:rsidR="006045E8" w:rsidRDefault="006045E8" w:rsidP="00717FFD">
      <w:r>
        <w:t>A similar approach can be followed</w:t>
      </w:r>
      <w:r w:rsidR="00704ADD">
        <w:t xml:space="preserve"> for uplink transmission power calculation </w:t>
      </w:r>
      <w:r w:rsidR="00385718">
        <w:t xml:space="preserve">for PUSCH, PUCCH, and SRS. </w:t>
      </w:r>
    </w:p>
    <w:p w14:paraId="03BD44A2" w14:textId="37CE0D75" w:rsidR="00717FFD" w:rsidRPr="00717FFD" w:rsidRDefault="00385718" w:rsidP="00717FFD">
      <w:pPr>
        <w:pStyle w:val="Proposal"/>
      </w:pPr>
      <w:r w:rsidRPr="006A2BA0">
        <w:rPr>
          <w:rFonts w:eastAsia="DengXian"/>
          <w:lang w:eastAsia="zh-CN"/>
        </w:rPr>
        <w:t xml:space="preserve">For the asymmetric DL </w:t>
      </w:r>
      <w:proofErr w:type="spellStart"/>
      <w:r w:rsidRPr="006A2BA0">
        <w:rPr>
          <w:rFonts w:eastAsia="DengXian"/>
          <w:lang w:eastAsia="zh-CN"/>
        </w:rPr>
        <w:t>sTRP</w:t>
      </w:r>
      <w:proofErr w:type="spellEnd"/>
      <w:r w:rsidRPr="006A2BA0">
        <w:rPr>
          <w:rFonts w:eastAsia="DengXian"/>
          <w:lang w:eastAsia="zh-CN"/>
        </w:rPr>
        <w:t xml:space="preserve">/UL </w:t>
      </w:r>
      <w:proofErr w:type="spellStart"/>
      <w:r w:rsidRPr="006A2BA0">
        <w:rPr>
          <w:rFonts w:eastAsia="DengXian"/>
          <w:lang w:eastAsia="zh-CN"/>
        </w:rPr>
        <w:t>mTRP</w:t>
      </w:r>
      <w:proofErr w:type="spellEnd"/>
      <w:r w:rsidRPr="006A2BA0">
        <w:rPr>
          <w:rFonts w:eastAsia="DengXian"/>
          <w:lang w:eastAsia="zh-CN"/>
        </w:rPr>
        <w:t xml:space="preserve"> scenarios, support to include PL offset in the calculation of </w:t>
      </w:r>
      <w:r w:rsidRPr="006A2BA0">
        <w:t>uplink transmission power calculation for PUSCH, PUCCH, and SRS.</w:t>
      </w:r>
    </w:p>
    <w:p w14:paraId="6E2C8480" w14:textId="47875B27" w:rsidR="000662F3" w:rsidRDefault="0030223F" w:rsidP="0030223F">
      <w:pPr>
        <w:pStyle w:val="Heading2"/>
        <w:rPr>
          <w:lang w:eastAsia="ja-JP"/>
        </w:rPr>
      </w:pPr>
      <w:r>
        <w:rPr>
          <w:lang w:eastAsia="ja-JP"/>
        </w:rPr>
        <w:t xml:space="preserve">Power Headroom reporting Trigger </w:t>
      </w:r>
    </w:p>
    <w:p w14:paraId="0C1FD539" w14:textId="59C21963" w:rsidR="00D8728C" w:rsidRDefault="00D8728C" w:rsidP="00D8728C">
      <w:r>
        <w:t xml:space="preserve">In legacy, </w:t>
      </w:r>
      <w:r w:rsidR="00FA5B1B">
        <w:t>when the downlink pathloss changes beyond a certain threshold</w:t>
      </w:r>
      <w:r w:rsidR="00C67E34">
        <w:t xml:space="preserve">, the UE is triggered to transmit a power headroom report to the NW. This is mainly because in legacy deployments, the downlink pathloss is </w:t>
      </w:r>
      <w:r w:rsidR="00C04DA7">
        <w:t xml:space="preserve">a good estimation of the UL </w:t>
      </w:r>
      <w:r w:rsidR="00A34A9C">
        <w:t>pathloss. However</w:t>
      </w:r>
      <w:r w:rsidR="00B31024">
        <w:t>,</w:t>
      </w:r>
      <w:r w:rsidR="00A34A9C">
        <w:t xml:space="preserve"> this is not the case</w:t>
      </w:r>
      <w:r w:rsidR="00B226D2">
        <w:t xml:space="preserve"> for </w:t>
      </w:r>
      <w:r w:rsidR="00B226D2" w:rsidRPr="00B226D2">
        <w:t xml:space="preserve">asymmetric DL </w:t>
      </w:r>
      <w:proofErr w:type="spellStart"/>
      <w:r w:rsidR="00B226D2" w:rsidRPr="00B226D2">
        <w:t>sTRP</w:t>
      </w:r>
      <w:proofErr w:type="spellEnd"/>
      <w:r w:rsidR="00B226D2" w:rsidRPr="00B226D2">
        <w:t xml:space="preserve">/UL </w:t>
      </w:r>
      <w:proofErr w:type="spellStart"/>
      <w:r w:rsidR="00B226D2" w:rsidRPr="00B226D2">
        <w:t>mTRP</w:t>
      </w:r>
      <w:proofErr w:type="spellEnd"/>
      <w:r w:rsidR="00B226D2" w:rsidRPr="00B226D2">
        <w:t xml:space="preserve"> </w:t>
      </w:r>
      <w:r w:rsidR="00B226D2">
        <w:t xml:space="preserve">deployment </w:t>
      </w:r>
      <w:r w:rsidR="00B226D2" w:rsidRPr="00B226D2">
        <w:t>scenarios</w:t>
      </w:r>
      <w:r w:rsidR="00B226D2">
        <w:t xml:space="preserve">. </w:t>
      </w:r>
    </w:p>
    <w:p w14:paraId="0B5EEA01" w14:textId="5F44BEA7" w:rsidR="00F577F1" w:rsidRDefault="00F577F1" w:rsidP="00D8728C">
      <w:r>
        <w:t>Therefore</w:t>
      </w:r>
      <w:r w:rsidR="007263B3">
        <w:t>,</w:t>
      </w:r>
      <w:r>
        <w:t xml:space="preserve"> it is necessary to include the pathloss offset </w:t>
      </w:r>
      <w:r w:rsidR="00320D80">
        <w:t>in the triggering condition</w:t>
      </w:r>
      <w:r w:rsidR="005A1091">
        <w:t xml:space="preserve">. </w:t>
      </w:r>
      <w:r w:rsidR="00C76D10">
        <w:t>In RAN1</w:t>
      </w:r>
      <w:r w:rsidR="00DD0FDB">
        <w:t>#118, the following agreement was made</w:t>
      </w:r>
      <w:r w:rsidR="001E0B49">
        <w:t xml:space="preserve">, where it was agreed </w:t>
      </w:r>
      <w:r w:rsidR="001E0B49" w:rsidRPr="001E0B49">
        <w:t>to include PL offset in the calculation of Type 1 PHR</w:t>
      </w:r>
      <w:r w:rsidR="007263B3">
        <w:t xml:space="preserve">. A similar approach can be </w:t>
      </w:r>
      <w:r w:rsidR="00D17231">
        <w:t>followed</w:t>
      </w:r>
    </w:p>
    <w:p w14:paraId="72700AAE" w14:textId="77777777" w:rsidR="00DD0FDB" w:rsidRPr="00DD0FDB" w:rsidRDefault="00DD0FDB" w:rsidP="00DD0FDB">
      <w:pPr>
        <w:ind w:left="852"/>
        <w:rPr>
          <w:rFonts w:cs="Times"/>
          <w:b/>
          <w:bCs/>
          <w:sz w:val="18"/>
          <w:szCs w:val="18"/>
          <w:highlight w:val="green"/>
          <w:lang w:eastAsia="x-none"/>
        </w:rPr>
      </w:pPr>
      <w:r w:rsidRPr="00DD0FDB">
        <w:rPr>
          <w:rFonts w:cs="Times"/>
          <w:b/>
          <w:bCs/>
          <w:sz w:val="18"/>
          <w:szCs w:val="18"/>
          <w:highlight w:val="green"/>
          <w:lang w:eastAsia="x-none"/>
        </w:rPr>
        <w:t>Agreement</w:t>
      </w:r>
    </w:p>
    <w:p w14:paraId="4F569C16" w14:textId="77777777" w:rsidR="00DD0FDB" w:rsidRPr="00DD0FDB" w:rsidRDefault="00DD0FDB" w:rsidP="00DD0FDB">
      <w:pPr>
        <w:pStyle w:val="0Maintext"/>
        <w:ind w:left="852"/>
        <w:rPr>
          <w:rFonts w:eastAsia="DengXian"/>
          <w:sz w:val="18"/>
          <w:szCs w:val="18"/>
          <w:lang w:eastAsia="zh-CN"/>
        </w:rPr>
      </w:pPr>
      <w:r w:rsidRPr="00DD0FDB">
        <w:rPr>
          <w:rFonts w:eastAsia="DengXian"/>
          <w:sz w:val="18"/>
          <w:szCs w:val="18"/>
          <w:lang w:eastAsia="zh-CN"/>
        </w:rPr>
        <w:lastRenderedPageBreak/>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 support </w:t>
      </w:r>
      <w:bookmarkStart w:id="2" w:name="_Hlk181675164"/>
      <w:r w:rsidRPr="00DD0FDB">
        <w:rPr>
          <w:rFonts w:eastAsia="DengXian"/>
          <w:sz w:val="18"/>
          <w:szCs w:val="18"/>
          <w:lang w:eastAsia="zh-CN"/>
        </w:rPr>
        <w:t xml:space="preserve">to include PL offset in the calculation of Type 1 PHR </w:t>
      </w:r>
      <w:bookmarkEnd w:id="2"/>
      <w:r w:rsidRPr="00DD0FDB">
        <w:rPr>
          <w:rFonts w:eastAsia="DengXian"/>
          <w:sz w:val="18"/>
          <w:szCs w:val="18"/>
          <w:lang w:eastAsia="zh-CN"/>
        </w:rPr>
        <w:t>based on actual PUSCH transmission and Type 1 PHR based on reference PUSCH</w:t>
      </w:r>
    </w:p>
    <w:p w14:paraId="12BFE778" w14:textId="446BB0F2" w:rsidR="00DD0FDB" w:rsidRPr="00DD0FDB" w:rsidRDefault="00DD0FDB" w:rsidP="00D8728C">
      <w:pPr>
        <w:rPr>
          <w:sz w:val="18"/>
          <w:szCs w:val="18"/>
        </w:rPr>
      </w:pPr>
    </w:p>
    <w:p w14:paraId="23842A81" w14:textId="52049CE6" w:rsidR="007263B3" w:rsidRDefault="00D17231" w:rsidP="00D17231">
      <w:pPr>
        <w:pStyle w:val="Proposal"/>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w:t>
      </w:r>
      <w:r>
        <w:rPr>
          <w:rFonts w:eastAsia="DengXian"/>
          <w:sz w:val="18"/>
          <w:szCs w:val="18"/>
          <w:lang w:eastAsia="zh-CN"/>
        </w:rPr>
        <w:t xml:space="preserve"> support to include the PL offset in the triggering </w:t>
      </w:r>
      <w:r w:rsidR="00747E35">
        <w:rPr>
          <w:rFonts w:eastAsia="DengXian"/>
          <w:sz w:val="18"/>
          <w:szCs w:val="18"/>
          <w:lang w:eastAsia="zh-CN"/>
        </w:rPr>
        <w:t xml:space="preserve">of the power headroom reporting. </w:t>
      </w:r>
    </w:p>
    <w:p w14:paraId="23A50CB2" w14:textId="0D0BCE74" w:rsidR="00562FFC" w:rsidRDefault="00562FFC" w:rsidP="00DD7951">
      <w:r>
        <w:t>Alternatively, an LS can be sent to RAN2 to ask them</w:t>
      </w:r>
      <w:r w:rsidRPr="00562FFC">
        <w:t xml:space="preserve"> to include the PL offset in the triggering of the power headroom reporting.</w:t>
      </w:r>
    </w:p>
    <w:p w14:paraId="52FEDC32" w14:textId="01457584" w:rsidR="00562FFC" w:rsidRPr="00562FFC" w:rsidRDefault="009C14B7" w:rsidP="00562FFC">
      <w:pPr>
        <w:pStyle w:val="Proposal"/>
      </w:pPr>
      <w:r>
        <w:t xml:space="preserve">Send an LS to RAN2 to </w:t>
      </w:r>
      <w:r w:rsidRPr="009C14B7">
        <w:t xml:space="preserve">RAN2 to </w:t>
      </w:r>
      <w:r>
        <w:t>inform them about</w:t>
      </w:r>
      <w:r w:rsidRPr="009C14B7">
        <w:t xml:space="preserve"> includ</w:t>
      </w:r>
      <w:r>
        <w:t>ing</w:t>
      </w:r>
      <w:r w:rsidRPr="009C14B7">
        <w:t xml:space="preserve"> the PL offset in the triggering of the power headroom reporting.</w:t>
      </w:r>
    </w:p>
    <w:p w14:paraId="36BA6C90" w14:textId="0DE4D0F9" w:rsidR="00D8728C" w:rsidRDefault="007B6B97" w:rsidP="00DD7951">
      <w:r>
        <w:t xml:space="preserve">Moreover, we think that </w:t>
      </w:r>
      <w:r w:rsidR="0084494C">
        <w:t xml:space="preserve">simply </w:t>
      </w:r>
      <w:r>
        <w:t>using the quantity</w:t>
      </w:r>
      <w:r w:rsidR="0084494C" w:rsidRPr="0084494C">
        <w:t xml:space="preserve"> “PL</w:t>
      </w:r>
      <w:r w:rsidR="0084494C" w:rsidRPr="008F7764">
        <w:rPr>
          <w:vertAlign w:val="subscript"/>
        </w:rPr>
        <w:t>DL</w:t>
      </w:r>
      <w:r w:rsidR="0084494C" w:rsidRPr="0084494C">
        <w:t xml:space="preserve"> - as ΔPL (dB)” </w:t>
      </w:r>
      <w:r w:rsidR="009B1D74">
        <w:t xml:space="preserve">for the triggering condition is </w:t>
      </w:r>
      <w:r w:rsidR="006549E8">
        <w:t>not a good design, because the quantity</w:t>
      </w:r>
      <w:r w:rsidR="006549E8" w:rsidRPr="0084494C">
        <w:t xml:space="preserve"> “PL</w:t>
      </w:r>
      <w:r w:rsidR="006549E8" w:rsidRPr="008F7764">
        <w:rPr>
          <w:vertAlign w:val="subscript"/>
        </w:rPr>
        <w:t>DL</w:t>
      </w:r>
      <w:r w:rsidR="006549E8" w:rsidRPr="0084494C">
        <w:t xml:space="preserve"> - as ΔPL (dB)” </w:t>
      </w:r>
      <w:r w:rsidR="0084494C" w:rsidRPr="0084494C">
        <w:t>only represents uplink pathloss when the NW is updating the pathloss offset at the same time scale as the downlink pathloss variation</w:t>
      </w:r>
      <w:r w:rsidR="006549E8">
        <w:t xml:space="preserve">. </w:t>
      </w:r>
      <w:r w:rsidR="00D8728C">
        <w:t xml:space="preserve">If the downlink pathloss is not changing and the pathloss offset is not being updated, then in this case, PHR reporting will not be triggered even when the actual uplink pathloss from the UE to the only-TRP is considerably changing. </w:t>
      </w:r>
    </w:p>
    <w:p w14:paraId="1A165EEC" w14:textId="3B9BE734" w:rsidR="00DC446A" w:rsidRDefault="00DC446A" w:rsidP="00DD7951">
      <w:pPr>
        <w:pStyle w:val="Observation"/>
      </w:pPr>
      <w:r>
        <w:t xml:space="preserve">  The </w:t>
      </w:r>
      <w:bookmarkStart w:id="3" w:name="_Hlk181675369"/>
      <w:r>
        <w:t>quantity “PL</w:t>
      </w:r>
      <w:r w:rsidRPr="00433099">
        <w:rPr>
          <w:vertAlign w:val="subscript"/>
        </w:rPr>
        <w:t>DL</w:t>
      </w:r>
      <w:r>
        <w:rPr>
          <w:vertAlign w:val="subscript"/>
        </w:rPr>
        <w:t xml:space="preserve"> </w:t>
      </w:r>
      <w:r>
        <w:t>- as ΔPL (dB)” only represents uplink pathloss when the NW is updating the pathloss offset at the same time scale as the downlink pathloss variation</w:t>
      </w:r>
      <w:bookmarkEnd w:id="3"/>
    </w:p>
    <w:p w14:paraId="72670D59" w14:textId="3033DEF6" w:rsidR="00085E99" w:rsidRDefault="00085E99" w:rsidP="00085E99">
      <w:pPr>
        <w:rPr>
          <w:lang w:eastAsia="ja-JP"/>
        </w:rPr>
      </w:pPr>
      <w:r>
        <w:t xml:space="preserve">One solution is for the NW to trigger a power headroom reporting instead when the received uplink power changes beyond a certain threshold. </w:t>
      </w:r>
      <w:r w:rsidR="00FF3409">
        <w:rPr>
          <w:rFonts w:hint="eastAsia"/>
          <w:lang w:eastAsia="ja-JP"/>
        </w:rPr>
        <w:t xml:space="preserve">This would be simpler than to define a certain threshold. </w:t>
      </w:r>
      <w:r w:rsidR="00340675">
        <w:rPr>
          <w:rFonts w:hint="eastAsia"/>
          <w:lang w:eastAsia="ja-JP"/>
        </w:rPr>
        <w:t xml:space="preserve">Then NW is able to </w:t>
      </w:r>
      <w:r w:rsidR="006D26ED">
        <w:rPr>
          <w:rFonts w:hint="eastAsia"/>
          <w:lang w:eastAsia="ja-JP"/>
        </w:rPr>
        <w:t>understand the transmission power of UE</w:t>
      </w:r>
      <w:r w:rsidR="00B130AD">
        <w:rPr>
          <w:rFonts w:hint="eastAsia"/>
          <w:lang w:eastAsia="ja-JP"/>
        </w:rPr>
        <w:t xml:space="preserve"> in order to obtain uplink pathloss.</w:t>
      </w:r>
    </w:p>
    <w:p w14:paraId="5E86BF55" w14:textId="3F4BEEAD" w:rsidR="00085E99" w:rsidRDefault="00710C27" w:rsidP="00D8728C">
      <w:pPr>
        <w:pStyle w:val="Proposal"/>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w:t>
      </w:r>
      <w:r>
        <w:rPr>
          <w:rFonts w:eastAsia="DengXian"/>
          <w:sz w:val="18"/>
          <w:szCs w:val="18"/>
          <w:lang w:eastAsia="zh-CN"/>
        </w:rPr>
        <w:t xml:space="preserve"> s</w:t>
      </w:r>
      <w:r w:rsidR="003E179D">
        <w:rPr>
          <w:rFonts w:eastAsia="DengXian"/>
          <w:sz w:val="18"/>
          <w:szCs w:val="18"/>
          <w:lang w:eastAsia="zh-CN"/>
        </w:rPr>
        <w:t xml:space="preserve">upport </w:t>
      </w:r>
      <w:r w:rsidR="00C13565">
        <w:rPr>
          <w:rFonts w:eastAsia="DengXian"/>
          <w:sz w:val="18"/>
          <w:szCs w:val="18"/>
          <w:lang w:eastAsia="zh-CN"/>
        </w:rPr>
        <w:t>the triggering of the UE by the NW to report power headroom</w:t>
      </w:r>
      <w:r w:rsidR="00644187">
        <w:rPr>
          <w:rFonts w:eastAsia="DengXian"/>
          <w:sz w:val="18"/>
          <w:szCs w:val="18"/>
          <w:lang w:eastAsia="zh-CN"/>
        </w:rPr>
        <w:t xml:space="preserve">. </w:t>
      </w:r>
    </w:p>
    <w:p w14:paraId="4B5B59F2" w14:textId="77777777" w:rsidR="002A15E9" w:rsidRDefault="002A15E9" w:rsidP="002A15E9">
      <w:pPr>
        <w:pStyle w:val="Heading2"/>
        <w:rPr>
          <w:lang w:val="en-US"/>
        </w:rPr>
      </w:pPr>
      <w:r>
        <w:rPr>
          <w:lang w:val="en-US"/>
        </w:rPr>
        <w:t xml:space="preserve">Indicating TCI states for asymmetric UL </w:t>
      </w:r>
      <w:proofErr w:type="spellStart"/>
      <w:r>
        <w:rPr>
          <w:lang w:val="en-US"/>
        </w:rPr>
        <w:t>mTRP</w:t>
      </w:r>
      <w:proofErr w:type="spellEnd"/>
    </w:p>
    <w:p w14:paraId="1CD4F5EB" w14:textId="555BC668" w:rsidR="00445784" w:rsidRDefault="00445784" w:rsidP="00612BEC">
      <w:pPr>
        <w:rPr>
          <w:lang w:eastAsia="zh-CN"/>
        </w:rPr>
      </w:pPr>
      <w:r>
        <w:rPr>
          <w:lang w:eastAsia="zh-CN"/>
        </w:rPr>
        <w:t>In a previous meeting we have the following conclusion,</w:t>
      </w:r>
    </w:p>
    <w:p w14:paraId="26BD5CB2" w14:textId="77777777" w:rsidR="00445784" w:rsidRDefault="00445784" w:rsidP="00445784">
      <w:pPr>
        <w:ind w:left="568"/>
        <w:rPr>
          <w:rFonts w:eastAsia="DengXian"/>
          <w:lang w:val="en-CA" w:eastAsia="zh-CN"/>
        </w:rPr>
      </w:pPr>
      <w:r w:rsidRPr="00A375D3">
        <w:rPr>
          <w:rFonts w:eastAsia="DengXian" w:hint="eastAsia"/>
          <w:b/>
          <w:bCs/>
          <w:lang w:val="en-CA" w:eastAsia="zh-CN"/>
        </w:rPr>
        <w:t>Conclusion</w:t>
      </w:r>
      <w:r>
        <w:rPr>
          <w:rFonts w:eastAsia="DengXian"/>
          <w:b/>
          <w:bCs/>
          <w:lang w:val="en-CA" w:eastAsia="zh-CN"/>
        </w:rPr>
        <w:t xml:space="preserve"> 2</w:t>
      </w:r>
    </w:p>
    <w:p w14:paraId="4999E4F1" w14:textId="77777777" w:rsidR="00445784" w:rsidRPr="00C62500" w:rsidRDefault="00445784" w:rsidP="00445784">
      <w:pPr>
        <w:ind w:left="568"/>
        <w:rPr>
          <w:rFonts w:eastAsia="DengXian"/>
          <w:lang w:val="en-CA" w:eastAsia="zh-CN"/>
        </w:rPr>
      </w:pPr>
      <w:r w:rsidRPr="00C62500">
        <w:rPr>
          <w:rFonts w:eastAsia="DengXian"/>
          <w:lang w:val="en-CA" w:eastAsia="zh-CN"/>
        </w:rPr>
        <w:t xml:space="preserve">For the asymmetric DL </w:t>
      </w:r>
      <w:proofErr w:type="spellStart"/>
      <w:r w:rsidRPr="00C62500">
        <w:rPr>
          <w:rFonts w:eastAsia="DengXian"/>
          <w:lang w:val="en-CA" w:eastAsia="zh-CN"/>
        </w:rPr>
        <w:t>sTRP</w:t>
      </w:r>
      <w:proofErr w:type="spellEnd"/>
      <w:r w:rsidRPr="00C62500">
        <w:rPr>
          <w:rFonts w:eastAsia="DengXian"/>
          <w:lang w:val="en-CA" w:eastAsia="zh-CN"/>
        </w:rPr>
        <w:t xml:space="preserve">/UL </w:t>
      </w:r>
      <w:proofErr w:type="spellStart"/>
      <w:r w:rsidRPr="00C62500">
        <w:rPr>
          <w:rFonts w:eastAsia="DengXian"/>
          <w:lang w:val="en-CA" w:eastAsia="zh-CN"/>
        </w:rPr>
        <w:t>mTRP</w:t>
      </w:r>
      <w:proofErr w:type="spellEnd"/>
      <w:r w:rsidRPr="00C62500">
        <w:rPr>
          <w:rFonts w:eastAsia="DengXian"/>
          <w:lang w:val="en-CA" w:eastAsia="zh-CN"/>
        </w:rPr>
        <w:t xml:space="preserve"> deployment scenario, reuse the rel-17 unified TCI/ICBM and rel-18 unified TCI framework:</w:t>
      </w:r>
    </w:p>
    <w:p w14:paraId="2FF0C7F2" w14:textId="77777777" w:rsidR="00445784" w:rsidRPr="00C62500" w:rsidRDefault="00445784" w:rsidP="00445784">
      <w:pPr>
        <w:pStyle w:val="ListParagraph"/>
        <w:numPr>
          <w:ilvl w:val="0"/>
          <w:numId w:val="35"/>
        </w:numPr>
        <w:spacing w:after="0"/>
        <w:ind w:left="1288"/>
        <w:contextualSpacing w:val="0"/>
        <w:jc w:val="both"/>
        <w:rPr>
          <w:rFonts w:eastAsia="DengXian"/>
          <w:szCs w:val="22"/>
          <w:lang w:val="en-CA" w:eastAsia="zh-CN"/>
        </w:rPr>
      </w:pPr>
      <w:r w:rsidRPr="00C62500">
        <w:rPr>
          <w:rFonts w:eastAsia="DengXian"/>
          <w:szCs w:val="22"/>
          <w:lang w:val="en-CA" w:eastAsia="zh-CN"/>
        </w:rPr>
        <w:t>When rel-17 unified TCI/ICBM is configured:</w:t>
      </w:r>
    </w:p>
    <w:p w14:paraId="433352F3" w14:textId="77777777" w:rsidR="00445784" w:rsidRPr="00C62500" w:rsidRDefault="00445784" w:rsidP="00445784">
      <w:pPr>
        <w:pStyle w:val="ListParagraph"/>
        <w:numPr>
          <w:ilvl w:val="1"/>
          <w:numId w:val="35"/>
        </w:numPr>
        <w:spacing w:after="0"/>
        <w:ind w:left="2008"/>
        <w:contextualSpacing w:val="0"/>
        <w:jc w:val="both"/>
        <w:rPr>
          <w:rFonts w:eastAsia="DengXian"/>
          <w:szCs w:val="22"/>
          <w:lang w:val="en-CA" w:eastAsia="zh-CN"/>
        </w:rPr>
      </w:pPr>
      <w:r w:rsidRPr="00C62500">
        <w:rPr>
          <w:rFonts w:eastAsia="DengXian"/>
          <w:szCs w:val="22"/>
          <w:lang w:val="en-CA" w:eastAsia="zh-CN"/>
        </w:rPr>
        <w:t>For FR1: one joint TCI state or {one DL TCI state + one UL TCI state} can be applied.</w:t>
      </w:r>
    </w:p>
    <w:p w14:paraId="23020B6C" w14:textId="77777777" w:rsidR="00445784" w:rsidRPr="00C62500" w:rsidRDefault="00445784" w:rsidP="00445784">
      <w:pPr>
        <w:pStyle w:val="ListParagraph"/>
        <w:numPr>
          <w:ilvl w:val="1"/>
          <w:numId w:val="35"/>
        </w:numPr>
        <w:spacing w:after="0"/>
        <w:ind w:left="2008"/>
        <w:contextualSpacing w:val="0"/>
        <w:jc w:val="both"/>
        <w:rPr>
          <w:rFonts w:eastAsia="DengXian"/>
          <w:szCs w:val="22"/>
          <w:lang w:val="en-CA" w:eastAsia="zh-CN"/>
        </w:rPr>
      </w:pPr>
      <w:r w:rsidRPr="00C62500">
        <w:rPr>
          <w:rFonts w:eastAsia="DengXian"/>
          <w:szCs w:val="22"/>
          <w:lang w:val="en-CA" w:eastAsia="zh-CN"/>
        </w:rPr>
        <w:t>For FR2: {one DL TCI state + one UL TCI state} can be applied.</w:t>
      </w:r>
    </w:p>
    <w:p w14:paraId="207CEB3A" w14:textId="77777777" w:rsidR="00445784" w:rsidRPr="00C62500" w:rsidRDefault="00445784" w:rsidP="00445784">
      <w:pPr>
        <w:pStyle w:val="ListParagraph"/>
        <w:numPr>
          <w:ilvl w:val="0"/>
          <w:numId w:val="35"/>
        </w:numPr>
        <w:spacing w:after="0"/>
        <w:ind w:left="1288"/>
        <w:contextualSpacing w:val="0"/>
        <w:jc w:val="both"/>
        <w:rPr>
          <w:rFonts w:eastAsia="DengXian"/>
          <w:szCs w:val="22"/>
          <w:lang w:val="en-CA" w:eastAsia="zh-CN"/>
        </w:rPr>
      </w:pPr>
      <w:r w:rsidRPr="00C62500">
        <w:rPr>
          <w:rFonts w:eastAsia="DengXian"/>
          <w:szCs w:val="22"/>
          <w:lang w:val="en-CA" w:eastAsia="zh-CN"/>
        </w:rPr>
        <w:t>When rel-18 unified TCI is configured:</w:t>
      </w:r>
    </w:p>
    <w:p w14:paraId="7358E45D" w14:textId="77777777" w:rsidR="00445784" w:rsidRPr="00C62500" w:rsidRDefault="00445784" w:rsidP="00445784">
      <w:pPr>
        <w:pStyle w:val="ListParagraph"/>
        <w:numPr>
          <w:ilvl w:val="1"/>
          <w:numId w:val="35"/>
        </w:numPr>
        <w:spacing w:after="0"/>
        <w:ind w:left="2008"/>
        <w:contextualSpacing w:val="0"/>
        <w:jc w:val="both"/>
        <w:rPr>
          <w:rFonts w:eastAsia="DengXian"/>
          <w:szCs w:val="22"/>
          <w:lang w:val="en-CA" w:eastAsia="zh-CN"/>
        </w:rPr>
      </w:pPr>
      <w:r w:rsidRPr="00C62500">
        <w:rPr>
          <w:rFonts w:eastAsia="DengXian"/>
          <w:szCs w:val="22"/>
          <w:lang w:val="en-CA" w:eastAsia="zh-CN"/>
        </w:rPr>
        <w:t>For FR1: up to two joint TCI states or {one DL TCI state + up to two UL TCI state} can be applied.</w:t>
      </w:r>
    </w:p>
    <w:p w14:paraId="343DAAE3" w14:textId="77777777" w:rsidR="00445784" w:rsidRPr="00C62500" w:rsidRDefault="00445784" w:rsidP="00445784">
      <w:pPr>
        <w:pStyle w:val="ListParagraph"/>
        <w:numPr>
          <w:ilvl w:val="1"/>
          <w:numId w:val="35"/>
        </w:numPr>
        <w:spacing w:after="0"/>
        <w:ind w:left="2008"/>
        <w:contextualSpacing w:val="0"/>
        <w:jc w:val="both"/>
        <w:rPr>
          <w:rFonts w:eastAsia="DengXian"/>
          <w:szCs w:val="22"/>
          <w:lang w:val="en-CA" w:eastAsia="zh-CN"/>
        </w:rPr>
      </w:pPr>
      <w:r w:rsidRPr="00C62500">
        <w:rPr>
          <w:rFonts w:eastAsia="DengXian"/>
          <w:szCs w:val="22"/>
          <w:lang w:val="en-CA" w:eastAsia="zh-CN"/>
        </w:rPr>
        <w:t>For FR2: {one DL TCI state + up to two UL TCI states} can be applied.</w:t>
      </w:r>
    </w:p>
    <w:p w14:paraId="30938761" w14:textId="77777777" w:rsidR="00445784" w:rsidRPr="00445784" w:rsidRDefault="00445784" w:rsidP="00612BEC">
      <w:pPr>
        <w:rPr>
          <w:lang w:val="en-CA" w:eastAsia="zh-CN"/>
        </w:rPr>
      </w:pPr>
    </w:p>
    <w:p w14:paraId="0A9675C1" w14:textId="65882963" w:rsidR="002A15E9" w:rsidRDefault="00476307" w:rsidP="00612BEC">
      <w:pPr>
        <w:rPr>
          <w:lang w:eastAsia="zh-CN"/>
        </w:rPr>
      </w:pPr>
      <w:r>
        <w:rPr>
          <w:lang w:val="en-CA" w:eastAsia="zh-CN"/>
        </w:rPr>
        <w:t xml:space="preserve">Then </w:t>
      </w:r>
      <w:r>
        <w:rPr>
          <w:lang w:eastAsia="zh-CN"/>
        </w:rPr>
        <w:t>f</w:t>
      </w:r>
      <w:r w:rsidR="00612BEC">
        <w:rPr>
          <w:lang w:eastAsia="zh-CN"/>
        </w:rPr>
        <w:t xml:space="preserve">or </w:t>
      </w:r>
      <w:r w:rsidR="002A15E9">
        <w:rPr>
          <w:lang w:eastAsia="zh-CN"/>
        </w:rPr>
        <w:t xml:space="preserve">the asymmetric UL </w:t>
      </w:r>
      <w:proofErr w:type="spellStart"/>
      <w:r w:rsidR="002A15E9">
        <w:rPr>
          <w:lang w:eastAsia="zh-CN"/>
        </w:rPr>
        <w:t>mTRP</w:t>
      </w:r>
      <w:proofErr w:type="spellEnd"/>
      <w:r w:rsidR="002A15E9">
        <w:rPr>
          <w:lang w:eastAsia="zh-CN"/>
        </w:rPr>
        <w:t>,</w:t>
      </w:r>
      <w:r w:rsidR="00612BEC">
        <w:rPr>
          <w:lang w:eastAsia="zh-CN"/>
        </w:rPr>
        <w:t xml:space="preserve"> </w:t>
      </w:r>
      <w:r w:rsidR="002A15E9">
        <w:rPr>
          <w:lang w:eastAsia="zh-CN"/>
        </w:rPr>
        <w:t xml:space="preserve">the </w:t>
      </w:r>
      <w:proofErr w:type="spellStart"/>
      <w:r w:rsidR="002A15E9">
        <w:rPr>
          <w:lang w:eastAsia="zh-CN"/>
        </w:rPr>
        <w:t>gNB</w:t>
      </w:r>
      <w:proofErr w:type="spellEnd"/>
      <w:r w:rsidR="002A15E9">
        <w:rPr>
          <w:lang w:eastAsia="zh-CN"/>
        </w:rPr>
        <w:t xml:space="preserve"> can indicate one DL TCI state and two UL TCI states</w:t>
      </w:r>
      <w:r>
        <w:rPr>
          <w:lang w:eastAsia="zh-CN"/>
        </w:rPr>
        <w:t xml:space="preserve"> as concluded above</w:t>
      </w:r>
      <w:r w:rsidR="002A15E9">
        <w:rPr>
          <w:lang w:eastAsia="zh-CN"/>
        </w:rPr>
        <w:t xml:space="preserve">. But </w:t>
      </w:r>
      <w:r w:rsidR="001108CB">
        <w:rPr>
          <w:lang w:eastAsia="zh-CN"/>
        </w:rPr>
        <w:t xml:space="preserve">it was argued that in </w:t>
      </w:r>
      <w:r w:rsidR="002A15E9">
        <w:rPr>
          <w:lang w:eastAsia="zh-CN"/>
        </w:rPr>
        <w:t>the specification 38.214</w:t>
      </w:r>
      <w:r w:rsidR="006B17C5">
        <w:rPr>
          <w:lang w:eastAsia="zh-CN"/>
        </w:rPr>
        <w:t xml:space="preserve">, </w:t>
      </w:r>
      <w:r w:rsidR="002A15E9">
        <w:rPr>
          <w:lang w:eastAsia="zh-CN"/>
        </w:rPr>
        <w:t>the gNB can only implement the case with two indicated DL TCI states:</w:t>
      </w:r>
    </w:p>
    <w:tbl>
      <w:tblPr>
        <w:tblStyle w:val="TableGrid"/>
        <w:tblW w:w="0" w:type="auto"/>
        <w:tblLook w:val="04A0" w:firstRow="1" w:lastRow="0" w:firstColumn="1" w:lastColumn="0" w:noHBand="0" w:noVBand="1"/>
      </w:tblPr>
      <w:tblGrid>
        <w:gridCol w:w="9350"/>
      </w:tblGrid>
      <w:tr w:rsidR="002A15E9" w14:paraId="771261EF" w14:textId="77777777" w:rsidTr="00713F80">
        <w:tc>
          <w:tcPr>
            <w:tcW w:w="9350" w:type="dxa"/>
          </w:tcPr>
          <w:p w14:paraId="4930229D" w14:textId="77777777" w:rsidR="002A15E9" w:rsidRDefault="002A15E9" w:rsidP="00713F80">
            <w:pPr>
              <w:rPr>
                <w:sz w:val="24"/>
                <w:szCs w:val="24"/>
                <w:lang w:eastAsia="zh-CN"/>
              </w:rPr>
            </w:pPr>
            <w:r>
              <w:rPr>
                <w:sz w:val="24"/>
                <w:szCs w:val="24"/>
                <w:lang w:eastAsia="zh-CN"/>
              </w:rPr>
              <w:t>5.1.5 Antenna ports quasi co-location</w:t>
            </w:r>
          </w:p>
          <w:p w14:paraId="56ACAF09" w14:textId="77777777" w:rsidR="002A15E9" w:rsidRDefault="002A15E9" w:rsidP="00713F80">
            <w:pPr>
              <w:rPr>
                <w:lang w:eastAsia="zh-CN"/>
              </w:rPr>
            </w:pPr>
            <w:r>
              <w:rPr>
                <w:lang w:eastAsia="zh-CN"/>
              </w:rPr>
              <w:t>…</w:t>
            </w:r>
          </w:p>
          <w:p w14:paraId="39C3C97B" w14:textId="77777777" w:rsidR="002A15E9" w:rsidRDefault="002A15E9" w:rsidP="00713F80">
            <w:pPr>
              <w:rPr>
                <w:szCs w:val="18"/>
              </w:rPr>
            </w:pPr>
            <w:r>
              <w:rPr>
                <w:szCs w:val="18"/>
              </w:rPr>
              <w:t xml:space="preserve">When a UE is configured with </w:t>
            </w:r>
            <w:r>
              <w:rPr>
                <w:i/>
                <w:szCs w:val="18"/>
              </w:rPr>
              <w:t>dl-</w:t>
            </w:r>
            <w:proofErr w:type="spellStart"/>
            <w:r>
              <w:rPr>
                <w:i/>
                <w:szCs w:val="18"/>
              </w:rPr>
              <w:t>OrJointTCI</w:t>
            </w:r>
            <w:proofErr w:type="spellEnd"/>
            <w:r>
              <w:rPr>
                <w:i/>
                <w:szCs w:val="18"/>
              </w:rPr>
              <w:t>-</w:t>
            </w:r>
            <w:proofErr w:type="spellStart"/>
            <w:r>
              <w:rPr>
                <w:i/>
                <w:szCs w:val="18"/>
              </w:rPr>
              <w:t>StateList</w:t>
            </w:r>
            <w:proofErr w:type="spellEnd"/>
            <w:r>
              <w:rPr>
                <w:szCs w:val="18"/>
              </w:rPr>
              <w:t xml:space="preserve"> and is having two indicated </w:t>
            </w:r>
            <w:r>
              <w:rPr>
                <w:i/>
                <w:iCs/>
                <w:szCs w:val="18"/>
              </w:rPr>
              <w:t>TCI-states</w:t>
            </w:r>
            <w:r>
              <w:rPr>
                <w:szCs w:val="18"/>
              </w:rPr>
              <w:t xml:space="preserve">, if the UE receives a TCI codepoint mapped with a sub-set of first and second </w:t>
            </w:r>
            <w:r>
              <w:rPr>
                <w:i/>
                <w:szCs w:val="18"/>
              </w:rPr>
              <w:t>TCI-State</w:t>
            </w:r>
            <w:r>
              <w:rPr>
                <w:szCs w:val="18"/>
              </w:rPr>
              <w:t xml:space="preserve">(s) and/or a sub-set of first and second </w:t>
            </w:r>
            <w:r>
              <w:rPr>
                <w:i/>
                <w:szCs w:val="18"/>
              </w:rPr>
              <w:t>TCI-UL-State</w:t>
            </w:r>
            <w:r>
              <w:rPr>
                <w:szCs w:val="18"/>
              </w:rPr>
              <w:t xml:space="preserve">(s), the UE shall update the first/second </w:t>
            </w:r>
            <w:r>
              <w:rPr>
                <w:i/>
                <w:szCs w:val="18"/>
              </w:rPr>
              <w:t>TCI-State</w:t>
            </w:r>
            <w:r>
              <w:rPr>
                <w:szCs w:val="18"/>
              </w:rPr>
              <w:t xml:space="preserve">(s) and/or first/second </w:t>
            </w:r>
            <w:r>
              <w:rPr>
                <w:i/>
                <w:szCs w:val="18"/>
              </w:rPr>
              <w:t>TCI-UL-State</w:t>
            </w:r>
            <w:r>
              <w:rPr>
                <w:szCs w:val="18"/>
              </w:rPr>
              <w:t xml:space="preserve">(s) mapped to the TCI codepoint, when applicable, and keep the previously indicated first/second </w:t>
            </w:r>
            <w:r>
              <w:rPr>
                <w:i/>
                <w:szCs w:val="18"/>
              </w:rPr>
              <w:t>TCI-State</w:t>
            </w:r>
            <w:r>
              <w:rPr>
                <w:szCs w:val="18"/>
              </w:rPr>
              <w:t xml:space="preserve">(s) and/or first/second </w:t>
            </w:r>
            <w:r>
              <w:rPr>
                <w:i/>
                <w:szCs w:val="18"/>
              </w:rPr>
              <w:t>TCI-UL-State</w:t>
            </w:r>
            <w:r>
              <w:rPr>
                <w:szCs w:val="18"/>
              </w:rPr>
              <w:t>(s) that is/are not updated by the TCI codepoint.</w:t>
            </w:r>
          </w:p>
          <w:p w14:paraId="27154C07" w14:textId="77777777" w:rsidR="002A15E9" w:rsidRDefault="002A15E9" w:rsidP="00713F80">
            <w:pPr>
              <w:rPr>
                <w:lang w:eastAsia="zh-CN"/>
              </w:rPr>
            </w:pPr>
            <w:r>
              <w:t>…</w:t>
            </w:r>
          </w:p>
        </w:tc>
      </w:tr>
    </w:tbl>
    <w:p w14:paraId="29A42B3D" w14:textId="5DAC0703" w:rsidR="002A15E9" w:rsidRPr="008C33D1" w:rsidRDefault="002A15E9" w:rsidP="002A15E9">
      <w:pPr>
        <w:rPr>
          <w:lang w:eastAsia="zh-CN"/>
        </w:rPr>
      </w:pPr>
      <w:r>
        <w:rPr>
          <w:lang w:eastAsia="zh-CN"/>
        </w:rPr>
        <w:t xml:space="preserve">To enable the gNB to indicate one DL TCI states and two UL TCI states, the following proposal </w:t>
      </w:r>
      <w:r w:rsidR="008C33D1">
        <w:rPr>
          <w:lang w:eastAsia="zh-CN"/>
        </w:rPr>
        <w:t>was</w:t>
      </w:r>
      <w:r>
        <w:rPr>
          <w:lang w:eastAsia="zh-CN"/>
        </w:rPr>
        <w:t xml:space="preserve"> provided:</w:t>
      </w:r>
    </w:p>
    <w:p w14:paraId="1A1B8F97" w14:textId="0B0E8E42" w:rsidR="002A15E9" w:rsidRDefault="002A15E9" w:rsidP="008C33D1">
      <w:pPr>
        <w:ind w:left="852"/>
        <w:rPr>
          <w:b/>
          <w:bCs/>
          <w:lang w:eastAsia="zh-CN"/>
        </w:rPr>
      </w:pPr>
      <w:r>
        <w:rPr>
          <w:b/>
          <w:bCs/>
          <w:highlight w:val="yellow"/>
          <w:lang w:eastAsia="zh-CN"/>
        </w:rPr>
        <w:lastRenderedPageBreak/>
        <w:t>Proposal:</w:t>
      </w:r>
    </w:p>
    <w:p w14:paraId="2E6051D3" w14:textId="77777777" w:rsidR="002A15E9" w:rsidRDefault="002A15E9" w:rsidP="008C33D1">
      <w:pPr>
        <w:ind w:left="852"/>
        <w:rPr>
          <w:lang w:eastAsia="zh-CN"/>
        </w:rPr>
      </w:pPr>
      <w:r>
        <w:rPr>
          <w:lang w:eastAsia="zh-CN"/>
        </w:rPr>
        <w:t>Adopt the following changes in Clause 5.1.5 in TS38.214:</w:t>
      </w:r>
    </w:p>
    <w:tbl>
      <w:tblPr>
        <w:tblStyle w:val="TableGrid"/>
        <w:tblW w:w="9350" w:type="dxa"/>
        <w:jc w:val="center"/>
        <w:tblLook w:val="04A0" w:firstRow="1" w:lastRow="0" w:firstColumn="1" w:lastColumn="0" w:noHBand="0" w:noVBand="1"/>
      </w:tblPr>
      <w:tblGrid>
        <w:gridCol w:w="9350"/>
      </w:tblGrid>
      <w:tr w:rsidR="002A15E9" w14:paraId="29930199" w14:textId="77777777" w:rsidTr="008C33D1">
        <w:trPr>
          <w:jc w:val="center"/>
        </w:trPr>
        <w:tc>
          <w:tcPr>
            <w:tcW w:w="9350" w:type="dxa"/>
          </w:tcPr>
          <w:p w14:paraId="402FC772" w14:textId="77777777" w:rsidR="002A15E9" w:rsidRDefault="002A15E9" w:rsidP="00713F80">
            <w:pPr>
              <w:rPr>
                <w:sz w:val="24"/>
                <w:szCs w:val="24"/>
                <w:lang w:eastAsia="zh-CN"/>
              </w:rPr>
            </w:pPr>
            <w:r>
              <w:rPr>
                <w:sz w:val="24"/>
                <w:szCs w:val="24"/>
                <w:lang w:eastAsia="zh-CN"/>
              </w:rPr>
              <w:t>5.1.5 Antenna ports quasi co-location</w:t>
            </w:r>
          </w:p>
          <w:p w14:paraId="0403384F" w14:textId="77777777" w:rsidR="002A15E9" w:rsidRDefault="002A15E9" w:rsidP="00713F80">
            <w:pPr>
              <w:rPr>
                <w:lang w:eastAsia="zh-CN"/>
              </w:rPr>
            </w:pPr>
            <w:r>
              <w:rPr>
                <w:lang w:eastAsia="zh-CN"/>
              </w:rPr>
              <w:t>…</w:t>
            </w:r>
          </w:p>
          <w:p w14:paraId="0A93E4A7" w14:textId="77777777" w:rsidR="002A15E9" w:rsidRDefault="002A15E9" w:rsidP="00713F80">
            <w:pPr>
              <w:rPr>
                <w:szCs w:val="18"/>
              </w:rPr>
            </w:pPr>
            <w:r>
              <w:rPr>
                <w:szCs w:val="18"/>
              </w:rPr>
              <w:t xml:space="preserve">When a UE is configured with </w:t>
            </w:r>
            <w:r>
              <w:rPr>
                <w:i/>
                <w:szCs w:val="18"/>
              </w:rPr>
              <w:t>dl-</w:t>
            </w:r>
            <w:proofErr w:type="spellStart"/>
            <w:r>
              <w:rPr>
                <w:i/>
                <w:szCs w:val="18"/>
              </w:rPr>
              <w:t>OrJointTCI</w:t>
            </w:r>
            <w:proofErr w:type="spellEnd"/>
            <w:r>
              <w:rPr>
                <w:i/>
                <w:szCs w:val="18"/>
              </w:rPr>
              <w:t>-</w:t>
            </w:r>
            <w:proofErr w:type="spellStart"/>
            <w:r>
              <w:rPr>
                <w:i/>
                <w:szCs w:val="18"/>
              </w:rPr>
              <w:t>StateList</w:t>
            </w:r>
            <w:proofErr w:type="spellEnd"/>
            <w:r>
              <w:rPr>
                <w:szCs w:val="18"/>
              </w:rPr>
              <w:t xml:space="preserve"> </w:t>
            </w:r>
            <w:r>
              <w:rPr>
                <w:color w:val="FF0000"/>
                <w:szCs w:val="18"/>
              </w:rPr>
              <w:t xml:space="preserve">or </w:t>
            </w:r>
            <w:r>
              <w:rPr>
                <w:i/>
                <w:iCs/>
                <w:color w:val="FF0000"/>
                <w:szCs w:val="18"/>
              </w:rPr>
              <w:t>TCI-UL-State</w:t>
            </w:r>
            <w:r>
              <w:rPr>
                <w:color w:val="FF0000"/>
                <w:szCs w:val="18"/>
              </w:rPr>
              <w:t xml:space="preserve"> </w:t>
            </w:r>
            <w:r>
              <w:rPr>
                <w:szCs w:val="18"/>
              </w:rPr>
              <w:t xml:space="preserve">and is having two indicated </w:t>
            </w:r>
            <w:r>
              <w:rPr>
                <w:i/>
                <w:iCs/>
                <w:szCs w:val="18"/>
              </w:rPr>
              <w:t xml:space="preserve">TCI-states </w:t>
            </w:r>
            <w:r>
              <w:rPr>
                <w:color w:val="FF0000"/>
                <w:szCs w:val="18"/>
              </w:rPr>
              <w:t>or TCI-UL-States</w:t>
            </w:r>
            <w:r>
              <w:rPr>
                <w:szCs w:val="18"/>
              </w:rPr>
              <w:t xml:space="preserve">, if the UE receives a TCI codepoint mapped with a sub-set of first and second </w:t>
            </w:r>
            <w:r>
              <w:rPr>
                <w:i/>
                <w:szCs w:val="18"/>
              </w:rPr>
              <w:t>TCI-State</w:t>
            </w:r>
            <w:r>
              <w:rPr>
                <w:szCs w:val="18"/>
              </w:rPr>
              <w:t xml:space="preserve">(s) and/or a sub-set of first and second </w:t>
            </w:r>
            <w:r>
              <w:rPr>
                <w:i/>
                <w:szCs w:val="18"/>
              </w:rPr>
              <w:t>TCI-UL-State</w:t>
            </w:r>
            <w:r>
              <w:rPr>
                <w:szCs w:val="18"/>
              </w:rPr>
              <w:t xml:space="preserve">(s), the UE shall update the first/second </w:t>
            </w:r>
            <w:r>
              <w:rPr>
                <w:i/>
                <w:szCs w:val="18"/>
              </w:rPr>
              <w:t>TCI-State</w:t>
            </w:r>
            <w:r>
              <w:rPr>
                <w:szCs w:val="18"/>
              </w:rPr>
              <w:t xml:space="preserve">(s) and/or first/second </w:t>
            </w:r>
            <w:r>
              <w:rPr>
                <w:i/>
                <w:szCs w:val="18"/>
              </w:rPr>
              <w:t>TCI-UL-State</w:t>
            </w:r>
            <w:r>
              <w:rPr>
                <w:szCs w:val="18"/>
              </w:rPr>
              <w:t xml:space="preserve">(s) mapped to the TCI codepoint, when applicable, and keep the previously indicated first/second </w:t>
            </w:r>
            <w:r>
              <w:rPr>
                <w:i/>
                <w:szCs w:val="18"/>
              </w:rPr>
              <w:t>TCI-State</w:t>
            </w:r>
            <w:r>
              <w:rPr>
                <w:szCs w:val="18"/>
              </w:rPr>
              <w:t xml:space="preserve">(s) and/or first/second </w:t>
            </w:r>
            <w:r>
              <w:rPr>
                <w:i/>
                <w:szCs w:val="18"/>
              </w:rPr>
              <w:t>TCI-UL-State</w:t>
            </w:r>
            <w:r>
              <w:rPr>
                <w:szCs w:val="18"/>
              </w:rPr>
              <w:t>(s) that is/are not updated by the TCI codepoint.</w:t>
            </w:r>
          </w:p>
          <w:p w14:paraId="66B785C0" w14:textId="77777777" w:rsidR="002A15E9" w:rsidRDefault="002A15E9" w:rsidP="00713F80">
            <w:pPr>
              <w:rPr>
                <w:lang w:eastAsia="zh-CN"/>
              </w:rPr>
            </w:pPr>
            <w:r>
              <w:t>…</w:t>
            </w:r>
          </w:p>
        </w:tc>
      </w:tr>
    </w:tbl>
    <w:p w14:paraId="151B1E93" w14:textId="77777777" w:rsidR="00A32247" w:rsidRDefault="00A32247" w:rsidP="00A32247">
      <w:pPr>
        <w:rPr>
          <w:lang w:val="en-US" w:eastAsia="zh-CN"/>
        </w:rPr>
      </w:pPr>
    </w:p>
    <w:p w14:paraId="4CB69CA1" w14:textId="2B3DCDC6" w:rsidR="00FF6292" w:rsidRDefault="00FF6292" w:rsidP="00FF6292">
      <w:r w:rsidRPr="00DF6483">
        <w:rPr>
          <w:rFonts w:hint="eastAsia"/>
        </w:rPr>
        <w:t xml:space="preserve">In </w:t>
      </w:r>
      <w:r>
        <w:rPr>
          <w:rFonts w:hint="eastAsia"/>
        </w:rPr>
        <w:t>Rel.18 unified TCI framework, UE always maintains {2 DL + 2 UL} indicated TCI states</w:t>
      </w:r>
      <w:r>
        <w:t>, and the</w:t>
      </w:r>
      <w:r>
        <w:rPr>
          <w:rFonts w:hint="eastAsia"/>
        </w:rPr>
        <w:t xml:space="preserve"> number of indicated TCI </w:t>
      </w:r>
      <w:r w:rsidR="00D331EA">
        <w:t xml:space="preserve">that </w:t>
      </w:r>
      <w:r>
        <w:rPr>
          <w:rFonts w:hint="eastAsia"/>
        </w:rPr>
        <w:t xml:space="preserve">is </w:t>
      </w:r>
      <w:r>
        <w:t>“</w:t>
      </w:r>
      <w:r>
        <w:rPr>
          <w:rFonts w:hint="eastAsia"/>
        </w:rPr>
        <w:t>applied</w:t>
      </w:r>
      <w:r>
        <w:t>”</w:t>
      </w:r>
      <w:r>
        <w:rPr>
          <w:rFonts w:hint="eastAsia"/>
        </w:rPr>
        <w:t xml:space="preserve"> is up to gNB implementation.</w:t>
      </w:r>
    </w:p>
    <w:p w14:paraId="2591ABA5" w14:textId="7B34E094" w:rsidR="00FF6292" w:rsidRPr="00DA6145" w:rsidRDefault="00FF6292" w:rsidP="00DA6145">
      <w:pPr>
        <w:pStyle w:val="Proposal"/>
        <w:rPr>
          <w:lang w:eastAsia="ko-KR"/>
        </w:rPr>
      </w:pPr>
      <w:r>
        <w:rPr>
          <w:lang w:eastAsia="ko-KR"/>
        </w:rPr>
        <w:t xml:space="preserve">Do not support any enhancement on the legacy TCI framework </w:t>
      </w:r>
      <w:r w:rsidR="00DA6145" w:rsidRPr="00DA6145">
        <w:rPr>
          <w:lang w:eastAsia="ko-KR"/>
        </w:rPr>
        <w:t xml:space="preserve">for asymmetric UL </w:t>
      </w:r>
      <w:proofErr w:type="spellStart"/>
      <w:r w:rsidR="00DA6145" w:rsidRPr="00DA6145">
        <w:rPr>
          <w:lang w:eastAsia="ko-KR"/>
        </w:rPr>
        <w:t>mTRP</w:t>
      </w:r>
      <w:proofErr w:type="spellEnd"/>
      <w:r w:rsidR="00DA6145">
        <w:rPr>
          <w:lang w:eastAsia="ko-KR"/>
        </w:rPr>
        <w:t xml:space="preserve"> scenario.</w:t>
      </w:r>
    </w:p>
    <w:p w14:paraId="1093E6DA" w14:textId="24AA59EB" w:rsidR="00E50624" w:rsidRDefault="00E50624" w:rsidP="00E50624">
      <w:pPr>
        <w:pStyle w:val="Heading2"/>
        <w:rPr>
          <w:lang w:val="en-US" w:eastAsia="zh-CN"/>
        </w:rPr>
      </w:pPr>
      <w:r>
        <w:rPr>
          <w:lang w:val="en-US" w:eastAsia="zh-CN"/>
        </w:rPr>
        <w:t>MPE Measurement</w:t>
      </w:r>
    </w:p>
    <w:p w14:paraId="140DF4E2" w14:textId="742033A4" w:rsidR="006F737D" w:rsidRDefault="008155E6" w:rsidP="006F737D">
      <w:pPr>
        <w:rPr>
          <w:lang w:eastAsia="ko-KR"/>
        </w:rPr>
      </w:pPr>
      <w:r>
        <w:rPr>
          <w:lang w:val="en-US" w:eastAsia="ko-KR"/>
        </w:rPr>
        <w:t xml:space="preserve">In legacy, DL reference signals are used to measure beam specific MPE in FR2. Some companies </w:t>
      </w:r>
      <w:r w:rsidR="00110637">
        <w:rPr>
          <w:lang w:val="en-US" w:eastAsia="ko-KR"/>
        </w:rPr>
        <w:t xml:space="preserve">argued that </w:t>
      </w:r>
      <w:r w:rsidR="00AE42D5">
        <w:rPr>
          <w:lang w:eastAsia="ko-KR"/>
        </w:rPr>
        <w:t>i</w:t>
      </w:r>
      <w:r w:rsidR="00110637">
        <w:rPr>
          <w:lang w:eastAsia="ko-KR"/>
        </w:rPr>
        <w:t xml:space="preserve">n Rel-19 asymmetric </w:t>
      </w:r>
      <w:r w:rsidR="00AE42D5">
        <w:rPr>
          <w:lang w:eastAsia="ko-KR"/>
        </w:rPr>
        <w:t>multi-</w:t>
      </w:r>
      <w:r w:rsidR="00110637">
        <w:rPr>
          <w:lang w:eastAsia="ko-KR"/>
        </w:rPr>
        <w:t>TRP scenario</w:t>
      </w:r>
      <w:r w:rsidR="00AE42D5">
        <w:rPr>
          <w:lang w:eastAsia="ko-KR"/>
        </w:rPr>
        <w:t xml:space="preserve"> with no DL transmission from the UL-only TRP</w:t>
      </w:r>
      <w:r w:rsidR="00110637">
        <w:rPr>
          <w:lang w:eastAsia="ko-KR"/>
        </w:rPr>
        <w:t xml:space="preserve">, </w:t>
      </w:r>
      <w:r w:rsidR="00F833AC">
        <w:rPr>
          <w:lang w:eastAsia="ko-KR"/>
        </w:rPr>
        <w:t>the UE is not able to measure the MPE</w:t>
      </w:r>
      <w:r w:rsidR="00FB5EC6">
        <w:rPr>
          <w:lang w:eastAsia="ko-KR"/>
        </w:rPr>
        <w:t xml:space="preserve"> </w:t>
      </w:r>
      <w:r w:rsidR="00110637">
        <w:rPr>
          <w:lang w:eastAsia="ko-KR"/>
        </w:rPr>
        <w:t xml:space="preserve">for UL transmission toward UL </w:t>
      </w:r>
      <w:r w:rsidR="002A6CC2">
        <w:rPr>
          <w:lang w:eastAsia="ko-KR"/>
        </w:rPr>
        <w:t xml:space="preserve">because in legacy only a DL RS can be an </w:t>
      </w:r>
      <w:r w:rsidR="00110637">
        <w:rPr>
          <w:lang w:eastAsia="ko-KR"/>
        </w:rPr>
        <w:t>MPE resource.</w:t>
      </w:r>
      <w:r w:rsidR="0031419C">
        <w:rPr>
          <w:lang w:eastAsia="ko-KR"/>
        </w:rPr>
        <w:t xml:space="preserve"> One </w:t>
      </w:r>
      <w:r w:rsidR="00CC7E81">
        <w:rPr>
          <w:lang w:eastAsia="ko-KR"/>
        </w:rPr>
        <w:t xml:space="preserve">proposed </w:t>
      </w:r>
      <w:r w:rsidR="0031419C">
        <w:rPr>
          <w:lang w:eastAsia="ko-KR"/>
        </w:rPr>
        <w:t xml:space="preserve">solution </w:t>
      </w:r>
      <w:r w:rsidR="00CC7E81">
        <w:rPr>
          <w:lang w:eastAsia="ko-KR"/>
        </w:rPr>
        <w:t>(although not clear</w:t>
      </w:r>
      <w:r w:rsidR="00077D14">
        <w:rPr>
          <w:lang w:eastAsia="ko-KR"/>
        </w:rPr>
        <w:t>)</w:t>
      </w:r>
      <w:r w:rsidR="0031419C">
        <w:rPr>
          <w:lang w:eastAsia="ko-KR"/>
        </w:rPr>
        <w:t xml:space="preserve"> is </w:t>
      </w:r>
      <w:r w:rsidR="0055648F">
        <w:rPr>
          <w:lang w:eastAsia="ko-KR"/>
        </w:rPr>
        <w:t>to additionally introduce UL RS (i.e., SRS) a</w:t>
      </w:r>
      <w:r w:rsidR="006F737D">
        <w:rPr>
          <w:lang w:eastAsia="ko-KR"/>
        </w:rPr>
        <w:t>s</w:t>
      </w:r>
      <w:r w:rsidR="0055648F">
        <w:rPr>
          <w:lang w:eastAsia="ko-KR"/>
        </w:rPr>
        <w:t xml:space="preserve"> one of MPE resource for beam specific MPE report.</w:t>
      </w:r>
    </w:p>
    <w:p w14:paraId="5B86C28C" w14:textId="6C15453A" w:rsidR="00E50624" w:rsidRDefault="006F737D" w:rsidP="006F737D">
      <w:pPr>
        <w:rPr>
          <w:lang w:eastAsia="zh-CN"/>
        </w:rPr>
      </w:pPr>
      <w:r>
        <w:rPr>
          <w:lang w:eastAsia="ko-KR"/>
        </w:rPr>
        <w:t xml:space="preserve">Although </w:t>
      </w:r>
      <w:r w:rsidR="00353B7B">
        <w:rPr>
          <w:lang w:eastAsia="ko-KR"/>
        </w:rPr>
        <w:t xml:space="preserve">it is not clear how the UE would measure MPE for the UL transmission, </w:t>
      </w:r>
      <w:r w:rsidR="00353B7B">
        <w:rPr>
          <w:lang w:eastAsia="zh-CN"/>
        </w:rPr>
        <w:t>i</w:t>
      </w:r>
      <w:r w:rsidR="00A5512F" w:rsidRPr="00A5512F">
        <w:rPr>
          <w:lang w:eastAsia="zh-CN"/>
        </w:rPr>
        <w:t>t is preferrabl</w:t>
      </w:r>
      <w:r w:rsidR="00A5512F">
        <w:rPr>
          <w:lang w:eastAsia="zh-CN"/>
        </w:rPr>
        <w:t>e in th</w:t>
      </w:r>
      <w:r w:rsidR="008D57CD">
        <w:rPr>
          <w:lang w:eastAsia="zh-CN"/>
        </w:rPr>
        <w:t>is</w:t>
      </w:r>
      <w:r w:rsidR="00A5512F">
        <w:rPr>
          <w:lang w:eastAsia="zh-CN"/>
        </w:rPr>
        <w:t xml:space="preserve"> case to get input from RAN4</w:t>
      </w:r>
      <w:r w:rsidR="00CD5670">
        <w:rPr>
          <w:lang w:eastAsia="zh-CN"/>
        </w:rPr>
        <w:t xml:space="preserve"> on whether this is needed</w:t>
      </w:r>
      <w:r w:rsidR="008D57CD">
        <w:rPr>
          <w:lang w:eastAsia="zh-CN"/>
        </w:rPr>
        <w:t xml:space="preserve"> and possible RSs </w:t>
      </w:r>
      <w:r w:rsidR="004F1A69">
        <w:rPr>
          <w:lang w:eastAsia="zh-CN"/>
        </w:rPr>
        <w:t xml:space="preserve">that </w:t>
      </w:r>
      <w:r w:rsidR="008D57CD">
        <w:rPr>
          <w:lang w:eastAsia="zh-CN"/>
        </w:rPr>
        <w:t>can be used for such measurement</w:t>
      </w:r>
      <w:r w:rsidR="002B3F28">
        <w:rPr>
          <w:lang w:eastAsia="zh-CN"/>
        </w:rPr>
        <w:t>.</w:t>
      </w:r>
    </w:p>
    <w:p w14:paraId="7547B711" w14:textId="7B8BC521" w:rsidR="00AD0866" w:rsidRDefault="008D57CD" w:rsidP="00DA6145">
      <w:pPr>
        <w:pStyle w:val="Proposal"/>
        <w:rPr>
          <w:lang w:eastAsia="ko-KR"/>
        </w:rPr>
      </w:pPr>
      <w:r>
        <w:rPr>
          <w:lang w:eastAsia="ko-KR"/>
        </w:rPr>
        <w:t xml:space="preserve">Do not support </w:t>
      </w:r>
      <w:r w:rsidR="008443CB" w:rsidRPr="008443CB">
        <w:rPr>
          <w:rFonts w:eastAsia="DengXian"/>
        </w:rPr>
        <w:t>including SRS resource as one MPE measurement RS resource for beam specific MPE report and wait for input from RAN4</w:t>
      </w:r>
      <w:r w:rsidR="008443CB">
        <w:rPr>
          <w:rFonts w:eastAsia="DengXian"/>
        </w:rPr>
        <w:t xml:space="preserve"> on this matter</w:t>
      </w:r>
      <w:r w:rsidR="008443CB" w:rsidRPr="008443CB">
        <w:rPr>
          <w:rFonts w:eastAsia="DengXian"/>
        </w:rPr>
        <w:t>.</w:t>
      </w:r>
    </w:p>
    <w:p w14:paraId="4F578188" w14:textId="4F8B9B47" w:rsidR="00AD0866" w:rsidRDefault="00AD0866" w:rsidP="00AD0866">
      <w:pPr>
        <w:pStyle w:val="Heading2"/>
        <w:rPr>
          <w:lang w:eastAsia="ko-KR"/>
        </w:rPr>
      </w:pPr>
      <w:r>
        <w:rPr>
          <w:lang w:eastAsia="ko-KR"/>
        </w:rPr>
        <w:t>R</w:t>
      </w:r>
      <w:r w:rsidRPr="00AD0866">
        <w:rPr>
          <w:lang w:eastAsia="ko-KR"/>
        </w:rPr>
        <w:t>eset</w:t>
      </w:r>
      <w:r>
        <w:rPr>
          <w:lang w:eastAsia="ko-KR"/>
        </w:rPr>
        <w:t>ting</w:t>
      </w:r>
      <w:r w:rsidRPr="00AD0866">
        <w:rPr>
          <w:lang w:eastAsia="ko-KR"/>
        </w:rPr>
        <w:t xml:space="preserve"> the CLPC of PUSCH/PUCCH/SRS</w:t>
      </w:r>
    </w:p>
    <w:p w14:paraId="182E02FB" w14:textId="77777777" w:rsidR="002E3DBC" w:rsidRDefault="00922F4D" w:rsidP="00922F4D">
      <w:pPr>
        <w:jc w:val="both"/>
        <w:rPr>
          <w:lang w:eastAsia="zh-CN"/>
        </w:rPr>
      </w:pPr>
      <w:r w:rsidRPr="006D0DEC">
        <w:rPr>
          <w:lang w:eastAsia="zh-CN"/>
        </w:rPr>
        <w:t>In the legacy systems,</w:t>
      </w:r>
      <w:r w:rsidRPr="006D0DEC">
        <w:t xml:space="preserve"> after receiving a RAR</w:t>
      </w:r>
      <w:r w:rsidRPr="006D0DEC">
        <w:rPr>
          <w:lang w:eastAsia="zh-CN"/>
        </w:rPr>
        <w:t xml:space="preserve">, the UE always resets </w:t>
      </w:r>
      <w:r w:rsidRPr="006D0DEC">
        <w:rPr>
          <w:bCs/>
          <w:iCs/>
          <w:lang w:eastAsia="ko-KR"/>
        </w:rPr>
        <w:t xml:space="preserve">the closed loop power control </w:t>
      </w:r>
      <w:r>
        <w:rPr>
          <w:lang w:eastAsia="zh-CN"/>
        </w:rPr>
        <w:t>(CLPC)</w:t>
      </w:r>
      <w:r w:rsidRPr="006D0DEC">
        <w:rPr>
          <w:lang w:eastAsia="zh-CN"/>
        </w:rPr>
        <w:t xml:space="preserve"> </w:t>
      </w:r>
      <w:r w:rsidRPr="006D0DEC">
        <w:rPr>
          <w:bCs/>
          <w:iCs/>
          <w:lang w:eastAsia="ko-KR"/>
        </w:rPr>
        <w:t xml:space="preserve">adjustment state </w:t>
      </w:r>
      <w:r w:rsidRPr="006D0DEC">
        <w:rPr>
          <w:i/>
          <w:iCs/>
          <w:lang w:eastAsia="zh-CN"/>
        </w:rPr>
        <w:t xml:space="preserve">l </w:t>
      </w:r>
      <w:r w:rsidRPr="006D0DEC">
        <w:rPr>
          <w:lang w:eastAsia="zh-CN"/>
        </w:rPr>
        <w:t>= 0</w:t>
      </w:r>
      <w:r w:rsidRPr="006D0DEC">
        <w:t xml:space="preserve"> for PUSCH</w:t>
      </w:r>
      <w:r w:rsidRPr="006D0DEC">
        <w:rPr>
          <w:lang w:eastAsia="zh-CN"/>
        </w:rPr>
        <w:t>/PUCCH/SRS</w:t>
      </w:r>
      <w:r>
        <w:rPr>
          <w:lang w:eastAsia="zh-CN"/>
        </w:rPr>
        <w:t xml:space="preserve">. </w:t>
      </w:r>
    </w:p>
    <w:p w14:paraId="6AA8D9BA" w14:textId="41293FB1" w:rsidR="00964070" w:rsidRPr="006075AA" w:rsidRDefault="0024558C" w:rsidP="00964070">
      <w:pPr>
        <w:rPr>
          <w:rFonts w:eastAsia="Malgun Gothic"/>
          <w:lang w:val="en-CA" w:eastAsia="ko-KR"/>
        </w:rPr>
      </w:pPr>
      <w:r>
        <w:rPr>
          <w:rFonts w:eastAsia="Malgun Gothic"/>
          <w:lang w:val="en-CA" w:eastAsia="ko-KR"/>
        </w:rPr>
        <w:t>First i</w:t>
      </w:r>
      <w:r w:rsidR="00964070" w:rsidRPr="006075AA">
        <w:rPr>
          <w:rFonts w:eastAsia="Malgun Gothic"/>
          <w:lang w:val="en-CA" w:eastAsia="ko-KR"/>
        </w:rPr>
        <w:t xml:space="preserve">t was argued that </w:t>
      </w:r>
      <w:r w:rsidR="00964070" w:rsidRPr="006075AA">
        <w:rPr>
          <w:rFonts w:eastAsia="DengXian" w:hint="eastAsia"/>
          <w:lang w:eastAsia="zh-CN"/>
        </w:rPr>
        <w:t>CLPC of PUSCH/PUCCH/SRS is reset to Tx power of the last PRACH transmission in RA procedure only when the PRACH transmission is CBRA rather than CFRA</w:t>
      </w:r>
      <w:r w:rsidR="00945D98" w:rsidRPr="006075AA">
        <w:rPr>
          <w:rFonts w:eastAsia="DengXian"/>
          <w:lang w:eastAsia="zh-CN"/>
        </w:rPr>
        <w:t xml:space="preserve"> </w:t>
      </w:r>
      <w:r w:rsidR="004A0EE6">
        <w:rPr>
          <w:rFonts w:eastAsia="DengXian"/>
          <w:lang w:eastAsia="zh-CN"/>
        </w:rPr>
        <w:t>(</w:t>
      </w:r>
      <w:r w:rsidR="006075AA" w:rsidRPr="006075AA">
        <w:rPr>
          <w:rFonts w:eastAsia="DengXian"/>
          <w:lang w:eastAsia="zh-CN"/>
        </w:rPr>
        <w:t xml:space="preserve">in previous meeting, </w:t>
      </w:r>
      <w:r w:rsidR="006075AA" w:rsidRPr="006075AA">
        <w:rPr>
          <w:rFonts w:eastAsia="DengXian" w:hint="eastAsia"/>
          <w:lang w:eastAsia="zh-CN"/>
        </w:rPr>
        <w:t>it was concluded PDCCH order PRACH to UL TRP is CFRA</w:t>
      </w:r>
      <w:r w:rsidR="006075AA" w:rsidRPr="006075AA">
        <w:rPr>
          <w:rFonts w:eastAsia="DengXian"/>
          <w:lang w:eastAsia="zh-CN"/>
        </w:rPr>
        <w:t>)</w:t>
      </w:r>
      <w:r w:rsidR="00945D98" w:rsidRPr="006075AA">
        <w:rPr>
          <w:rFonts w:eastAsia="DengXian"/>
          <w:lang w:eastAsia="zh-CN"/>
        </w:rPr>
        <w:t xml:space="preserve">, but </w:t>
      </w:r>
      <w:r w:rsidR="007F2C5D">
        <w:rPr>
          <w:rFonts w:eastAsia="DengXian"/>
          <w:lang w:eastAsia="zh-CN"/>
        </w:rPr>
        <w:t xml:space="preserve">it </w:t>
      </w:r>
      <w:r w:rsidR="00945D98" w:rsidRPr="006075AA">
        <w:rPr>
          <w:rFonts w:eastAsia="DengXian"/>
          <w:lang w:eastAsia="zh-CN"/>
        </w:rPr>
        <w:t xml:space="preserve">is not clear </w:t>
      </w:r>
      <w:r w:rsidR="007F2C5D">
        <w:rPr>
          <w:rFonts w:eastAsia="DengXian"/>
          <w:lang w:eastAsia="zh-CN"/>
        </w:rPr>
        <w:t xml:space="preserve">that </w:t>
      </w:r>
      <w:r w:rsidR="00964070" w:rsidRPr="006075AA">
        <w:rPr>
          <w:rFonts w:eastAsia="Malgun Gothic"/>
          <w:lang w:val="en-CA" w:eastAsia="ko-KR"/>
        </w:rPr>
        <w:t>the spec. ha</w:t>
      </w:r>
      <w:r w:rsidR="007F2C5D">
        <w:rPr>
          <w:rFonts w:eastAsia="Malgun Gothic"/>
          <w:lang w:val="en-CA" w:eastAsia="ko-KR"/>
        </w:rPr>
        <w:t>s</w:t>
      </w:r>
      <w:r w:rsidR="00964070" w:rsidRPr="006075AA">
        <w:rPr>
          <w:rFonts w:eastAsia="Malgun Gothic"/>
          <w:lang w:val="en-CA" w:eastAsia="ko-KR"/>
        </w:rPr>
        <w:t xml:space="preserve"> such restriction </w:t>
      </w:r>
      <w:r>
        <w:rPr>
          <w:rFonts w:eastAsia="Malgun Gothic"/>
          <w:lang w:val="en-CA" w:eastAsia="ko-KR"/>
        </w:rPr>
        <w:t xml:space="preserve">in </w:t>
      </w:r>
      <w:r w:rsidR="00161133">
        <w:rPr>
          <w:rFonts w:hint="eastAsia"/>
          <w:lang w:val="en-CA" w:eastAsia="ja-JP"/>
        </w:rPr>
        <w:t>TS</w:t>
      </w:r>
      <w:r w:rsidR="00964070" w:rsidRPr="006075AA">
        <w:rPr>
          <w:rFonts w:eastAsia="Malgun Gothic"/>
          <w:lang w:val="en-CA" w:eastAsia="ko-KR"/>
        </w:rPr>
        <w:t>38.213</w:t>
      </w:r>
      <w:r>
        <w:rPr>
          <w:rFonts w:eastAsia="Malgun Gothic"/>
          <w:lang w:val="en-CA" w:eastAsia="ko-KR"/>
        </w:rPr>
        <w:t xml:space="preserve">. </w:t>
      </w:r>
    </w:p>
    <w:p w14:paraId="68A9E740" w14:textId="0BD2920E" w:rsidR="002E3DBC" w:rsidRPr="00964070" w:rsidRDefault="008A2CDD" w:rsidP="0024558C">
      <w:pPr>
        <w:pStyle w:val="Observation"/>
        <w:rPr>
          <w:lang w:val="en-CA" w:eastAsia="zh-CN"/>
        </w:rPr>
      </w:pPr>
      <w:bookmarkStart w:id="4" w:name="_Hlk197688565"/>
      <w:r>
        <w:rPr>
          <w:rFonts w:eastAsia="Malgun Gothic"/>
          <w:bCs/>
          <w:lang w:val="en-CA" w:eastAsia="ko-KR"/>
        </w:rPr>
        <w:t xml:space="preserve">The CLPC is reset for both </w:t>
      </w:r>
      <w:r w:rsidR="007E31DB">
        <w:rPr>
          <w:rFonts w:eastAsia="Malgun Gothic"/>
          <w:bCs/>
          <w:lang w:val="en-CA" w:eastAsia="ko-KR"/>
        </w:rPr>
        <w:t>CBRA/</w:t>
      </w:r>
      <w:r>
        <w:rPr>
          <w:rFonts w:eastAsia="Malgun Gothic"/>
          <w:bCs/>
          <w:lang w:val="en-CA" w:eastAsia="ko-KR"/>
        </w:rPr>
        <w:t>CFRA</w:t>
      </w:r>
      <w:r w:rsidR="007E31DB">
        <w:rPr>
          <w:rFonts w:eastAsia="Malgun Gothic"/>
          <w:bCs/>
          <w:lang w:val="en-CA" w:eastAsia="ko-KR"/>
        </w:rPr>
        <w:t xml:space="preserve"> </w:t>
      </w:r>
      <w:r>
        <w:rPr>
          <w:rFonts w:eastAsia="Malgun Gothic"/>
          <w:bCs/>
          <w:lang w:val="en-CA" w:eastAsia="ko-KR"/>
        </w:rPr>
        <w:t>PRACH</w:t>
      </w:r>
      <w:r w:rsidR="007E31DB">
        <w:rPr>
          <w:rFonts w:eastAsia="Malgun Gothic"/>
          <w:bCs/>
          <w:lang w:val="en-CA" w:eastAsia="ko-KR"/>
        </w:rPr>
        <w:t xml:space="preserve">. </w:t>
      </w:r>
    </w:p>
    <w:bookmarkEnd w:id="4"/>
    <w:p w14:paraId="3FDABDA2" w14:textId="79721A58" w:rsidR="00DA29AD" w:rsidRDefault="00922F4D" w:rsidP="00DA29AD">
      <w:pPr>
        <w:jc w:val="both"/>
        <w:rPr>
          <w:lang w:eastAsia="zh-CN"/>
        </w:rPr>
      </w:pPr>
      <w:r w:rsidRPr="006D0DEC">
        <w:t xml:space="preserve">When the UE </w:t>
      </w:r>
      <w:r w:rsidRPr="006D0DEC">
        <w:rPr>
          <w:lang w:eastAsia="zh-CN"/>
        </w:rPr>
        <w:t xml:space="preserve">is configured with two TAGs and two </w:t>
      </w:r>
      <w:r>
        <w:rPr>
          <w:lang w:eastAsia="zh-CN"/>
        </w:rPr>
        <w:t>CLPC</w:t>
      </w:r>
      <w:r w:rsidRPr="006D0DEC">
        <w:rPr>
          <w:lang w:eastAsia="zh-CN"/>
        </w:rPr>
        <w:t xml:space="preserve"> adjustment states for PUCCH/PUSCH/SRS</w:t>
      </w:r>
      <w:r>
        <w:rPr>
          <w:lang w:eastAsia="zh-CN"/>
        </w:rPr>
        <w:t xml:space="preserve">, if </w:t>
      </w:r>
      <w:r w:rsidRPr="006D0DEC">
        <w:rPr>
          <w:rFonts w:eastAsia="DengXian"/>
          <w:lang w:eastAsia="zh-CN"/>
        </w:rPr>
        <w:t xml:space="preserve">the PDCCH-ordered PRACH </w:t>
      </w:r>
      <w:r>
        <w:rPr>
          <w:rFonts w:eastAsia="DengXian"/>
          <w:lang w:eastAsia="zh-CN"/>
        </w:rPr>
        <w:t>is</w:t>
      </w:r>
      <w:r w:rsidRPr="006D0DEC">
        <w:rPr>
          <w:rFonts w:eastAsia="DengXian"/>
          <w:lang w:eastAsia="zh-CN"/>
        </w:rPr>
        <w:t xml:space="preserve"> transmitted towards the downlink TRP </w:t>
      </w:r>
      <w:r w:rsidRPr="006D0DEC">
        <w:rPr>
          <w:rFonts w:eastAsia="DengXian"/>
          <w:lang w:val="en-CA" w:eastAsia="zh-CN"/>
        </w:rPr>
        <w:t xml:space="preserve">associated with </w:t>
      </w:r>
      <w:r>
        <w:rPr>
          <w:lang w:eastAsia="zh-CN"/>
        </w:rPr>
        <w:t>CLPC</w:t>
      </w:r>
      <w:r w:rsidRPr="006D0DEC">
        <w:rPr>
          <w:lang w:eastAsia="zh-CN"/>
        </w:rPr>
        <w:t xml:space="preserve"> adjustment state </w:t>
      </w:r>
      <w:r w:rsidRPr="006D0DEC">
        <w:rPr>
          <w:i/>
          <w:iCs/>
          <w:lang w:eastAsia="zh-CN"/>
        </w:rPr>
        <w:t xml:space="preserve">l </w:t>
      </w:r>
      <w:r w:rsidRPr="006D0DEC">
        <w:rPr>
          <w:lang w:eastAsia="zh-CN"/>
        </w:rPr>
        <w:t xml:space="preserve">= 1 </w:t>
      </w:r>
      <w:r w:rsidRPr="006D0DEC">
        <w:rPr>
          <w:rFonts w:eastAsia="DengXian"/>
          <w:lang w:eastAsia="zh-CN"/>
        </w:rPr>
        <w:t>or towards the uplink TRP</w:t>
      </w:r>
      <w:r w:rsidRPr="006D0DEC">
        <w:rPr>
          <w:rFonts w:eastAsia="DengXian"/>
          <w:lang w:val="en-CA" w:eastAsia="zh-CN"/>
        </w:rPr>
        <w:t xml:space="preserve"> associated with </w:t>
      </w:r>
      <w:r>
        <w:rPr>
          <w:lang w:eastAsia="zh-CN"/>
        </w:rPr>
        <w:t>CLPC</w:t>
      </w:r>
      <w:r w:rsidRPr="006D0DEC">
        <w:rPr>
          <w:lang w:eastAsia="zh-CN"/>
        </w:rPr>
        <w:t xml:space="preserve"> adjustment state </w:t>
      </w:r>
      <w:r w:rsidRPr="006D0DEC">
        <w:rPr>
          <w:i/>
          <w:iCs/>
          <w:lang w:eastAsia="zh-CN"/>
        </w:rPr>
        <w:t xml:space="preserve">l </w:t>
      </w:r>
      <w:r w:rsidRPr="006D0DEC">
        <w:rPr>
          <w:lang w:eastAsia="zh-CN"/>
        </w:rPr>
        <w:t>= 1</w:t>
      </w:r>
      <w:r>
        <w:rPr>
          <w:lang w:eastAsia="zh-CN"/>
        </w:rPr>
        <w:t xml:space="preserve">, </w:t>
      </w:r>
      <w:r w:rsidR="00DA29AD">
        <w:rPr>
          <w:rFonts w:hint="eastAsia"/>
          <w:lang w:eastAsia="zh-CN"/>
        </w:rPr>
        <w:t xml:space="preserve">the UE always resets the first closed loop power control adjustment state regardless of </w:t>
      </w:r>
      <w:r w:rsidR="00A126E8">
        <w:rPr>
          <w:lang w:eastAsia="zh-CN"/>
        </w:rPr>
        <w:t xml:space="preserve">whether </w:t>
      </w:r>
      <w:r w:rsidR="00DA29AD">
        <w:rPr>
          <w:rFonts w:hint="eastAsia"/>
          <w:lang w:eastAsia="zh-CN"/>
        </w:rPr>
        <w:t>PRACH is towards the first TRP or the second TRP</w:t>
      </w:r>
      <w:r w:rsidR="008710C7">
        <w:rPr>
          <w:lang w:eastAsia="zh-CN"/>
        </w:rPr>
        <w:t xml:space="preserve">, which is not correct </w:t>
      </w:r>
      <w:r w:rsidR="008710C7">
        <w:rPr>
          <w:rFonts w:hint="eastAsia"/>
          <w:lang w:eastAsia="zh-CN"/>
        </w:rPr>
        <w:t xml:space="preserve">if PRACH is towards the TRP that is using a closed loop index different from the first closed loop index </w:t>
      </w:r>
      <w:r w:rsidR="008710C7" w:rsidRPr="00820938">
        <w:rPr>
          <w:rFonts w:hint="eastAsia"/>
          <w:i/>
          <w:iCs/>
          <w:lang w:eastAsia="zh-CN"/>
        </w:rPr>
        <w:t xml:space="preserve">l </w:t>
      </w:r>
      <w:r w:rsidR="008710C7">
        <w:rPr>
          <w:rFonts w:hint="eastAsia"/>
          <w:lang w:eastAsia="zh-CN"/>
        </w:rPr>
        <w:t>= 0</w:t>
      </w:r>
      <w:r w:rsidR="00355D31">
        <w:rPr>
          <w:lang w:eastAsia="zh-CN"/>
        </w:rPr>
        <w:t xml:space="preserve">. </w:t>
      </w:r>
    </w:p>
    <w:p w14:paraId="7794A8AB" w14:textId="77777777" w:rsidR="00922F4D" w:rsidRDefault="00922F4D" w:rsidP="00A51929">
      <w:pPr>
        <w:rPr>
          <w:lang w:eastAsia="ko-KR"/>
        </w:rPr>
      </w:pPr>
      <w:r>
        <w:rPr>
          <w:rFonts w:hint="eastAsia"/>
          <w:lang w:eastAsia="zh-CN"/>
        </w:rPr>
        <w:t xml:space="preserve">To address this issue, the UE needs to determine whether to reset the first closed loop power control adjustment state </w:t>
      </w:r>
      <w:r w:rsidRPr="00AA7BEA">
        <w:rPr>
          <w:lang w:eastAsia="ko-KR"/>
        </w:rPr>
        <w:t>(</w:t>
      </w:r>
      <m:oMath>
        <m:r>
          <w:rPr>
            <w:rFonts w:ascii="Cambria Math" w:hAnsi="Cambria Math"/>
          </w:rPr>
          <m:t>l=0</m:t>
        </m:r>
      </m:oMath>
      <w:r w:rsidRPr="00AA7BEA">
        <w:rPr>
          <w:lang w:eastAsia="ko-KR"/>
        </w:rPr>
        <w:t>)</w:t>
      </w:r>
      <w:r w:rsidRPr="00AA7BEA">
        <w:rPr>
          <w:iCs/>
          <w:lang w:eastAsia="ko-KR"/>
        </w:rPr>
        <w:t xml:space="preserve"> or reset the second closed loop power control adjustment state </w:t>
      </w:r>
      <w:r w:rsidRPr="00AA7BEA">
        <w:rPr>
          <w:lang w:eastAsia="ko-KR"/>
        </w:rPr>
        <w:t>(</w:t>
      </w:r>
      <m:oMath>
        <m:r>
          <w:rPr>
            <w:rFonts w:ascii="Cambria Math" w:hAnsi="Cambria Math"/>
          </w:rPr>
          <m:t>l=1</m:t>
        </m:r>
      </m:oMath>
      <w:r w:rsidRPr="00AA7BEA">
        <w:rPr>
          <w:lang w:eastAsia="ko-KR"/>
        </w:rPr>
        <w:t>) based on whether the PRACH is toward the first TRP or the second TRP.</w:t>
      </w:r>
    </w:p>
    <w:p w14:paraId="56B81F0B" w14:textId="733150A7" w:rsidR="00A51929" w:rsidRDefault="008E52C6" w:rsidP="00A51929">
      <w:pPr>
        <w:rPr>
          <w:rFonts w:eastAsia="Times New Roman"/>
          <w:lang w:bidi="ar"/>
        </w:rPr>
      </w:pPr>
      <w:r>
        <w:rPr>
          <w:lang w:eastAsia="ko-KR"/>
        </w:rPr>
        <w:t>On one hand, this issue seems to be a valid issue. But</w:t>
      </w:r>
      <w:r w:rsidR="00800E89">
        <w:rPr>
          <w:lang w:eastAsia="ko-KR"/>
        </w:rPr>
        <w:t xml:space="preserve"> on the other hand,</w:t>
      </w:r>
      <w:r>
        <w:rPr>
          <w:lang w:eastAsia="ko-KR"/>
        </w:rPr>
        <w:t xml:space="preserve"> it seems that it was discussed </w:t>
      </w:r>
      <w:r>
        <w:rPr>
          <w:rFonts w:eastAsia="DengXian" w:hint="eastAsia"/>
          <w:lang w:eastAsia="zh-CN"/>
        </w:rPr>
        <w:t>in Rel-18 two TA</w:t>
      </w:r>
      <w:r w:rsidR="00F14FEE">
        <w:rPr>
          <w:rFonts w:eastAsia="DengXian"/>
          <w:lang w:eastAsia="zh-CN"/>
        </w:rPr>
        <w:t xml:space="preserve"> agenda item</w:t>
      </w:r>
      <w:r>
        <w:rPr>
          <w:rFonts w:eastAsia="DengXian" w:hint="eastAsia"/>
          <w:lang w:eastAsia="zh-CN"/>
        </w:rPr>
        <w:t xml:space="preserve"> but</w:t>
      </w:r>
      <w:r w:rsidR="002770C6">
        <w:rPr>
          <w:rFonts w:eastAsia="DengXian"/>
          <w:lang w:eastAsia="zh-CN"/>
        </w:rPr>
        <w:t xml:space="preserve"> no </w:t>
      </w:r>
      <w:r>
        <w:rPr>
          <w:rFonts w:eastAsia="DengXian" w:hint="eastAsia"/>
          <w:lang w:eastAsia="zh-CN"/>
        </w:rPr>
        <w:t>enhancemen</w:t>
      </w:r>
      <w:r w:rsidR="00CD5D59">
        <w:rPr>
          <w:rFonts w:eastAsia="DengXian"/>
          <w:lang w:eastAsia="zh-CN"/>
        </w:rPr>
        <w:t>t</w:t>
      </w:r>
      <w:r w:rsidR="002770C6">
        <w:rPr>
          <w:rFonts w:eastAsia="DengXian"/>
          <w:lang w:eastAsia="zh-CN"/>
        </w:rPr>
        <w:t xml:space="preserve"> was agreed,</w:t>
      </w:r>
      <w:r w:rsidR="00CD5D59">
        <w:rPr>
          <w:rFonts w:eastAsia="DengXian"/>
          <w:lang w:eastAsia="zh-CN"/>
        </w:rPr>
        <w:t xml:space="preserve"> and hence </w:t>
      </w:r>
      <w:r w:rsidR="002770C6">
        <w:rPr>
          <w:rFonts w:eastAsia="DengXian"/>
          <w:lang w:eastAsia="zh-CN"/>
        </w:rPr>
        <w:t xml:space="preserve">it is </w:t>
      </w:r>
      <w:r w:rsidR="00CD5D59">
        <w:rPr>
          <w:rFonts w:eastAsia="DengXian"/>
          <w:lang w:eastAsia="zh-CN"/>
        </w:rPr>
        <w:t xml:space="preserve">out of </w:t>
      </w:r>
      <w:r w:rsidR="00CD5D59" w:rsidRPr="001A2C39">
        <w:rPr>
          <w:rFonts w:eastAsia="DengXian"/>
          <w:lang w:eastAsia="zh-CN"/>
        </w:rPr>
        <w:t xml:space="preserve">scope (WID: </w:t>
      </w:r>
      <w:r w:rsidR="00CD5D59" w:rsidRPr="001A2C39">
        <w:rPr>
          <w:rFonts w:eastAsia="SimSun"/>
          <w:lang w:eastAsia="zh-CN" w:bidi="ar"/>
        </w:rPr>
        <w:t>“</w:t>
      </w:r>
      <w:r w:rsidR="00CD5D59" w:rsidRPr="001A2C39">
        <w:rPr>
          <w:rFonts w:eastAsia="Times New Roman"/>
          <w:i/>
          <w:iCs/>
          <w:lang w:bidi="ar"/>
        </w:rPr>
        <w:t>Two TAs through reusing Rel-18 specification of two T</w:t>
      </w:r>
      <w:r w:rsidR="001A2C39">
        <w:rPr>
          <w:rFonts w:eastAsia="Times New Roman"/>
          <w:i/>
          <w:iCs/>
          <w:lang w:bidi="ar"/>
        </w:rPr>
        <w:t>A</w:t>
      </w:r>
      <w:r w:rsidR="00CD5D59" w:rsidRPr="001A2C39">
        <w:rPr>
          <w:rFonts w:eastAsia="Times New Roman"/>
          <w:i/>
          <w:iCs/>
          <w:lang w:bidi="ar"/>
        </w:rPr>
        <w:t>s</w:t>
      </w:r>
      <w:r w:rsidR="001A2C39">
        <w:rPr>
          <w:rFonts w:eastAsia="Times New Roman"/>
          <w:i/>
          <w:iCs/>
          <w:lang w:bidi="ar"/>
        </w:rPr>
        <w:t>).</w:t>
      </w:r>
    </w:p>
    <w:p w14:paraId="1F359AB4" w14:textId="64F8465C" w:rsidR="00BD1665" w:rsidRDefault="00BD1665" w:rsidP="00BD1665">
      <w:pPr>
        <w:jc w:val="both"/>
        <w:rPr>
          <w:lang w:eastAsia="zh-CN"/>
        </w:rPr>
      </w:pPr>
      <w:r>
        <w:rPr>
          <w:rFonts w:eastAsia="Times New Roman"/>
          <w:lang w:bidi="ar"/>
        </w:rPr>
        <w:lastRenderedPageBreak/>
        <w:t xml:space="preserve">The following example was given in Qualcomm’s </w:t>
      </w:r>
      <w:proofErr w:type="spellStart"/>
      <w:r>
        <w:rPr>
          <w:rFonts w:eastAsia="Times New Roman"/>
          <w:lang w:bidi="ar"/>
        </w:rPr>
        <w:t>tdoc</w:t>
      </w:r>
      <w:proofErr w:type="spellEnd"/>
      <w:r>
        <w:rPr>
          <w:rFonts w:eastAsia="Times New Roman"/>
          <w:lang w:bidi="ar"/>
        </w:rPr>
        <w:t xml:space="preserve"> (#</w:t>
      </w:r>
      <w:r w:rsidR="0007772A" w:rsidRPr="0007772A">
        <w:rPr>
          <w:rFonts w:eastAsia="Times New Roman"/>
          <w:lang w:bidi="ar"/>
        </w:rPr>
        <w:t>R1-2502835</w:t>
      </w:r>
      <w:r>
        <w:rPr>
          <w:rFonts w:eastAsia="Times New Roman"/>
          <w:lang w:bidi="ar"/>
        </w:rPr>
        <w:t>).</w:t>
      </w:r>
      <w:r>
        <w:rPr>
          <w:lang w:eastAsia="zh-CN"/>
        </w:rPr>
        <w:t xml:space="preserve"> Assuming </w:t>
      </w:r>
      <w:r>
        <w:rPr>
          <w:rFonts w:hint="eastAsia"/>
          <w:lang w:eastAsia="zh-CN"/>
        </w:rPr>
        <w:t xml:space="preserve">the first closed loop power control adjustment state </w:t>
      </w:r>
      <w:r w:rsidRPr="00820938">
        <w:rPr>
          <w:rFonts w:hint="eastAsia"/>
          <w:i/>
          <w:iCs/>
          <w:lang w:eastAsia="zh-CN"/>
        </w:rPr>
        <w:t xml:space="preserve">l </w:t>
      </w:r>
      <w:r>
        <w:rPr>
          <w:rFonts w:hint="eastAsia"/>
          <w:lang w:eastAsia="zh-CN"/>
        </w:rPr>
        <w:t xml:space="preserve">= 0 is used for UL TRP, the second closed loop power control adjustment state </w:t>
      </w:r>
      <w:r w:rsidRPr="00820938">
        <w:rPr>
          <w:rFonts w:hint="eastAsia"/>
          <w:i/>
          <w:iCs/>
          <w:lang w:eastAsia="zh-CN"/>
        </w:rPr>
        <w:t xml:space="preserve">l </w:t>
      </w:r>
      <w:r>
        <w:rPr>
          <w:rFonts w:hint="eastAsia"/>
          <w:lang w:eastAsia="zh-CN"/>
        </w:rPr>
        <w:t xml:space="preserve">= 1  is used for DL TRP. Based on the current specification, if the UE transmits PRACH to DL TRP, the UE will reset the closed loop power control adjustment state for </w:t>
      </w:r>
      <w:r w:rsidRPr="00820938">
        <w:rPr>
          <w:rFonts w:hint="eastAsia"/>
          <w:i/>
          <w:iCs/>
          <w:lang w:eastAsia="zh-CN"/>
        </w:rPr>
        <w:t xml:space="preserve">l </w:t>
      </w:r>
      <w:r>
        <w:rPr>
          <w:rFonts w:hint="eastAsia"/>
          <w:lang w:eastAsia="zh-CN"/>
        </w:rPr>
        <w:t>= 0 which will lead to a</w:t>
      </w:r>
      <w:r>
        <w:rPr>
          <w:lang w:eastAsia="zh-CN"/>
        </w:rPr>
        <w:t>n</w:t>
      </w:r>
      <w:r>
        <w:rPr>
          <w:rFonts w:hint="eastAsia"/>
          <w:lang w:eastAsia="zh-CN"/>
        </w:rPr>
        <w:t xml:space="preserve"> incorrectly closed loop power control reset for UL transmissions to the UL TRP.</w:t>
      </w:r>
    </w:p>
    <w:p w14:paraId="667C9DE4" w14:textId="77777777" w:rsidR="00BD1665" w:rsidRDefault="00BD1665" w:rsidP="00BD1665">
      <w:pPr>
        <w:jc w:val="center"/>
        <w:rPr>
          <w:lang w:eastAsia="zh-CN"/>
        </w:rPr>
      </w:pPr>
      <w:r>
        <w:rPr>
          <w:noProof/>
          <w:lang w:eastAsia="zh-CN"/>
        </w:rPr>
        <w:drawing>
          <wp:inline distT="0" distB="0" distL="0" distR="0" wp14:anchorId="1305CE9A" wp14:editId="592FF320">
            <wp:extent cx="2021486" cy="1466385"/>
            <wp:effectExtent l="0" t="0" r="0" b="0"/>
            <wp:docPr id="174097583" name="Picture 2"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7583" name="Picture 2" descr="A diagram of a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55741" cy="1491233"/>
                    </a:xfrm>
                    <a:prstGeom prst="rect">
                      <a:avLst/>
                    </a:prstGeom>
                    <a:noFill/>
                  </pic:spPr>
                </pic:pic>
              </a:graphicData>
            </a:graphic>
          </wp:inline>
        </w:drawing>
      </w:r>
    </w:p>
    <w:p w14:paraId="715C8020" w14:textId="62EDD666" w:rsidR="00FB6961" w:rsidRPr="00F35143" w:rsidRDefault="00FB6961" w:rsidP="00A51929">
      <w:pPr>
        <w:rPr>
          <w:lang w:eastAsia="ko-KR"/>
        </w:rPr>
      </w:pPr>
      <w:r>
        <w:rPr>
          <w:lang w:eastAsia="ko-KR"/>
        </w:rPr>
        <w:t xml:space="preserve">However, this issue also exists in legacy and is not specific to UL-only TRP deployment scenarios. </w:t>
      </w:r>
      <w:r w:rsidR="002808D4">
        <w:rPr>
          <w:lang w:eastAsia="ko-KR"/>
        </w:rPr>
        <w:t xml:space="preserve">This agenda item </w:t>
      </w:r>
      <w:r w:rsidR="001F08A8">
        <w:rPr>
          <w:lang w:eastAsia="ko-KR"/>
        </w:rPr>
        <w:t>would not be the right</w:t>
      </w:r>
      <w:r w:rsidR="002808D4">
        <w:rPr>
          <w:lang w:eastAsia="ko-KR"/>
        </w:rPr>
        <w:t xml:space="preserve"> place to fix this issue.</w:t>
      </w:r>
    </w:p>
    <w:p w14:paraId="1B722713" w14:textId="46441E57" w:rsidR="00AD0866" w:rsidRPr="00AD0866" w:rsidRDefault="00F35143" w:rsidP="00F35143">
      <w:pPr>
        <w:pStyle w:val="Observation"/>
        <w:rPr>
          <w:lang w:eastAsia="ko-KR"/>
        </w:rPr>
      </w:pPr>
      <w:r>
        <w:rPr>
          <w:lang w:eastAsia="ko-KR"/>
        </w:rPr>
        <w:t xml:space="preserve">The issue of resetting the wrong </w:t>
      </w:r>
      <w:r w:rsidR="002808D4">
        <w:rPr>
          <w:lang w:eastAsia="ko-KR"/>
        </w:rPr>
        <w:t xml:space="preserve">CLPC is valid however is out of scope regarding agenda item 9.2.4. </w:t>
      </w:r>
    </w:p>
    <w:p w14:paraId="172D6ECE" w14:textId="77777777" w:rsidR="002E2FAF" w:rsidRDefault="002E2FAF">
      <w:pPr>
        <w:pStyle w:val="Heading1"/>
        <w:ind w:left="0" w:firstLine="0"/>
      </w:pPr>
      <w:r>
        <w:rPr>
          <w:rFonts w:hint="eastAsia"/>
        </w:rPr>
        <w:t>Conclusions</w:t>
      </w:r>
    </w:p>
    <w:p w14:paraId="28CDCE68" w14:textId="45FD924D" w:rsidR="00F23536" w:rsidRDefault="00C73C41" w:rsidP="00360832">
      <w:pPr>
        <w:pStyle w:val="CommentText"/>
        <w:rPr>
          <w:rFonts w:ascii="Arial" w:hAnsi="Arial" w:cs="Arial"/>
        </w:rPr>
      </w:pPr>
      <w:r>
        <w:rPr>
          <w:rFonts w:ascii="Arial" w:hAnsi="Arial" w:cs="Arial"/>
        </w:rPr>
        <w:t>Based on the discussion above, we propose the following:</w:t>
      </w:r>
    </w:p>
    <w:p w14:paraId="0EAB2590" w14:textId="73FA9ABA" w:rsidR="001F08A8" w:rsidRPr="001F08A8" w:rsidRDefault="001F08A8" w:rsidP="001F08A8">
      <w:pPr>
        <w:pStyle w:val="Proposal"/>
        <w:numPr>
          <w:ilvl w:val="0"/>
          <w:numId w:val="36"/>
        </w:numPr>
      </w:pPr>
      <w:r w:rsidRPr="001F08A8">
        <w:rPr>
          <w:rFonts w:eastAsia="DengXian"/>
          <w:lang w:eastAsia="zh-CN"/>
        </w:rPr>
        <w:t xml:space="preserve">For the asymmetric DL </w:t>
      </w:r>
      <w:proofErr w:type="spellStart"/>
      <w:r w:rsidRPr="001F08A8">
        <w:rPr>
          <w:rFonts w:eastAsia="DengXian"/>
          <w:lang w:eastAsia="zh-CN"/>
        </w:rPr>
        <w:t>sTRP</w:t>
      </w:r>
      <w:proofErr w:type="spellEnd"/>
      <w:r w:rsidRPr="001F08A8">
        <w:rPr>
          <w:rFonts w:eastAsia="DengXian"/>
          <w:lang w:eastAsia="zh-CN"/>
        </w:rPr>
        <w:t xml:space="preserve">/UL </w:t>
      </w:r>
      <w:proofErr w:type="spellStart"/>
      <w:r w:rsidRPr="001F08A8">
        <w:rPr>
          <w:rFonts w:eastAsia="DengXian"/>
          <w:lang w:eastAsia="zh-CN"/>
        </w:rPr>
        <w:t>mTRP</w:t>
      </w:r>
      <w:proofErr w:type="spellEnd"/>
      <w:r w:rsidRPr="001F08A8">
        <w:rPr>
          <w:rFonts w:eastAsia="DengXian"/>
          <w:lang w:eastAsia="zh-CN"/>
        </w:rPr>
        <w:t xml:space="preserve"> scenarios, support to include PL offset in the calculation of </w:t>
      </w:r>
      <w:r w:rsidRPr="006A2BA0">
        <w:t>uplink transmission power calculation for PUSCH, PUCCH, and SRS.</w:t>
      </w:r>
    </w:p>
    <w:p w14:paraId="56CCCEF7" w14:textId="77777777" w:rsidR="001F08A8" w:rsidRDefault="001F08A8" w:rsidP="001F08A8">
      <w:pPr>
        <w:pStyle w:val="Proposal"/>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w:t>
      </w:r>
      <w:r>
        <w:rPr>
          <w:rFonts w:eastAsia="DengXian"/>
          <w:sz w:val="18"/>
          <w:szCs w:val="18"/>
          <w:lang w:eastAsia="zh-CN"/>
        </w:rPr>
        <w:t xml:space="preserve"> support to include the PL offset in the triggering of the power headroom reporting. </w:t>
      </w:r>
    </w:p>
    <w:p w14:paraId="731F351C" w14:textId="77777777" w:rsidR="001F08A8" w:rsidRPr="00562FFC" w:rsidRDefault="001F08A8" w:rsidP="001F08A8">
      <w:pPr>
        <w:pStyle w:val="Proposal"/>
      </w:pPr>
      <w:r>
        <w:t xml:space="preserve">Send an LS to RAN2 to </w:t>
      </w:r>
      <w:r w:rsidRPr="009C14B7">
        <w:t xml:space="preserve">RAN2 to </w:t>
      </w:r>
      <w:r>
        <w:t>inform them about</w:t>
      </w:r>
      <w:r w:rsidRPr="009C14B7">
        <w:t xml:space="preserve"> includ</w:t>
      </w:r>
      <w:r>
        <w:t>ing</w:t>
      </w:r>
      <w:r w:rsidRPr="009C14B7">
        <w:t xml:space="preserve"> the PL offset in the triggering of the power headroom reporting.</w:t>
      </w:r>
    </w:p>
    <w:p w14:paraId="740976D5" w14:textId="77777777" w:rsidR="001F08A8" w:rsidRDefault="001F08A8" w:rsidP="001F08A8">
      <w:pPr>
        <w:pStyle w:val="Observation"/>
        <w:numPr>
          <w:ilvl w:val="0"/>
          <w:numId w:val="37"/>
        </w:numPr>
      </w:pPr>
      <w:r>
        <w:t xml:space="preserve">  The quantity “PL</w:t>
      </w:r>
      <w:r w:rsidRPr="001F08A8">
        <w:rPr>
          <w:vertAlign w:val="subscript"/>
        </w:rPr>
        <w:t xml:space="preserve">DL </w:t>
      </w:r>
      <w:r>
        <w:t>- as ΔPL (dB)” only represents uplink pathloss when the NW is updating the pathloss offset at the same time scale as the downlink pathloss variation</w:t>
      </w:r>
    </w:p>
    <w:p w14:paraId="44E561D7" w14:textId="77777777" w:rsidR="001F08A8" w:rsidRDefault="001F08A8" w:rsidP="001F08A8">
      <w:pPr>
        <w:pStyle w:val="Proposal"/>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w:t>
      </w:r>
      <w:r>
        <w:rPr>
          <w:rFonts w:eastAsia="DengXian"/>
          <w:sz w:val="18"/>
          <w:szCs w:val="18"/>
          <w:lang w:eastAsia="zh-CN"/>
        </w:rPr>
        <w:t xml:space="preserve"> support the triggering of the UE by the NW to report power headroom. </w:t>
      </w:r>
    </w:p>
    <w:p w14:paraId="2CA6474F" w14:textId="77777777" w:rsidR="001F08A8" w:rsidRPr="00DA6145" w:rsidRDefault="001F08A8" w:rsidP="001F08A8">
      <w:pPr>
        <w:pStyle w:val="Proposal"/>
        <w:rPr>
          <w:lang w:eastAsia="ko-KR"/>
        </w:rPr>
      </w:pPr>
      <w:r>
        <w:rPr>
          <w:lang w:eastAsia="ko-KR"/>
        </w:rPr>
        <w:t xml:space="preserve">Do not support any enhancement on the legacy TCI framework </w:t>
      </w:r>
      <w:r w:rsidRPr="00DA6145">
        <w:rPr>
          <w:lang w:eastAsia="ko-KR"/>
        </w:rPr>
        <w:t xml:space="preserve">for asymmetric UL </w:t>
      </w:r>
      <w:proofErr w:type="spellStart"/>
      <w:r w:rsidRPr="00DA6145">
        <w:rPr>
          <w:lang w:eastAsia="ko-KR"/>
        </w:rPr>
        <w:t>mTRP</w:t>
      </w:r>
      <w:proofErr w:type="spellEnd"/>
      <w:r>
        <w:rPr>
          <w:lang w:eastAsia="ko-KR"/>
        </w:rPr>
        <w:t xml:space="preserve"> scenario.</w:t>
      </w:r>
    </w:p>
    <w:p w14:paraId="0198DCCE" w14:textId="77777777" w:rsidR="001F08A8" w:rsidRDefault="001F08A8" w:rsidP="001F08A8">
      <w:pPr>
        <w:pStyle w:val="Proposal"/>
        <w:rPr>
          <w:lang w:eastAsia="ko-KR"/>
        </w:rPr>
      </w:pPr>
      <w:r>
        <w:rPr>
          <w:lang w:eastAsia="ko-KR"/>
        </w:rPr>
        <w:t xml:space="preserve">Do not support </w:t>
      </w:r>
      <w:r w:rsidRPr="008443CB">
        <w:rPr>
          <w:rFonts w:eastAsia="DengXian"/>
        </w:rPr>
        <w:t>including SRS resource as one MPE measurement RS resource for beam specific MPE report and wait for input from RAN4</w:t>
      </w:r>
      <w:r>
        <w:rPr>
          <w:rFonts w:eastAsia="DengXian"/>
        </w:rPr>
        <w:t xml:space="preserve"> on this matter</w:t>
      </w:r>
      <w:r w:rsidRPr="008443CB">
        <w:rPr>
          <w:rFonts w:eastAsia="DengXian"/>
        </w:rPr>
        <w:t>.</w:t>
      </w:r>
    </w:p>
    <w:p w14:paraId="15C3B500" w14:textId="77777777" w:rsidR="008C3C07" w:rsidRPr="00964070" w:rsidRDefault="008C3C07" w:rsidP="008C3C07">
      <w:pPr>
        <w:pStyle w:val="Observation"/>
        <w:rPr>
          <w:lang w:val="en-CA" w:eastAsia="zh-CN"/>
        </w:rPr>
      </w:pPr>
      <w:r>
        <w:rPr>
          <w:rFonts w:eastAsia="Malgun Gothic"/>
          <w:bCs/>
          <w:lang w:val="en-CA" w:eastAsia="ko-KR"/>
        </w:rPr>
        <w:t xml:space="preserve">The CLPC is reset for both CBRA/CFRA PRACH. </w:t>
      </w:r>
    </w:p>
    <w:p w14:paraId="1217015F" w14:textId="0C912AF6" w:rsidR="001F08A8" w:rsidRPr="00B60FF4" w:rsidRDefault="008C3C07" w:rsidP="00360832">
      <w:pPr>
        <w:pStyle w:val="Observation"/>
        <w:rPr>
          <w:lang w:eastAsia="ko-KR"/>
        </w:rPr>
      </w:pPr>
      <w:r>
        <w:rPr>
          <w:lang w:eastAsia="ko-KR"/>
        </w:rPr>
        <w:t xml:space="preserve">The issue of resetting the wrong CLPC is valid however is out of scope regarding agenda item 9.2.4. </w:t>
      </w:r>
    </w:p>
    <w:p w14:paraId="436B54DA" w14:textId="77777777" w:rsidR="002E2FAF" w:rsidRDefault="002E2FAF">
      <w:pPr>
        <w:pStyle w:val="Heading1"/>
        <w:rPr>
          <w:rFonts w:cs="Arial"/>
        </w:rPr>
      </w:pPr>
      <w:r>
        <w:rPr>
          <w:rFonts w:cs="Arial" w:hint="eastAsia"/>
        </w:rPr>
        <w:t>References</w:t>
      </w:r>
    </w:p>
    <w:p w14:paraId="41D72EF1" w14:textId="246AF7DF" w:rsidR="003975AD" w:rsidRDefault="002E2FAF" w:rsidP="00F61656">
      <w:pPr>
        <w:pStyle w:val="Reference"/>
        <w:numPr>
          <w:ilvl w:val="0"/>
          <w:numId w:val="0"/>
        </w:numPr>
        <w:ind w:left="567" w:hanging="567"/>
      </w:pPr>
      <w:r>
        <w:t>[</w:t>
      </w:r>
      <w:fldSimple w:instr=" SEQ test \* Arabic \* MERGEFORMAT ">
        <w:r w:rsidR="00D90795">
          <w:rPr>
            <w:noProof/>
          </w:rPr>
          <w:t>1</w:t>
        </w:r>
      </w:fldSimple>
      <w:r>
        <w:t>]</w:t>
      </w:r>
      <w:r>
        <w:tab/>
      </w:r>
      <w:r>
        <w:tab/>
      </w:r>
      <w:bookmarkStart w:id="5" w:name="_Ref31185007"/>
      <w:bookmarkStart w:id="6" w:name="_Ref174151459"/>
      <w:bookmarkStart w:id="7"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5"/>
      <w:r w:rsidR="005840BD">
        <w:t>3</w:t>
      </w:r>
      <w:r w:rsidR="001B68D3" w:rsidRPr="00B25BEA">
        <w:t xml:space="preserve"> </w:t>
      </w:r>
      <w:bookmarkEnd w:id="6"/>
      <w:bookmarkEnd w:id="7"/>
    </w:p>
    <w:p w14:paraId="6404460B" w14:textId="24811378" w:rsidR="00736B05" w:rsidRPr="007564F0" w:rsidRDefault="00CF2734" w:rsidP="007564F0">
      <w:pPr>
        <w:pStyle w:val="Reference"/>
        <w:numPr>
          <w:ilvl w:val="0"/>
          <w:numId w:val="0"/>
        </w:numPr>
        <w:ind w:left="567" w:hanging="567"/>
        <w:rPr>
          <w:lang w:val="en-GB"/>
        </w:rPr>
      </w:pPr>
      <w:r w:rsidRPr="00CF2734">
        <w:rPr>
          <w:lang w:val="en-GB"/>
        </w:rPr>
        <w:t>[</w:t>
      </w:r>
      <w:r>
        <w:rPr>
          <w:lang w:val="en-GB"/>
        </w:rPr>
        <w:t>2</w:t>
      </w:r>
      <w:r w:rsidRPr="00CF2734">
        <w:rPr>
          <w:lang w:val="en-GB"/>
        </w:rPr>
        <w:t>]</w:t>
      </w:r>
      <w:r w:rsidRPr="00CF2734">
        <w:rPr>
          <w:lang w:val="en-GB"/>
        </w:rPr>
        <w:tab/>
        <w:t>RP-242394, WID revision: NR MIMO Phase 5, RAN#105.</w:t>
      </w:r>
    </w:p>
    <w:sectPr w:rsidR="00736B05" w:rsidRPr="007564F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9C041" w14:textId="77777777" w:rsidR="008913F0" w:rsidRDefault="008913F0">
      <w:r>
        <w:separator/>
      </w:r>
    </w:p>
  </w:endnote>
  <w:endnote w:type="continuationSeparator" w:id="0">
    <w:p w14:paraId="65B8E381" w14:textId="77777777" w:rsidR="008913F0" w:rsidRDefault="008913F0">
      <w:r>
        <w:continuationSeparator/>
      </w:r>
    </w:p>
  </w:endnote>
  <w:endnote w:type="continuationNotice" w:id="1">
    <w:p w14:paraId="78763029" w14:textId="77777777" w:rsidR="008913F0" w:rsidRDefault="00891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83169" w14:textId="77777777" w:rsidR="008913F0" w:rsidRDefault="008913F0">
      <w:r>
        <w:separator/>
      </w:r>
    </w:p>
  </w:footnote>
  <w:footnote w:type="continuationSeparator" w:id="0">
    <w:p w14:paraId="0C3E5054" w14:textId="77777777" w:rsidR="008913F0" w:rsidRDefault="008913F0">
      <w:r>
        <w:continuationSeparator/>
      </w:r>
    </w:p>
  </w:footnote>
  <w:footnote w:type="continuationNotice" w:id="1">
    <w:p w14:paraId="0503D69E" w14:textId="77777777" w:rsidR="008913F0" w:rsidRDefault="008913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F15C3"/>
    <w:multiLevelType w:val="hybridMultilevel"/>
    <w:tmpl w:val="39CC9A48"/>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EE0212"/>
    <w:multiLevelType w:val="hybridMultilevel"/>
    <w:tmpl w:val="3A423EE8"/>
    <w:lvl w:ilvl="0" w:tplc="7DC21C16">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3731172C"/>
    <w:multiLevelType w:val="multilevel"/>
    <w:tmpl w:val="37311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750BD9"/>
    <w:multiLevelType w:val="hybridMultilevel"/>
    <w:tmpl w:val="5D7279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5838DB44"/>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1887"/>
        </w:tabs>
        <w:ind w:left="1887" w:hanging="360"/>
      </w:pPr>
    </w:lvl>
    <w:lvl w:ilvl="4" w:tplc="04090001">
      <w:start w:val="1"/>
      <w:numFmt w:val="bullet"/>
      <w:lvlText w:val=""/>
      <w:lvlJc w:val="left"/>
      <w:pPr>
        <w:ind w:left="720" w:hanging="360"/>
      </w:pPr>
      <w:rPr>
        <w:rFonts w:ascii="Symbol" w:hAnsi="Symbol" w:hint="default"/>
      </w:rPr>
    </w:lvl>
    <w:lvl w:ilvl="5" w:tplc="0409001B">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F1B22D6"/>
    <w:multiLevelType w:val="hybridMultilevel"/>
    <w:tmpl w:val="45460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4A6398"/>
    <w:multiLevelType w:val="hybridMultilevel"/>
    <w:tmpl w:val="005C467E"/>
    <w:lvl w:ilvl="0" w:tplc="04090001">
      <w:start w:val="1"/>
      <w:numFmt w:val="bullet"/>
      <w:lvlText w:val=""/>
      <w:lvlJc w:val="left"/>
      <w:pPr>
        <w:ind w:left="2542" w:hanging="360"/>
      </w:pPr>
      <w:rPr>
        <w:rFonts w:ascii="Symbol" w:hAnsi="Symbol" w:hint="default"/>
      </w:rPr>
    </w:lvl>
    <w:lvl w:ilvl="1" w:tplc="04090003" w:tentative="1">
      <w:start w:val="1"/>
      <w:numFmt w:val="bullet"/>
      <w:lvlText w:val="o"/>
      <w:lvlJc w:val="left"/>
      <w:pPr>
        <w:ind w:left="3262" w:hanging="360"/>
      </w:pPr>
      <w:rPr>
        <w:rFonts w:ascii="Courier New" w:hAnsi="Courier New" w:cs="Courier New" w:hint="default"/>
      </w:rPr>
    </w:lvl>
    <w:lvl w:ilvl="2" w:tplc="04090005" w:tentative="1">
      <w:start w:val="1"/>
      <w:numFmt w:val="bullet"/>
      <w:lvlText w:val=""/>
      <w:lvlJc w:val="left"/>
      <w:pPr>
        <w:ind w:left="3982" w:hanging="360"/>
      </w:pPr>
      <w:rPr>
        <w:rFonts w:ascii="Wingdings" w:hAnsi="Wingdings" w:hint="default"/>
      </w:rPr>
    </w:lvl>
    <w:lvl w:ilvl="3" w:tplc="04090001" w:tentative="1">
      <w:start w:val="1"/>
      <w:numFmt w:val="bullet"/>
      <w:lvlText w:val=""/>
      <w:lvlJc w:val="left"/>
      <w:pPr>
        <w:ind w:left="4702" w:hanging="360"/>
      </w:pPr>
      <w:rPr>
        <w:rFonts w:ascii="Symbol" w:hAnsi="Symbol" w:hint="default"/>
      </w:rPr>
    </w:lvl>
    <w:lvl w:ilvl="4" w:tplc="04090003" w:tentative="1">
      <w:start w:val="1"/>
      <w:numFmt w:val="bullet"/>
      <w:lvlText w:val="o"/>
      <w:lvlJc w:val="left"/>
      <w:pPr>
        <w:ind w:left="5422" w:hanging="360"/>
      </w:pPr>
      <w:rPr>
        <w:rFonts w:ascii="Courier New" w:hAnsi="Courier New" w:cs="Courier New" w:hint="default"/>
      </w:rPr>
    </w:lvl>
    <w:lvl w:ilvl="5" w:tplc="04090005" w:tentative="1">
      <w:start w:val="1"/>
      <w:numFmt w:val="bullet"/>
      <w:lvlText w:val=""/>
      <w:lvlJc w:val="left"/>
      <w:pPr>
        <w:ind w:left="6142" w:hanging="360"/>
      </w:pPr>
      <w:rPr>
        <w:rFonts w:ascii="Wingdings" w:hAnsi="Wingdings" w:hint="default"/>
      </w:rPr>
    </w:lvl>
    <w:lvl w:ilvl="6" w:tplc="04090001" w:tentative="1">
      <w:start w:val="1"/>
      <w:numFmt w:val="bullet"/>
      <w:lvlText w:val=""/>
      <w:lvlJc w:val="left"/>
      <w:pPr>
        <w:ind w:left="6862" w:hanging="360"/>
      </w:pPr>
      <w:rPr>
        <w:rFonts w:ascii="Symbol" w:hAnsi="Symbol" w:hint="default"/>
      </w:rPr>
    </w:lvl>
    <w:lvl w:ilvl="7" w:tplc="04090003" w:tentative="1">
      <w:start w:val="1"/>
      <w:numFmt w:val="bullet"/>
      <w:lvlText w:val="o"/>
      <w:lvlJc w:val="left"/>
      <w:pPr>
        <w:ind w:left="7582" w:hanging="360"/>
      </w:pPr>
      <w:rPr>
        <w:rFonts w:ascii="Courier New" w:hAnsi="Courier New" w:cs="Courier New" w:hint="default"/>
      </w:rPr>
    </w:lvl>
    <w:lvl w:ilvl="8" w:tplc="04090005" w:tentative="1">
      <w:start w:val="1"/>
      <w:numFmt w:val="bullet"/>
      <w:lvlText w:val=""/>
      <w:lvlJc w:val="left"/>
      <w:pPr>
        <w:ind w:left="8302" w:hanging="360"/>
      </w:pPr>
      <w:rPr>
        <w:rFonts w:ascii="Wingdings" w:hAnsi="Wingdings" w:hint="default"/>
      </w:rPr>
    </w:lvl>
  </w:abstractNum>
  <w:abstractNum w:abstractNumId="15"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616717"/>
    <w:multiLevelType w:val="hybridMultilevel"/>
    <w:tmpl w:val="60868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056E79"/>
    <w:multiLevelType w:val="hybridMultilevel"/>
    <w:tmpl w:val="80968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7980349"/>
    <w:multiLevelType w:val="multilevel"/>
    <w:tmpl w:val="67980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EB3D25"/>
    <w:multiLevelType w:val="hybridMultilevel"/>
    <w:tmpl w:val="454605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27"/>
  </w:num>
  <w:num w:numId="2" w16cid:durableId="377896395">
    <w:abstractNumId w:val="13"/>
  </w:num>
  <w:num w:numId="3" w16cid:durableId="1828667656">
    <w:abstractNumId w:val="15"/>
  </w:num>
  <w:num w:numId="4" w16cid:durableId="1230851042">
    <w:abstractNumId w:val="19"/>
  </w:num>
  <w:num w:numId="5" w16cid:durableId="1790659296">
    <w:abstractNumId w:val="18"/>
  </w:num>
  <w:num w:numId="6" w16cid:durableId="85154347">
    <w:abstractNumId w:val="23"/>
  </w:num>
  <w:num w:numId="7" w16cid:durableId="1359503459">
    <w:abstractNumId w:val="7"/>
  </w:num>
  <w:num w:numId="8" w16cid:durableId="455678844">
    <w:abstractNumId w:val="0"/>
  </w:num>
  <w:num w:numId="9" w16cid:durableId="1340231040">
    <w:abstractNumId w:val="22"/>
  </w:num>
  <w:num w:numId="10" w16cid:durableId="61027819">
    <w:abstractNumId w:val="11"/>
  </w:num>
  <w:num w:numId="11" w16cid:durableId="72238741">
    <w:abstractNumId w:val="21"/>
  </w:num>
  <w:num w:numId="12" w16cid:durableId="936133475">
    <w:abstractNumId w:val="20"/>
  </w:num>
  <w:num w:numId="13" w16cid:durableId="1435590269">
    <w:abstractNumId w:val="6"/>
  </w:num>
  <w:num w:numId="14" w16cid:durableId="93481221">
    <w:abstractNumId w:val="8"/>
  </w:num>
  <w:num w:numId="15" w16cid:durableId="1933270314">
    <w:abstractNumId w:val="26"/>
  </w:num>
  <w:num w:numId="16" w16cid:durableId="858084348">
    <w:abstractNumId w:val="1"/>
  </w:num>
  <w:num w:numId="17" w16cid:durableId="522404697">
    <w:abstractNumId w:val="16"/>
  </w:num>
  <w:num w:numId="18" w16cid:durableId="1041632775">
    <w:abstractNumId w:val="14"/>
  </w:num>
  <w:num w:numId="19" w16cid:durableId="1360548777">
    <w:abstractNumId w:val="7"/>
    <w:lvlOverride w:ilvl="0">
      <w:startOverride w:val="1"/>
    </w:lvlOverride>
  </w:num>
  <w:num w:numId="20" w16cid:durableId="1047686934">
    <w:abstractNumId w:val="9"/>
  </w:num>
  <w:num w:numId="21" w16cid:durableId="1455055152">
    <w:abstractNumId w:val="7"/>
    <w:lvlOverride w:ilvl="0">
      <w:startOverride w:val="1"/>
    </w:lvlOverride>
  </w:num>
  <w:num w:numId="22" w16cid:durableId="315500886">
    <w:abstractNumId w:val="23"/>
    <w:lvlOverride w:ilvl="0">
      <w:startOverride w:val="1"/>
    </w:lvlOverride>
  </w:num>
  <w:num w:numId="23" w16cid:durableId="861895536">
    <w:abstractNumId w:val="5"/>
  </w:num>
  <w:num w:numId="24" w16cid:durableId="413672493">
    <w:abstractNumId w:val="25"/>
  </w:num>
  <w:num w:numId="25" w16cid:durableId="1528104734">
    <w:abstractNumId w:val="3"/>
  </w:num>
  <w:num w:numId="26" w16cid:durableId="941953350">
    <w:abstractNumId w:val="7"/>
    <w:lvlOverride w:ilvl="0">
      <w:startOverride w:val="1"/>
    </w:lvlOverride>
  </w:num>
  <w:num w:numId="27" w16cid:durableId="1715929635">
    <w:abstractNumId w:val="10"/>
  </w:num>
  <w:num w:numId="28" w16cid:durableId="296879179">
    <w:abstractNumId w:val="7"/>
    <w:lvlOverride w:ilvl="0">
      <w:startOverride w:val="1"/>
    </w:lvlOverride>
  </w:num>
  <w:num w:numId="29" w16cid:durableId="18162251">
    <w:abstractNumId w:val="12"/>
  </w:num>
  <w:num w:numId="30" w16cid:durableId="977035298">
    <w:abstractNumId w:val="17"/>
  </w:num>
  <w:num w:numId="31" w16cid:durableId="643778641">
    <w:abstractNumId w:val="4"/>
  </w:num>
  <w:num w:numId="32" w16cid:durableId="1919052644">
    <w:abstractNumId w:val="24"/>
  </w:num>
  <w:num w:numId="33" w16cid:durableId="382142227">
    <w:abstractNumId w:val="7"/>
    <w:lvlOverride w:ilvl="0">
      <w:startOverride w:val="1"/>
    </w:lvlOverride>
  </w:num>
  <w:num w:numId="34" w16cid:durableId="1816754271">
    <w:abstractNumId w:val="23"/>
    <w:lvlOverride w:ilvl="0">
      <w:startOverride w:val="1"/>
    </w:lvlOverride>
  </w:num>
  <w:num w:numId="35" w16cid:durableId="208957838">
    <w:abstractNumId w:val="2"/>
  </w:num>
  <w:num w:numId="36" w16cid:durableId="557934371">
    <w:abstractNumId w:val="7"/>
    <w:lvlOverride w:ilvl="0">
      <w:startOverride w:val="1"/>
    </w:lvlOverride>
  </w:num>
  <w:num w:numId="37" w16cid:durableId="85924588">
    <w:abstractNumId w:val="23"/>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1CED"/>
    <w:rsid w:val="0000303C"/>
    <w:rsid w:val="00004392"/>
    <w:rsid w:val="00006AF3"/>
    <w:rsid w:val="00007E0D"/>
    <w:rsid w:val="000115FE"/>
    <w:rsid w:val="0001224C"/>
    <w:rsid w:val="00012A78"/>
    <w:rsid w:val="000133C7"/>
    <w:rsid w:val="00013882"/>
    <w:rsid w:val="00013E44"/>
    <w:rsid w:val="000152AA"/>
    <w:rsid w:val="0001642F"/>
    <w:rsid w:val="00016AB6"/>
    <w:rsid w:val="00020534"/>
    <w:rsid w:val="00020946"/>
    <w:rsid w:val="00021858"/>
    <w:rsid w:val="000219EC"/>
    <w:rsid w:val="00021EE8"/>
    <w:rsid w:val="00021F93"/>
    <w:rsid w:val="000249B1"/>
    <w:rsid w:val="00025D07"/>
    <w:rsid w:val="00026FBB"/>
    <w:rsid w:val="000310B0"/>
    <w:rsid w:val="0003149B"/>
    <w:rsid w:val="000317F6"/>
    <w:rsid w:val="00031B8A"/>
    <w:rsid w:val="00033A2C"/>
    <w:rsid w:val="00033DFE"/>
    <w:rsid w:val="00034B9D"/>
    <w:rsid w:val="00036A11"/>
    <w:rsid w:val="00036F8F"/>
    <w:rsid w:val="0003783E"/>
    <w:rsid w:val="0004197E"/>
    <w:rsid w:val="00041A3B"/>
    <w:rsid w:val="00041EDA"/>
    <w:rsid w:val="0004333A"/>
    <w:rsid w:val="0004462A"/>
    <w:rsid w:val="00044DBD"/>
    <w:rsid w:val="0004679D"/>
    <w:rsid w:val="00046B78"/>
    <w:rsid w:val="00047F40"/>
    <w:rsid w:val="0005106B"/>
    <w:rsid w:val="00051C8A"/>
    <w:rsid w:val="00052A15"/>
    <w:rsid w:val="0005328F"/>
    <w:rsid w:val="00054A03"/>
    <w:rsid w:val="0005577E"/>
    <w:rsid w:val="00057866"/>
    <w:rsid w:val="00057BE2"/>
    <w:rsid w:val="00060484"/>
    <w:rsid w:val="0006054C"/>
    <w:rsid w:val="000625E1"/>
    <w:rsid w:val="000640A2"/>
    <w:rsid w:val="0006501C"/>
    <w:rsid w:val="0006508D"/>
    <w:rsid w:val="000662F3"/>
    <w:rsid w:val="000668D2"/>
    <w:rsid w:val="00066D26"/>
    <w:rsid w:val="0006704B"/>
    <w:rsid w:val="0006789F"/>
    <w:rsid w:val="0007372F"/>
    <w:rsid w:val="000740AC"/>
    <w:rsid w:val="00075451"/>
    <w:rsid w:val="0007637D"/>
    <w:rsid w:val="0007772A"/>
    <w:rsid w:val="00077D14"/>
    <w:rsid w:val="0008075B"/>
    <w:rsid w:val="00081158"/>
    <w:rsid w:val="00081545"/>
    <w:rsid w:val="00082340"/>
    <w:rsid w:val="000836E8"/>
    <w:rsid w:val="00083C04"/>
    <w:rsid w:val="00083C66"/>
    <w:rsid w:val="00084518"/>
    <w:rsid w:val="00085E99"/>
    <w:rsid w:val="000862CF"/>
    <w:rsid w:val="00087341"/>
    <w:rsid w:val="00091A8A"/>
    <w:rsid w:val="00091FAC"/>
    <w:rsid w:val="00092C30"/>
    <w:rsid w:val="0009339F"/>
    <w:rsid w:val="00093E90"/>
    <w:rsid w:val="00094307"/>
    <w:rsid w:val="00094478"/>
    <w:rsid w:val="000944BB"/>
    <w:rsid w:val="000979CE"/>
    <w:rsid w:val="000A0146"/>
    <w:rsid w:val="000A0500"/>
    <w:rsid w:val="000A20A0"/>
    <w:rsid w:val="000A24FB"/>
    <w:rsid w:val="000A281E"/>
    <w:rsid w:val="000A2D18"/>
    <w:rsid w:val="000A3750"/>
    <w:rsid w:val="000A3C2A"/>
    <w:rsid w:val="000A412C"/>
    <w:rsid w:val="000A50C0"/>
    <w:rsid w:val="000A6E40"/>
    <w:rsid w:val="000A7397"/>
    <w:rsid w:val="000A779A"/>
    <w:rsid w:val="000A7F50"/>
    <w:rsid w:val="000B02FC"/>
    <w:rsid w:val="000B0C6E"/>
    <w:rsid w:val="000B34D8"/>
    <w:rsid w:val="000B5E0A"/>
    <w:rsid w:val="000B7A62"/>
    <w:rsid w:val="000C3AF8"/>
    <w:rsid w:val="000C4EE1"/>
    <w:rsid w:val="000C6657"/>
    <w:rsid w:val="000C733F"/>
    <w:rsid w:val="000C7793"/>
    <w:rsid w:val="000D1AA1"/>
    <w:rsid w:val="000D248C"/>
    <w:rsid w:val="000D3BB0"/>
    <w:rsid w:val="000D65E3"/>
    <w:rsid w:val="000D6793"/>
    <w:rsid w:val="000E0297"/>
    <w:rsid w:val="000E26C7"/>
    <w:rsid w:val="000E43F2"/>
    <w:rsid w:val="000E4A3C"/>
    <w:rsid w:val="000E524A"/>
    <w:rsid w:val="000E760A"/>
    <w:rsid w:val="000F3023"/>
    <w:rsid w:val="000F3FFD"/>
    <w:rsid w:val="000F44AA"/>
    <w:rsid w:val="000F5EAD"/>
    <w:rsid w:val="000F6410"/>
    <w:rsid w:val="000F6ADB"/>
    <w:rsid w:val="001003D8"/>
    <w:rsid w:val="001008A2"/>
    <w:rsid w:val="00101AA3"/>
    <w:rsid w:val="00110231"/>
    <w:rsid w:val="00110637"/>
    <w:rsid w:val="001108CB"/>
    <w:rsid w:val="001109CD"/>
    <w:rsid w:val="001142EF"/>
    <w:rsid w:val="00115064"/>
    <w:rsid w:val="001169C8"/>
    <w:rsid w:val="00120C4A"/>
    <w:rsid w:val="00120CAE"/>
    <w:rsid w:val="0012110D"/>
    <w:rsid w:val="0012153E"/>
    <w:rsid w:val="00121F35"/>
    <w:rsid w:val="001236B5"/>
    <w:rsid w:val="0012417E"/>
    <w:rsid w:val="0012422E"/>
    <w:rsid w:val="00124DEC"/>
    <w:rsid w:val="001259BF"/>
    <w:rsid w:val="0012708D"/>
    <w:rsid w:val="001319CB"/>
    <w:rsid w:val="00131D96"/>
    <w:rsid w:val="00131F3E"/>
    <w:rsid w:val="00134D1F"/>
    <w:rsid w:val="00135BF1"/>
    <w:rsid w:val="00135F02"/>
    <w:rsid w:val="001415DD"/>
    <w:rsid w:val="001419B0"/>
    <w:rsid w:val="001434EF"/>
    <w:rsid w:val="00144B0E"/>
    <w:rsid w:val="00145118"/>
    <w:rsid w:val="001469FF"/>
    <w:rsid w:val="00151F19"/>
    <w:rsid w:val="001568F4"/>
    <w:rsid w:val="00160C1C"/>
    <w:rsid w:val="00161133"/>
    <w:rsid w:val="00162809"/>
    <w:rsid w:val="00162A6E"/>
    <w:rsid w:val="001639EE"/>
    <w:rsid w:val="00167156"/>
    <w:rsid w:val="001671D6"/>
    <w:rsid w:val="00170476"/>
    <w:rsid w:val="001714DB"/>
    <w:rsid w:val="001722E0"/>
    <w:rsid w:val="001730C2"/>
    <w:rsid w:val="00180223"/>
    <w:rsid w:val="00181A86"/>
    <w:rsid w:val="0018289F"/>
    <w:rsid w:val="0018633B"/>
    <w:rsid w:val="001866C7"/>
    <w:rsid w:val="00187A79"/>
    <w:rsid w:val="00191256"/>
    <w:rsid w:val="001924B3"/>
    <w:rsid w:val="001944C8"/>
    <w:rsid w:val="00197C71"/>
    <w:rsid w:val="001A0DFF"/>
    <w:rsid w:val="001A1546"/>
    <w:rsid w:val="001A21CE"/>
    <w:rsid w:val="001A2C39"/>
    <w:rsid w:val="001A30C0"/>
    <w:rsid w:val="001A37EB"/>
    <w:rsid w:val="001A38E0"/>
    <w:rsid w:val="001A4348"/>
    <w:rsid w:val="001A5065"/>
    <w:rsid w:val="001A58AA"/>
    <w:rsid w:val="001A6589"/>
    <w:rsid w:val="001A7B0F"/>
    <w:rsid w:val="001B2D09"/>
    <w:rsid w:val="001B3138"/>
    <w:rsid w:val="001B3794"/>
    <w:rsid w:val="001B5383"/>
    <w:rsid w:val="001B6003"/>
    <w:rsid w:val="001B60E8"/>
    <w:rsid w:val="001B68D3"/>
    <w:rsid w:val="001B6C87"/>
    <w:rsid w:val="001C7E9F"/>
    <w:rsid w:val="001D0377"/>
    <w:rsid w:val="001D0FC6"/>
    <w:rsid w:val="001D2E3E"/>
    <w:rsid w:val="001D357D"/>
    <w:rsid w:val="001D3747"/>
    <w:rsid w:val="001D4DD3"/>
    <w:rsid w:val="001D61EF"/>
    <w:rsid w:val="001D62D6"/>
    <w:rsid w:val="001D7617"/>
    <w:rsid w:val="001D7C3C"/>
    <w:rsid w:val="001E0737"/>
    <w:rsid w:val="001E0B49"/>
    <w:rsid w:val="001E10A2"/>
    <w:rsid w:val="001E1101"/>
    <w:rsid w:val="001E370E"/>
    <w:rsid w:val="001E3BF7"/>
    <w:rsid w:val="001E44D6"/>
    <w:rsid w:val="001E4617"/>
    <w:rsid w:val="001E5027"/>
    <w:rsid w:val="001E7B65"/>
    <w:rsid w:val="001F08A8"/>
    <w:rsid w:val="001F0D99"/>
    <w:rsid w:val="001F1831"/>
    <w:rsid w:val="001F4236"/>
    <w:rsid w:val="001F6431"/>
    <w:rsid w:val="001F6C4B"/>
    <w:rsid w:val="001F7077"/>
    <w:rsid w:val="00202BF4"/>
    <w:rsid w:val="00204B4D"/>
    <w:rsid w:val="00205135"/>
    <w:rsid w:val="00206835"/>
    <w:rsid w:val="00210C66"/>
    <w:rsid w:val="00211434"/>
    <w:rsid w:val="002122A5"/>
    <w:rsid w:val="00212E26"/>
    <w:rsid w:val="00213B7D"/>
    <w:rsid w:val="00214F8D"/>
    <w:rsid w:val="00215407"/>
    <w:rsid w:val="00216664"/>
    <w:rsid w:val="0021695C"/>
    <w:rsid w:val="002169A1"/>
    <w:rsid w:val="00216F7D"/>
    <w:rsid w:val="00220F16"/>
    <w:rsid w:val="0022273E"/>
    <w:rsid w:val="00222CC1"/>
    <w:rsid w:val="00223FA5"/>
    <w:rsid w:val="0022628B"/>
    <w:rsid w:val="0022751E"/>
    <w:rsid w:val="00227CCA"/>
    <w:rsid w:val="00230FDF"/>
    <w:rsid w:val="00231132"/>
    <w:rsid w:val="00231348"/>
    <w:rsid w:val="00231CCF"/>
    <w:rsid w:val="002325CB"/>
    <w:rsid w:val="0023362F"/>
    <w:rsid w:val="00233A19"/>
    <w:rsid w:val="002345FA"/>
    <w:rsid w:val="00234E45"/>
    <w:rsid w:val="00241E38"/>
    <w:rsid w:val="00243790"/>
    <w:rsid w:val="0024558C"/>
    <w:rsid w:val="002466FB"/>
    <w:rsid w:val="002500F4"/>
    <w:rsid w:val="002521F1"/>
    <w:rsid w:val="00253799"/>
    <w:rsid w:val="00253D4D"/>
    <w:rsid w:val="00263129"/>
    <w:rsid w:val="00263140"/>
    <w:rsid w:val="00263A8C"/>
    <w:rsid w:val="00263B2C"/>
    <w:rsid w:val="00271893"/>
    <w:rsid w:val="00272908"/>
    <w:rsid w:val="00272F37"/>
    <w:rsid w:val="0027386B"/>
    <w:rsid w:val="00273A7E"/>
    <w:rsid w:val="00276189"/>
    <w:rsid w:val="0027662A"/>
    <w:rsid w:val="002770C6"/>
    <w:rsid w:val="002808D4"/>
    <w:rsid w:val="00280C3E"/>
    <w:rsid w:val="002820AC"/>
    <w:rsid w:val="00283045"/>
    <w:rsid w:val="00284B07"/>
    <w:rsid w:val="00287A1D"/>
    <w:rsid w:val="00291C44"/>
    <w:rsid w:val="002937FE"/>
    <w:rsid w:val="0029484C"/>
    <w:rsid w:val="00294D29"/>
    <w:rsid w:val="00294D5B"/>
    <w:rsid w:val="00294DAC"/>
    <w:rsid w:val="0029593E"/>
    <w:rsid w:val="00297A1B"/>
    <w:rsid w:val="00297C88"/>
    <w:rsid w:val="002A0B8F"/>
    <w:rsid w:val="002A1554"/>
    <w:rsid w:val="002A15E9"/>
    <w:rsid w:val="002A47D5"/>
    <w:rsid w:val="002A47F6"/>
    <w:rsid w:val="002A6CC2"/>
    <w:rsid w:val="002A7ABE"/>
    <w:rsid w:val="002B151B"/>
    <w:rsid w:val="002B214F"/>
    <w:rsid w:val="002B2361"/>
    <w:rsid w:val="002B3325"/>
    <w:rsid w:val="002B3F28"/>
    <w:rsid w:val="002B5F7F"/>
    <w:rsid w:val="002B60A8"/>
    <w:rsid w:val="002B68BA"/>
    <w:rsid w:val="002B71EE"/>
    <w:rsid w:val="002B79AE"/>
    <w:rsid w:val="002B7BAE"/>
    <w:rsid w:val="002C04F0"/>
    <w:rsid w:val="002C248D"/>
    <w:rsid w:val="002C257D"/>
    <w:rsid w:val="002C2954"/>
    <w:rsid w:val="002C388E"/>
    <w:rsid w:val="002C3F13"/>
    <w:rsid w:val="002C4036"/>
    <w:rsid w:val="002C4251"/>
    <w:rsid w:val="002C5832"/>
    <w:rsid w:val="002C5F7B"/>
    <w:rsid w:val="002C62BE"/>
    <w:rsid w:val="002C7178"/>
    <w:rsid w:val="002D007F"/>
    <w:rsid w:val="002D08B6"/>
    <w:rsid w:val="002D302D"/>
    <w:rsid w:val="002D33B4"/>
    <w:rsid w:val="002D3ACD"/>
    <w:rsid w:val="002D49B5"/>
    <w:rsid w:val="002D4F9C"/>
    <w:rsid w:val="002D51A9"/>
    <w:rsid w:val="002D5441"/>
    <w:rsid w:val="002D713D"/>
    <w:rsid w:val="002E1C82"/>
    <w:rsid w:val="002E2FAF"/>
    <w:rsid w:val="002E3DBC"/>
    <w:rsid w:val="002E4920"/>
    <w:rsid w:val="002E5719"/>
    <w:rsid w:val="002E5D94"/>
    <w:rsid w:val="002E75BC"/>
    <w:rsid w:val="002F1A20"/>
    <w:rsid w:val="002F1A53"/>
    <w:rsid w:val="002F1D8A"/>
    <w:rsid w:val="002F2490"/>
    <w:rsid w:val="002F4969"/>
    <w:rsid w:val="002F6744"/>
    <w:rsid w:val="002F67EC"/>
    <w:rsid w:val="002F6FB6"/>
    <w:rsid w:val="00300780"/>
    <w:rsid w:val="003008E9"/>
    <w:rsid w:val="0030223F"/>
    <w:rsid w:val="003028E4"/>
    <w:rsid w:val="00302F72"/>
    <w:rsid w:val="00305251"/>
    <w:rsid w:val="00306919"/>
    <w:rsid w:val="00311A68"/>
    <w:rsid w:val="00312024"/>
    <w:rsid w:val="00312760"/>
    <w:rsid w:val="00313424"/>
    <w:rsid w:val="0031358B"/>
    <w:rsid w:val="0031419C"/>
    <w:rsid w:val="0031795E"/>
    <w:rsid w:val="00320BE3"/>
    <w:rsid w:val="00320D80"/>
    <w:rsid w:val="00321E0C"/>
    <w:rsid w:val="00323781"/>
    <w:rsid w:val="003268E4"/>
    <w:rsid w:val="00326C82"/>
    <w:rsid w:val="00327730"/>
    <w:rsid w:val="00327DEE"/>
    <w:rsid w:val="00327FC2"/>
    <w:rsid w:val="00330B0D"/>
    <w:rsid w:val="00332DFD"/>
    <w:rsid w:val="0033300E"/>
    <w:rsid w:val="00333270"/>
    <w:rsid w:val="00333D47"/>
    <w:rsid w:val="00334295"/>
    <w:rsid w:val="00334A1B"/>
    <w:rsid w:val="0033504A"/>
    <w:rsid w:val="00336217"/>
    <w:rsid w:val="00340675"/>
    <w:rsid w:val="00341421"/>
    <w:rsid w:val="00341F58"/>
    <w:rsid w:val="00343B9E"/>
    <w:rsid w:val="00344BE2"/>
    <w:rsid w:val="003460A8"/>
    <w:rsid w:val="00347D53"/>
    <w:rsid w:val="00353B7B"/>
    <w:rsid w:val="003541C0"/>
    <w:rsid w:val="00354904"/>
    <w:rsid w:val="00355D31"/>
    <w:rsid w:val="00355FB6"/>
    <w:rsid w:val="00356DB7"/>
    <w:rsid w:val="003571BC"/>
    <w:rsid w:val="00360832"/>
    <w:rsid w:val="0036409E"/>
    <w:rsid w:val="003679BC"/>
    <w:rsid w:val="00367A7B"/>
    <w:rsid w:val="00370F28"/>
    <w:rsid w:val="0037594D"/>
    <w:rsid w:val="0037605E"/>
    <w:rsid w:val="00382E6D"/>
    <w:rsid w:val="00383762"/>
    <w:rsid w:val="0038510C"/>
    <w:rsid w:val="00385525"/>
    <w:rsid w:val="00385718"/>
    <w:rsid w:val="00385B44"/>
    <w:rsid w:val="00391565"/>
    <w:rsid w:val="00391A03"/>
    <w:rsid w:val="00391D89"/>
    <w:rsid w:val="003925E8"/>
    <w:rsid w:val="00393A67"/>
    <w:rsid w:val="00394BC4"/>
    <w:rsid w:val="0039517D"/>
    <w:rsid w:val="003965E7"/>
    <w:rsid w:val="003975AD"/>
    <w:rsid w:val="00397882"/>
    <w:rsid w:val="003A00D8"/>
    <w:rsid w:val="003A0247"/>
    <w:rsid w:val="003A0C1F"/>
    <w:rsid w:val="003A0D68"/>
    <w:rsid w:val="003A25A6"/>
    <w:rsid w:val="003A528A"/>
    <w:rsid w:val="003A5C26"/>
    <w:rsid w:val="003A69FD"/>
    <w:rsid w:val="003B01A8"/>
    <w:rsid w:val="003B041F"/>
    <w:rsid w:val="003B0710"/>
    <w:rsid w:val="003B1578"/>
    <w:rsid w:val="003B20CC"/>
    <w:rsid w:val="003B316D"/>
    <w:rsid w:val="003B4382"/>
    <w:rsid w:val="003B4AA2"/>
    <w:rsid w:val="003B523E"/>
    <w:rsid w:val="003B6515"/>
    <w:rsid w:val="003B793B"/>
    <w:rsid w:val="003C0859"/>
    <w:rsid w:val="003C36A3"/>
    <w:rsid w:val="003C4B02"/>
    <w:rsid w:val="003C66FC"/>
    <w:rsid w:val="003C6C90"/>
    <w:rsid w:val="003C7A0A"/>
    <w:rsid w:val="003C7C41"/>
    <w:rsid w:val="003D101D"/>
    <w:rsid w:val="003D3489"/>
    <w:rsid w:val="003D6382"/>
    <w:rsid w:val="003E179D"/>
    <w:rsid w:val="003E324D"/>
    <w:rsid w:val="003E4562"/>
    <w:rsid w:val="003E5B9D"/>
    <w:rsid w:val="003E637D"/>
    <w:rsid w:val="003E7193"/>
    <w:rsid w:val="003E7A2F"/>
    <w:rsid w:val="003E7A87"/>
    <w:rsid w:val="003E7AA9"/>
    <w:rsid w:val="003F07AC"/>
    <w:rsid w:val="003F07BD"/>
    <w:rsid w:val="003F0BE8"/>
    <w:rsid w:val="003F1006"/>
    <w:rsid w:val="003F39FE"/>
    <w:rsid w:val="003F520B"/>
    <w:rsid w:val="003F649D"/>
    <w:rsid w:val="004005CD"/>
    <w:rsid w:val="004014BC"/>
    <w:rsid w:val="00401C28"/>
    <w:rsid w:val="0040541E"/>
    <w:rsid w:val="00405957"/>
    <w:rsid w:val="00410049"/>
    <w:rsid w:val="00412C0A"/>
    <w:rsid w:val="00414BBC"/>
    <w:rsid w:val="00414E20"/>
    <w:rsid w:val="004150DA"/>
    <w:rsid w:val="004154E7"/>
    <w:rsid w:val="00416FB5"/>
    <w:rsid w:val="00420BFD"/>
    <w:rsid w:val="004227D8"/>
    <w:rsid w:val="00422A47"/>
    <w:rsid w:val="00424B50"/>
    <w:rsid w:val="00424CFD"/>
    <w:rsid w:val="00425A7E"/>
    <w:rsid w:val="00426E92"/>
    <w:rsid w:val="00430341"/>
    <w:rsid w:val="004305F7"/>
    <w:rsid w:val="00431B0C"/>
    <w:rsid w:val="00433099"/>
    <w:rsid w:val="00435CEC"/>
    <w:rsid w:val="004362A4"/>
    <w:rsid w:val="00437B56"/>
    <w:rsid w:val="0044074F"/>
    <w:rsid w:val="00440758"/>
    <w:rsid w:val="00441E43"/>
    <w:rsid w:val="00443338"/>
    <w:rsid w:val="00445784"/>
    <w:rsid w:val="00446BD7"/>
    <w:rsid w:val="00447051"/>
    <w:rsid w:val="00450319"/>
    <w:rsid w:val="00450FDB"/>
    <w:rsid w:val="00451CEE"/>
    <w:rsid w:val="00453524"/>
    <w:rsid w:val="00461766"/>
    <w:rsid w:val="00462187"/>
    <w:rsid w:val="00462E6C"/>
    <w:rsid w:val="004655AB"/>
    <w:rsid w:val="00465B56"/>
    <w:rsid w:val="00470436"/>
    <w:rsid w:val="00470B1D"/>
    <w:rsid w:val="00473DE3"/>
    <w:rsid w:val="00475215"/>
    <w:rsid w:val="00476307"/>
    <w:rsid w:val="00480524"/>
    <w:rsid w:val="0048498F"/>
    <w:rsid w:val="004856CD"/>
    <w:rsid w:val="004862A9"/>
    <w:rsid w:val="0048665F"/>
    <w:rsid w:val="0049082C"/>
    <w:rsid w:val="00490ACB"/>
    <w:rsid w:val="004921DE"/>
    <w:rsid w:val="00492A2F"/>
    <w:rsid w:val="004934C7"/>
    <w:rsid w:val="00495279"/>
    <w:rsid w:val="00496FF5"/>
    <w:rsid w:val="004A0EE6"/>
    <w:rsid w:val="004A477E"/>
    <w:rsid w:val="004A69BA"/>
    <w:rsid w:val="004A7084"/>
    <w:rsid w:val="004B045F"/>
    <w:rsid w:val="004B0BBC"/>
    <w:rsid w:val="004B4A8D"/>
    <w:rsid w:val="004B5A17"/>
    <w:rsid w:val="004C0F0F"/>
    <w:rsid w:val="004C36D6"/>
    <w:rsid w:val="004C47BC"/>
    <w:rsid w:val="004C4D5D"/>
    <w:rsid w:val="004C7053"/>
    <w:rsid w:val="004C7DCD"/>
    <w:rsid w:val="004D5EED"/>
    <w:rsid w:val="004D6633"/>
    <w:rsid w:val="004D6A48"/>
    <w:rsid w:val="004E25C0"/>
    <w:rsid w:val="004E3071"/>
    <w:rsid w:val="004E69C1"/>
    <w:rsid w:val="004E69E1"/>
    <w:rsid w:val="004E743A"/>
    <w:rsid w:val="004E7656"/>
    <w:rsid w:val="004E7A07"/>
    <w:rsid w:val="004F0327"/>
    <w:rsid w:val="004F037C"/>
    <w:rsid w:val="004F1A69"/>
    <w:rsid w:val="004F2BDB"/>
    <w:rsid w:val="004F2C0B"/>
    <w:rsid w:val="004F6E92"/>
    <w:rsid w:val="00503ABF"/>
    <w:rsid w:val="00507210"/>
    <w:rsid w:val="00510ACA"/>
    <w:rsid w:val="00513247"/>
    <w:rsid w:val="00513F5F"/>
    <w:rsid w:val="00514ED9"/>
    <w:rsid w:val="00516C4A"/>
    <w:rsid w:val="00516E5E"/>
    <w:rsid w:val="005170D6"/>
    <w:rsid w:val="0051710A"/>
    <w:rsid w:val="005179A3"/>
    <w:rsid w:val="00520F49"/>
    <w:rsid w:val="00521BE3"/>
    <w:rsid w:val="00521FC3"/>
    <w:rsid w:val="00523B2F"/>
    <w:rsid w:val="00524428"/>
    <w:rsid w:val="005302BD"/>
    <w:rsid w:val="005307DB"/>
    <w:rsid w:val="00531267"/>
    <w:rsid w:val="005313AA"/>
    <w:rsid w:val="00534902"/>
    <w:rsid w:val="0053573E"/>
    <w:rsid w:val="00536EC5"/>
    <w:rsid w:val="00537364"/>
    <w:rsid w:val="00537568"/>
    <w:rsid w:val="0054061B"/>
    <w:rsid w:val="00541675"/>
    <w:rsid w:val="0054233E"/>
    <w:rsid w:val="00542E0D"/>
    <w:rsid w:val="00544ABB"/>
    <w:rsid w:val="00545CE9"/>
    <w:rsid w:val="005469A2"/>
    <w:rsid w:val="00553567"/>
    <w:rsid w:val="00553FBD"/>
    <w:rsid w:val="00555393"/>
    <w:rsid w:val="0055648F"/>
    <w:rsid w:val="00556795"/>
    <w:rsid w:val="00557DDE"/>
    <w:rsid w:val="00560E35"/>
    <w:rsid w:val="005614C2"/>
    <w:rsid w:val="00562FFC"/>
    <w:rsid w:val="00566AB3"/>
    <w:rsid w:val="00567176"/>
    <w:rsid w:val="00570C9C"/>
    <w:rsid w:val="00572EB5"/>
    <w:rsid w:val="005744D8"/>
    <w:rsid w:val="00580A90"/>
    <w:rsid w:val="00582A8E"/>
    <w:rsid w:val="00583A58"/>
    <w:rsid w:val="00583E20"/>
    <w:rsid w:val="005840BD"/>
    <w:rsid w:val="0058472A"/>
    <w:rsid w:val="0058587B"/>
    <w:rsid w:val="00586831"/>
    <w:rsid w:val="005871E4"/>
    <w:rsid w:val="00587B28"/>
    <w:rsid w:val="00590AF6"/>
    <w:rsid w:val="0059302E"/>
    <w:rsid w:val="0059452B"/>
    <w:rsid w:val="005947D7"/>
    <w:rsid w:val="00596575"/>
    <w:rsid w:val="005A1091"/>
    <w:rsid w:val="005A4ED1"/>
    <w:rsid w:val="005A5072"/>
    <w:rsid w:val="005A6F37"/>
    <w:rsid w:val="005A7320"/>
    <w:rsid w:val="005B062A"/>
    <w:rsid w:val="005B0791"/>
    <w:rsid w:val="005B09FE"/>
    <w:rsid w:val="005B0FAC"/>
    <w:rsid w:val="005B117B"/>
    <w:rsid w:val="005B190C"/>
    <w:rsid w:val="005B2D7E"/>
    <w:rsid w:val="005B3955"/>
    <w:rsid w:val="005B5662"/>
    <w:rsid w:val="005B6BC9"/>
    <w:rsid w:val="005C20CA"/>
    <w:rsid w:val="005C2342"/>
    <w:rsid w:val="005C5964"/>
    <w:rsid w:val="005C706C"/>
    <w:rsid w:val="005C7D87"/>
    <w:rsid w:val="005D0FA5"/>
    <w:rsid w:val="005D2286"/>
    <w:rsid w:val="005D389D"/>
    <w:rsid w:val="005D7721"/>
    <w:rsid w:val="005D7B28"/>
    <w:rsid w:val="005E15CA"/>
    <w:rsid w:val="005E2099"/>
    <w:rsid w:val="005E7954"/>
    <w:rsid w:val="005F133B"/>
    <w:rsid w:val="005F30EC"/>
    <w:rsid w:val="005F3228"/>
    <w:rsid w:val="005F32CA"/>
    <w:rsid w:val="005F3F23"/>
    <w:rsid w:val="005F54FD"/>
    <w:rsid w:val="00600CBE"/>
    <w:rsid w:val="006027B9"/>
    <w:rsid w:val="00604344"/>
    <w:rsid w:val="006045E8"/>
    <w:rsid w:val="00604ED9"/>
    <w:rsid w:val="006062F4"/>
    <w:rsid w:val="00606B27"/>
    <w:rsid w:val="006075AA"/>
    <w:rsid w:val="00607823"/>
    <w:rsid w:val="00607A7E"/>
    <w:rsid w:val="00612BEC"/>
    <w:rsid w:val="0061346E"/>
    <w:rsid w:val="00614E92"/>
    <w:rsid w:val="00614FB7"/>
    <w:rsid w:val="00616061"/>
    <w:rsid w:val="006165BC"/>
    <w:rsid w:val="00624D86"/>
    <w:rsid w:val="00624DB0"/>
    <w:rsid w:val="00625603"/>
    <w:rsid w:val="00630297"/>
    <w:rsid w:val="00631C52"/>
    <w:rsid w:val="006325ED"/>
    <w:rsid w:val="00632A62"/>
    <w:rsid w:val="00633D34"/>
    <w:rsid w:val="00634010"/>
    <w:rsid w:val="00634163"/>
    <w:rsid w:val="00634D0E"/>
    <w:rsid w:val="00635CC4"/>
    <w:rsid w:val="00640660"/>
    <w:rsid w:val="00641405"/>
    <w:rsid w:val="006428A0"/>
    <w:rsid w:val="00643026"/>
    <w:rsid w:val="006432EF"/>
    <w:rsid w:val="00644187"/>
    <w:rsid w:val="00644583"/>
    <w:rsid w:val="00645AAA"/>
    <w:rsid w:val="00646789"/>
    <w:rsid w:val="006477AF"/>
    <w:rsid w:val="0065088B"/>
    <w:rsid w:val="00651247"/>
    <w:rsid w:val="0065294D"/>
    <w:rsid w:val="006549E8"/>
    <w:rsid w:val="00654DA1"/>
    <w:rsid w:val="00655EDE"/>
    <w:rsid w:val="00656B27"/>
    <w:rsid w:val="00657DC3"/>
    <w:rsid w:val="006627F2"/>
    <w:rsid w:val="006635B4"/>
    <w:rsid w:val="00666531"/>
    <w:rsid w:val="006668C2"/>
    <w:rsid w:val="00670125"/>
    <w:rsid w:val="00674388"/>
    <w:rsid w:val="00674C00"/>
    <w:rsid w:val="00675A95"/>
    <w:rsid w:val="0068005D"/>
    <w:rsid w:val="00682DE0"/>
    <w:rsid w:val="00687593"/>
    <w:rsid w:val="00691DC0"/>
    <w:rsid w:val="0069397B"/>
    <w:rsid w:val="00693B44"/>
    <w:rsid w:val="0069402F"/>
    <w:rsid w:val="00694B2C"/>
    <w:rsid w:val="00696F96"/>
    <w:rsid w:val="006977AD"/>
    <w:rsid w:val="00697AC6"/>
    <w:rsid w:val="006A1754"/>
    <w:rsid w:val="006A2BA0"/>
    <w:rsid w:val="006A2CD4"/>
    <w:rsid w:val="006A2F5B"/>
    <w:rsid w:val="006A5A34"/>
    <w:rsid w:val="006A641D"/>
    <w:rsid w:val="006A6A84"/>
    <w:rsid w:val="006A6D3E"/>
    <w:rsid w:val="006B0BD8"/>
    <w:rsid w:val="006B171D"/>
    <w:rsid w:val="006B17C5"/>
    <w:rsid w:val="006B22BF"/>
    <w:rsid w:val="006B2ABD"/>
    <w:rsid w:val="006B5C58"/>
    <w:rsid w:val="006B5D51"/>
    <w:rsid w:val="006B655A"/>
    <w:rsid w:val="006C1364"/>
    <w:rsid w:val="006C1E99"/>
    <w:rsid w:val="006C3C4C"/>
    <w:rsid w:val="006C46B0"/>
    <w:rsid w:val="006C648B"/>
    <w:rsid w:val="006D26ED"/>
    <w:rsid w:val="006D4B95"/>
    <w:rsid w:val="006D50D4"/>
    <w:rsid w:val="006D570F"/>
    <w:rsid w:val="006D603F"/>
    <w:rsid w:val="006D6867"/>
    <w:rsid w:val="006D71CB"/>
    <w:rsid w:val="006E02E9"/>
    <w:rsid w:val="006E2671"/>
    <w:rsid w:val="006E3AB5"/>
    <w:rsid w:val="006E5350"/>
    <w:rsid w:val="006E597D"/>
    <w:rsid w:val="006E7D00"/>
    <w:rsid w:val="006F4519"/>
    <w:rsid w:val="006F4BA5"/>
    <w:rsid w:val="006F69D4"/>
    <w:rsid w:val="006F737D"/>
    <w:rsid w:val="00701DD0"/>
    <w:rsid w:val="00702A1D"/>
    <w:rsid w:val="00703803"/>
    <w:rsid w:val="00703892"/>
    <w:rsid w:val="00703DCA"/>
    <w:rsid w:val="00704ADD"/>
    <w:rsid w:val="007061CA"/>
    <w:rsid w:val="0071052A"/>
    <w:rsid w:val="00710C27"/>
    <w:rsid w:val="00710DE3"/>
    <w:rsid w:val="00711B66"/>
    <w:rsid w:val="007131CC"/>
    <w:rsid w:val="0071372F"/>
    <w:rsid w:val="0071463A"/>
    <w:rsid w:val="00714E3A"/>
    <w:rsid w:val="00715099"/>
    <w:rsid w:val="00715A3E"/>
    <w:rsid w:val="007166BD"/>
    <w:rsid w:val="00717C04"/>
    <w:rsid w:val="00717FFD"/>
    <w:rsid w:val="007224BA"/>
    <w:rsid w:val="007229D1"/>
    <w:rsid w:val="0072528B"/>
    <w:rsid w:val="007263B3"/>
    <w:rsid w:val="0072642C"/>
    <w:rsid w:val="0072665C"/>
    <w:rsid w:val="0072725D"/>
    <w:rsid w:val="00731A7C"/>
    <w:rsid w:val="007349B2"/>
    <w:rsid w:val="0073580A"/>
    <w:rsid w:val="00735BC3"/>
    <w:rsid w:val="0073663E"/>
    <w:rsid w:val="00736B05"/>
    <w:rsid w:val="00737532"/>
    <w:rsid w:val="00740D41"/>
    <w:rsid w:val="00741026"/>
    <w:rsid w:val="00741607"/>
    <w:rsid w:val="00744499"/>
    <w:rsid w:val="007451F3"/>
    <w:rsid w:val="00746CAC"/>
    <w:rsid w:val="00747E35"/>
    <w:rsid w:val="00752518"/>
    <w:rsid w:val="00752975"/>
    <w:rsid w:val="007533ED"/>
    <w:rsid w:val="007564F0"/>
    <w:rsid w:val="00756E6B"/>
    <w:rsid w:val="00757195"/>
    <w:rsid w:val="00757263"/>
    <w:rsid w:val="00761F92"/>
    <w:rsid w:val="00762A29"/>
    <w:rsid w:val="0076305D"/>
    <w:rsid w:val="00763E69"/>
    <w:rsid w:val="00764168"/>
    <w:rsid w:val="0076488C"/>
    <w:rsid w:val="00764B31"/>
    <w:rsid w:val="00764CC0"/>
    <w:rsid w:val="007653B5"/>
    <w:rsid w:val="00767D7C"/>
    <w:rsid w:val="00770455"/>
    <w:rsid w:val="00770776"/>
    <w:rsid w:val="00771293"/>
    <w:rsid w:val="007730FB"/>
    <w:rsid w:val="0078015F"/>
    <w:rsid w:val="0078132B"/>
    <w:rsid w:val="00781348"/>
    <w:rsid w:val="00782A5D"/>
    <w:rsid w:val="007841DE"/>
    <w:rsid w:val="0078624F"/>
    <w:rsid w:val="00786B17"/>
    <w:rsid w:val="0078782B"/>
    <w:rsid w:val="007924FE"/>
    <w:rsid w:val="007936F9"/>
    <w:rsid w:val="00794F4E"/>
    <w:rsid w:val="0079661B"/>
    <w:rsid w:val="007972E4"/>
    <w:rsid w:val="007A32E2"/>
    <w:rsid w:val="007A4C2B"/>
    <w:rsid w:val="007B06B8"/>
    <w:rsid w:val="007B0938"/>
    <w:rsid w:val="007B0974"/>
    <w:rsid w:val="007B13ED"/>
    <w:rsid w:val="007B33EA"/>
    <w:rsid w:val="007B43EA"/>
    <w:rsid w:val="007B6241"/>
    <w:rsid w:val="007B6B97"/>
    <w:rsid w:val="007B7DA6"/>
    <w:rsid w:val="007C0D15"/>
    <w:rsid w:val="007C1838"/>
    <w:rsid w:val="007C5ABC"/>
    <w:rsid w:val="007C77EE"/>
    <w:rsid w:val="007D0858"/>
    <w:rsid w:val="007D13A6"/>
    <w:rsid w:val="007D13E2"/>
    <w:rsid w:val="007D13F3"/>
    <w:rsid w:val="007D1758"/>
    <w:rsid w:val="007D1BC2"/>
    <w:rsid w:val="007D2DFE"/>
    <w:rsid w:val="007D3899"/>
    <w:rsid w:val="007D55C8"/>
    <w:rsid w:val="007D6869"/>
    <w:rsid w:val="007D6A53"/>
    <w:rsid w:val="007E07B4"/>
    <w:rsid w:val="007E31DB"/>
    <w:rsid w:val="007E3801"/>
    <w:rsid w:val="007E3C89"/>
    <w:rsid w:val="007E4416"/>
    <w:rsid w:val="007E58EC"/>
    <w:rsid w:val="007E79BC"/>
    <w:rsid w:val="007F1732"/>
    <w:rsid w:val="007F180E"/>
    <w:rsid w:val="007F2C5D"/>
    <w:rsid w:val="007F3B71"/>
    <w:rsid w:val="007F709E"/>
    <w:rsid w:val="007F7BD2"/>
    <w:rsid w:val="00800E89"/>
    <w:rsid w:val="00801894"/>
    <w:rsid w:val="0080200F"/>
    <w:rsid w:val="008024CC"/>
    <w:rsid w:val="00802EEB"/>
    <w:rsid w:val="00803BB7"/>
    <w:rsid w:val="0080527A"/>
    <w:rsid w:val="008069F1"/>
    <w:rsid w:val="008104AD"/>
    <w:rsid w:val="008105E8"/>
    <w:rsid w:val="00811AE0"/>
    <w:rsid w:val="00813E29"/>
    <w:rsid w:val="008155E6"/>
    <w:rsid w:val="0081646A"/>
    <w:rsid w:val="00817F69"/>
    <w:rsid w:val="00820559"/>
    <w:rsid w:val="00820F9A"/>
    <w:rsid w:val="00821E4E"/>
    <w:rsid w:val="00823CB5"/>
    <w:rsid w:val="00825CC1"/>
    <w:rsid w:val="0082602F"/>
    <w:rsid w:val="0082654C"/>
    <w:rsid w:val="00826964"/>
    <w:rsid w:val="00827C13"/>
    <w:rsid w:val="00831272"/>
    <w:rsid w:val="00832326"/>
    <w:rsid w:val="0083244F"/>
    <w:rsid w:val="00833508"/>
    <w:rsid w:val="008361FA"/>
    <w:rsid w:val="00836CE2"/>
    <w:rsid w:val="008443CB"/>
    <w:rsid w:val="00844695"/>
    <w:rsid w:val="0084494C"/>
    <w:rsid w:val="00845194"/>
    <w:rsid w:val="00847727"/>
    <w:rsid w:val="00853C52"/>
    <w:rsid w:val="0085456D"/>
    <w:rsid w:val="008576BA"/>
    <w:rsid w:val="00857FB2"/>
    <w:rsid w:val="008605D7"/>
    <w:rsid w:val="0086217A"/>
    <w:rsid w:val="00863967"/>
    <w:rsid w:val="0086543E"/>
    <w:rsid w:val="00866657"/>
    <w:rsid w:val="00870DAB"/>
    <w:rsid w:val="008710C7"/>
    <w:rsid w:val="0087127E"/>
    <w:rsid w:val="0087158F"/>
    <w:rsid w:val="008804A2"/>
    <w:rsid w:val="00880AB4"/>
    <w:rsid w:val="0088195C"/>
    <w:rsid w:val="00883A4C"/>
    <w:rsid w:val="00884897"/>
    <w:rsid w:val="00884A3C"/>
    <w:rsid w:val="008867F3"/>
    <w:rsid w:val="00887D72"/>
    <w:rsid w:val="008913F0"/>
    <w:rsid w:val="0089146B"/>
    <w:rsid w:val="0089157E"/>
    <w:rsid w:val="00893C66"/>
    <w:rsid w:val="008943A7"/>
    <w:rsid w:val="008946EB"/>
    <w:rsid w:val="00894A7D"/>
    <w:rsid w:val="0089521E"/>
    <w:rsid w:val="008975A5"/>
    <w:rsid w:val="008A07C8"/>
    <w:rsid w:val="008A22BC"/>
    <w:rsid w:val="008A2CDD"/>
    <w:rsid w:val="008A44E0"/>
    <w:rsid w:val="008A48A5"/>
    <w:rsid w:val="008A49D9"/>
    <w:rsid w:val="008A5AD9"/>
    <w:rsid w:val="008A65B6"/>
    <w:rsid w:val="008A7DB5"/>
    <w:rsid w:val="008B2E35"/>
    <w:rsid w:val="008B31B3"/>
    <w:rsid w:val="008B4027"/>
    <w:rsid w:val="008B70F9"/>
    <w:rsid w:val="008C33D1"/>
    <w:rsid w:val="008C3C07"/>
    <w:rsid w:val="008C64A2"/>
    <w:rsid w:val="008C64AD"/>
    <w:rsid w:val="008C72C4"/>
    <w:rsid w:val="008D0382"/>
    <w:rsid w:val="008D05D3"/>
    <w:rsid w:val="008D13E6"/>
    <w:rsid w:val="008D2A6D"/>
    <w:rsid w:val="008D35B9"/>
    <w:rsid w:val="008D4A68"/>
    <w:rsid w:val="008D4BC7"/>
    <w:rsid w:val="008D4D2E"/>
    <w:rsid w:val="008D4F6A"/>
    <w:rsid w:val="008D57CD"/>
    <w:rsid w:val="008D64A0"/>
    <w:rsid w:val="008E0445"/>
    <w:rsid w:val="008E05EB"/>
    <w:rsid w:val="008E067E"/>
    <w:rsid w:val="008E10EA"/>
    <w:rsid w:val="008E1647"/>
    <w:rsid w:val="008E2E72"/>
    <w:rsid w:val="008E3F57"/>
    <w:rsid w:val="008E4032"/>
    <w:rsid w:val="008E4CB9"/>
    <w:rsid w:val="008E52C6"/>
    <w:rsid w:val="008F0D46"/>
    <w:rsid w:val="008F2B1A"/>
    <w:rsid w:val="008F2ECE"/>
    <w:rsid w:val="008F2F27"/>
    <w:rsid w:val="008F7764"/>
    <w:rsid w:val="00901F06"/>
    <w:rsid w:val="00902AFB"/>
    <w:rsid w:val="00904737"/>
    <w:rsid w:val="00904B6E"/>
    <w:rsid w:val="009051A0"/>
    <w:rsid w:val="0091286E"/>
    <w:rsid w:val="00913886"/>
    <w:rsid w:val="00916C2B"/>
    <w:rsid w:val="00917C46"/>
    <w:rsid w:val="0092153A"/>
    <w:rsid w:val="00921CA8"/>
    <w:rsid w:val="00921CAD"/>
    <w:rsid w:val="00922CB3"/>
    <w:rsid w:val="00922D4A"/>
    <w:rsid w:val="00922F4D"/>
    <w:rsid w:val="00923007"/>
    <w:rsid w:val="00924BE9"/>
    <w:rsid w:val="0092529F"/>
    <w:rsid w:val="0092566C"/>
    <w:rsid w:val="00926CC5"/>
    <w:rsid w:val="00931D3C"/>
    <w:rsid w:val="00932648"/>
    <w:rsid w:val="00932675"/>
    <w:rsid w:val="00933FD5"/>
    <w:rsid w:val="009359F1"/>
    <w:rsid w:val="00936560"/>
    <w:rsid w:val="0093661C"/>
    <w:rsid w:val="0093673C"/>
    <w:rsid w:val="009408E2"/>
    <w:rsid w:val="00941BC8"/>
    <w:rsid w:val="009429F1"/>
    <w:rsid w:val="00944DB9"/>
    <w:rsid w:val="00944F80"/>
    <w:rsid w:val="00945D98"/>
    <w:rsid w:val="00951F21"/>
    <w:rsid w:val="009536AC"/>
    <w:rsid w:val="009540BD"/>
    <w:rsid w:val="0095454D"/>
    <w:rsid w:val="00954FA8"/>
    <w:rsid w:val="00956030"/>
    <w:rsid w:val="00956AAB"/>
    <w:rsid w:val="00956DC8"/>
    <w:rsid w:val="009639E9"/>
    <w:rsid w:val="00964070"/>
    <w:rsid w:val="009658BC"/>
    <w:rsid w:val="009670E3"/>
    <w:rsid w:val="00970185"/>
    <w:rsid w:val="00971A57"/>
    <w:rsid w:val="00972C2D"/>
    <w:rsid w:val="00974500"/>
    <w:rsid w:val="00975DDB"/>
    <w:rsid w:val="00980D3C"/>
    <w:rsid w:val="00982A28"/>
    <w:rsid w:val="00983E66"/>
    <w:rsid w:val="00987811"/>
    <w:rsid w:val="009905B2"/>
    <w:rsid w:val="00990F02"/>
    <w:rsid w:val="00991542"/>
    <w:rsid w:val="009926D5"/>
    <w:rsid w:val="009946B6"/>
    <w:rsid w:val="009962AD"/>
    <w:rsid w:val="0099750F"/>
    <w:rsid w:val="009A02EC"/>
    <w:rsid w:val="009A0FE9"/>
    <w:rsid w:val="009A1528"/>
    <w:rsid w:val="009A1E3E"/>
    <w:rsid w:val="009A43BD"/>
    <w:rsid w:val="009A5F84"/>
    <w:rsid w:val="009A68F2"/>
    <w:rsid w:val="009A7673"/>
    <w:rsid w:val="009A7DBB"/>
    <w:rsid w:val="009B1D74"/>
    <w:rsid w:val="009B4AF1"/>
    <w:rsid w:val="009B4C67"/>
    <w:rsid w:val="009B6094"/>
    <w:rsid w:val="009B6400"/>
    <w:rsid w:val="009C14B7"/>
    <w:rsid w:val="009C1B02"/>
    <w:rsid w:val="009C27FF"/>
    <w:rsid w:val="009C59C7"/>
    <w:rsid w:val="009C5B78"/>
    <w:rsid w:val="009C6378"/>
    <w:rsid w:val="009C6515"/>
    <w:rsid w:val="009C6519"/>
    <w:rsid w:val="009C75FD"/>
    <w:rsid w:val="009D2AEA"/>
    <w:rsid w:val="009D5F59"/>
    <w:rsid w:val="009D7C28"/>
    <w:rsid w:val="009E1858"/>
    <w:rsid w:val="009E3A35"/>
    <w:rsid w:val="009F0B81"/>
    <w:rsid w:val="009F5A6A"/>
    <w:rsid w:val="00A00F28"/>
    <w:rsid w:val="00A022CE"/>
    <w:rsid w:val="00A02668"/>
    <w:rsid w:val="00A03CE0"/>
    <w:rsid w:val="00A03FD7"/>
    <w:rsid w:val="00A0429D"/>
    <w:rsid w:val="00A04E24"/>
    <w:rsid w:val="00A06759"/>
    <w:rsid w:val="00A06B6C"/>
    <w:rsid w:val="00A0707E"/>
    <w:rsid w:val="00A126E8"/>
    <w:rsid w:val="00A14B01"/>
    <w:rsid w:val="00A15329"/>
    <w:rsid w:val="00A20D3A"/>
    <w:rsid w:val="00A21AAB"/>
    <w:rsid w:val="00A23EF1"/>
    <w:rsid w:val="00A25A96"/>
    <w:rsid w:val="00A260C1"/>
    <w:rsid w:val="00A27E55"/>
    <w:rsid w:val="00A315FD"/>
    <w:rsid w:val="00A32247"/>
    <w:rsid w:val="00A33A08"/>
    <w:rsid w:val="00A349A2"/>
    <w:rsid w:val="00A34A9C"/>
    <w:rsid w:val="00A37D9F"/>
    <w:rsid w:val="00A41423"/>
    <w:rsid w:val="00A44132"/>
    <w:rsid w:val="00A44A5E"/>
    <w:rsid w:val="00A44E8C"/>
    <w:rsid w:val="00A46AE4"/>
    <w:rsid w:val="00A5015B"/>
    <w:rsid w:val="00A503E8"/>
    <w:rsid w:val="00A50F14"/>
    <w:rsid w:val="00A517F0"/>
    <w:rsid w:val="00A51929"/>
    <w:rsid w:val="00A533A2"/>
    <w:rsid w:val="00A5429B"/>
    <w:rsid w:val="00A5512F"/>
    <w:rsid w:val="00A557E8"/>
    <w:rsid w:val="00A55BB4"/>
    <w:rsid w:val="00A55D7E"/>
    <w:rsid w:val="00A56D34"/>
    <w:rsid w:val="00A623B8"/>
    <w:rsid w:val="00A64A15"/>
    <w:rsid w:val="00A64EDE"/>
    <w:rsid w:val="00A66A6C"/>
    <w:rsid w:val="00A67080"/>
    <w:rsid w:val="00A672EE"/>
    <w:rsid w:val="00A70159"/>
    <w:rsid w:val="00A7091B"/>
    <w:rsid w:val="00A71BB4"/>
    <w:rsid w:val="00A72F3B"/>
    <w:rsid w:val="00A7575A"/>
    <w:rsid w:val="00A76BD4"/>
    <w:rsid w:val="00A8260C"/>
    <w:rsid w:val="00A8322D"/>
    <w:rsid w:val="00A8331A"/>
    <w:rsid w:val="00A83849"/>
    <w:rsid w:val="00A84828"/>
    <w:rsid w:val="00A86509"/>
    <w:rsid w:val="00A8797C"/>
    <w:rsid w:val="00A87C79"/>
    <w:rsid w:val="00A915FB"/>
    <w:rsid w:val="00A9568D"/>
    <w:rsid w:val="00AA1047"/>
    <w:rsid w:val="00AA4A89"/>
    <w:rsid w:val="00AA6646"/>
    <w:rsid w:val="00AA66A9"/>
    <w:rsid w:val="00AB05C0"/>
    <w:rsid w:val="00AB511C"/>
    <w:rsid w:val="00AB5E74"/>
    <w:rsid w:val="00AC09C8"/>
    <w:rsid w:val="00AC0CB1"/>
    <w:rsid w:val="00AC0DDD"/>
    <w:rsid w:val="00AC1553"/>
    <w:rsid w:val="00AC18B0"/>
    <w:rsid w:val="00AC22DD"/>
    <w:rsid w:val="00AC355C"/>
    <w:rsid w:val="00AC56B2"/>
    <w:rsid w:val="00AD0866"/>
    <w:rsid w:val="00AD2575"/>
    <w:rsid w:val="00AD2A61"/>
    <w:rsid w:val="00AD35C4"/>
    <w:rsid w:val="00AD3C51"/>
    <w:rsid w:val="00AD4BC5"/>
    <w:rsid w:val="00AD738F"/>
    <w:rsid w:val="00AE42D5"/>
    <w:rsid w:val="00AE5560"/>
    <w:rsid w:val="00AE5BF4"/>
    <w:rsid w:val="00AE6450"/>
    <w:rsid w:val="00AE7975"/>
    <w:rsid w:val="00AF08F6"/>
    <w:rsid w:val="00AF095C"/>
    <w:rsid w:val="00AF0A72"/>
    <w:rsid w:val="00AF1853"/>
    <w:rsid w:val="00AF2189"/>
    <w:rsid w:val="00AF2EEE"/>
    <w:rsid w:val="00AF412C"/>
    <w:rsid w:val="00AF487C"/>
    <w:rsid w:val="00AF6C28"/>
    <w:rsid w:val="00AF6E29"/>
    <w:rsid w:val="00B00E6B"/>
    <w:rsid w:val="00B01024"/>
    <w:rsid w:val="00B01607"/>
    <w:rsid w:val="00B02580"/>
    <w:rsid w:val="00B02CB3"/>
    <w:rsid w:val="00B03E5A"/>
    <w:rsid w:val="00B06C80"/>
    <w:rsid w:val="00B1035C"/>
    <w:rsid w:val="00B107E1"/>
    <w:rsid w:val="00B130AD"/>
    <w:rsid w:val="00B139A2"/>
    <w:rsid w:val="00B141FA"/>
    <w:rsid w:val="00B14717"/>
    <w:rsid w:val="00B15AA0"/>
    <w:rsid w:val="00B17EA1"/>
    <w:rsid w:val="00B17F76"/>
    <w:rsid w:val="00B20BD6"/>
    <w:rsid w:val="00B21445"/>
    <w:rsid w:val="00B226D2"/>
    <w:rsid w:val="00B2334D"/>
    <w:rsid w:val="00B2494A"/>
    <w:rsid w:val="00B24EC7"/>
    <w:rsid w:val="00B266B0"/>
    <w:rsid w:val="00B30333"/>
    <w:rsid w:val="00B30980"/>
    <w:rsid w:val="00B31024"/>
    <w:rsid w:val="00B31E59"/>
    <w:rsid w:val="00B335BD"/>
    <w:rsid w:val="00B33FAF"/>
    <w:rsid w:val="00B3593A"/>
    <w:rsid w:val="00B36FC8"/>
    <w:rsid w:val="00B401C1"/>
    <w:rsid w:val="00B40714"/>
    <w:rsid w:val="00B43B66"/>
    <w:rsid w:val="00B43EE7"/>
    <w:rsid w:val="00B440BC"/>
    <w:rsid w:val="00B44743"/>
    <w:rsid w:val="00B46D3E"/>
    <w:rsid w:val="00B503F2"/>
    <w:rsid w:val="00B510E0"/>
    <w:rsid w:val="00B605F3"/>
    <w:rsid w:val="00B60FF4"/>
    <w:rsid w:val="00B63A5C"/>
    <w:rsid w:val="00B650CB"/>
    <w:rsid w:val="00B65722"/>
    <w:rsid w:val="00B70D70"/>
    <w:rsid w:val="00B7142A"/>
    <w:rsid w:val="00B71766"/>
    <w:rsid w:val="00B77732"/>
    <w:rsid w:val="00B80196"/>
    <w:rsid w:val="00B82F34"/>
    <w:rsid w:val="00B835D6"/>
    <w:rsid w:val="00B836E8"/>
    <w:rsid w:val="00B844E9"/>
    <w:rsid w:val="00B87627"/>
    <w:rsid w:val="00B908F3"/>
    <w:rsid w:val="00B91264"/>
    <w:rsid w:val="00B916E0"/>
    <w:rsid w:val="00B917B8"/>
    <w:rsid w:val="00B93415"/>
    <w:rsid w:val="00B946EF"/>
    <w:rsid w:val="00B95F75"/>
    <w:rsid w:val="00B95FB7"/>
    <w:rsid w:val="00B961EB"/>
    <w:rsid w:val="00BA04AF"/>
    <w:rsid w:val="00BA09BC"/>
    <w:rsid w:val="00BA19E3"/>
    <w:rsid w:val="00BA1D0D"/>
    <w:rsid w:val="00BA1D50"/>
    <w:rsid w:val="00BA24A2"/>
    <w:rsid w:val="00BB3842"/>
    <w:rsid w:val="00BC1884"/>
    <w:rsid w:val="00BC1F2C"/>
    <w:rsid w:val="00BC1FD4"/>
    <w:rsid w:val="00BC3342"/>
    <w:rsid w:val="00BC3510"/>
    <w:rsid w:val="00BC44F7"/>
    <w:rsid w:val="00BC56DC"/>
    <w:rsid w:val="00BD0712"/>
    <w:rsid w:val="00BD0C4E"/>
    <w:rsid w:val="00BD1665"/>
    <w:rsid w:val="00BD1D08"/>
    <w:rsid w:val="00BD2F8A"/>
    <w:rsid w:val="00BD47B7"/>
    <w:rsid w:val="00BD5389"/>
    <w:rsid w:val="00BD577A"/>
    <w:rsid w:val="00BD6142"/>
    <w:rsid w:val="00BD7055"/>
    <w:rsid w:val="00BE2B37"/>
    <w:rsid w:val="00BF13DA"/>
    <w:rsid w:val="00BF1D5D"/>
    <w:rsid w:val="00BF42D5"/>
    <w:rsid w:val="00BF5625"/>
    <w:rsid w:val="00BF5C2A"/>
    <w:rsid w:val="00C008F1"/>
    <w:rsid w:val="00C00940"/>
    <w:rsid w:val="00C04DA7"/>
    <w:rsid w:val="00C05170"/>
    <w:rsid w:val="00C052D8"/>
    <w:rsid w:val="00C0597A"/>
    <w:rsid w:val="00C06068"/>
    <w:rsid w:val="00C062EA"/>
    <w:rsid w:val="00C079E5"/>
    <w:rsid w:val="00C13012"/>
    <w:rsid w:val="00C13565"/>
    <w:rsid w:val="00C13A5E"/>
    <w:rsid w:val="00C13F31"/>
    <w:rsid w:val="00C15394"/>
    <w:rsid w:val="00C15666"/>
    <w:rsid w:val="00C16189"/>
    <w:rsid w:val="00C20BA9"/>
    <w:rsid w:val="00C23BA2"/>
    <w:rsid w:val="00C2495B"/>
    <w:rsid w:val="00C32285"/>
    <w:rsid w:val="00C33F8C"/>
    <w:rsid w:val="00C340D3"/>
    <w:rsid w:val="00C373E3"/>
    <w:rsid w:val="00C40CA4"/>
    <w:rsid w:val="00C4214E"/>
    <w:rsid w:val="00C4347F"/>
    <w:rsid w:val="00C468A8"/>
    <w:rsid w:val="00C508F0"/>
    <w:rsid w:val="00C555E7"/>
    <w:rsid w:val="00C56A36"/>
    <w:rsid w:val="00C60DFB"/>
    <w:rsid w:val="00C61594"/>
    <w:rsid w:val="00C62B17"/>
    <w:rsid w:val="00C6512A"/>
    <w:rsid w:val="00C67847"/>
    <w:rsid w:val="00C67E34"/>
    <w:rsid w:val="00C70CF7"/>
    <w:rsid w:val="00C71659"/>
    <w:rsid w:val="00C7207C"/>
    <w:rsid w:val="00C7270F"/>
    <w:rsid w:val="00C72D6C"/>
    <w:rsid w:val="00C73C41"/>
    <w:rsid w:val="00C73FE5"/>
    <w:rsid w:val="00C74279"/>
    <w:rsid w:val="00C75416"/>
    <w:rsid w:val="00C76390"/>
    <w:rsid w:val="00C76D10"/>
    <w:rsid w:val="00C7729E"/>
    <w:rsid w:val="00C8059C"/>
    <w:rsid w:val="00C806EC"/>
    <w:rsid w:val="00C81C81"/>
    <w:rsid w:val="00C83113"/>
    <w:rsid w:val="00C836AB"/>
    <w:rsid w:val="00C83FDA"/>
    <w:rsid w:val="00C84230"/>
    <w:rsid w:val="00C84CB1"/>
    <w:rsid w:val="00C85039"/>
    <w:rsid w:val="00C86D8B"/>
    <w:rsid w:val="00C90189"/>
    <w:rsid w:val="00C90F7B"/>
    <w:rsid w:val="00C91395"/>
    <w:rsid w:val="00C91690"/>
    <w:rsid w:val="00C91C38"/>
    <w:rsid w:val="00C92286"/>
    <w:rsid w:val="00C92332"/>
    <w:rsid w:val="00C92EA9"/>
    <w:rsid w:val="00C94F05"/>
    <w:rsid w:val="00C95C64"/>
    <w:rsid w:val="00CA1FF2"/>
    <w:rsid w:val="00CA2B87"/>
    <w:rsid w:val="00CA509B"/>
    <w:rsid w:val="00CA5CDC"/>
    <w:rsid w:val="00CB24EA"/>
    <w:rsid w:val="00CB5496"/>
    <w:rsid w:val="00CC16BF"/>
    <w:rsid w:val="00CC3563"/>
    <w:rsid w:val="00CC3C24"/>
    <w:rsid w:val="00CC479A"/>
    <w:rsid w:val="00CC489E"/>
    <w:rsid w:val="00CC5785"/>
    <w:rsid w:val="00CC7571"/>
    <w:rsid w:val="00CC7E81"/>
    <w:rsid w:val="00CD0D28"/>
    <w:rsid w:val="00CD1001"/>
    <w:rsid w:val="00CD4DAC"/>
    <w:rsid w:val="00CD5670"/>
    <w:rsid w:val="00CD5CB3"/>
    <w:rsid w:val="00CD5D59"/>
    <w:rsid w:val="00CE0D6A"/>
    <w:rsid w:val="00CE28A2"/>
    <w:rsid w:val="00CE334C"/>
    <w:rsid w:val="00CE3D57"/>
    <w:rsid w:val="00CE76C6"/>
    <w:rsid w:val="00CF09FC"/>
    <w:rsid w:val="00CF1F60"/>
    <w:rsid w:val="00CF237B"/>
    <w:rsid w:val="00CF2734"/>
    <w:rsid w:val="00CF5A86"/>
    <w:rsid w:val="00D03326"/>
    <w:rsid w:val="00D040B1"/>
    <w:rsid w:val="00D05EFD"/>
    <w:rsid w:val="00D0689F"/>
    <w:rsid w:val="00D06D77"/>
    <w:rsid w:val="00D105A3"/>
    <w:rsid w:val="00D11DC1"/>
    <w:rsid w:val="00D17231"/>
    <w:rsid w:val="00D17F7A"/>
    <w:rsid w:val="00D215D5"/>
    <w:rsid w:val="00D21A36"/>
    <w:rsid w:val="00D249D0"/>
    <w:rsid w:val="00D3060A"/>
    <w:rsid w:val="00D30657"/>
    <w:rsid w:val="00D30CA0"/>
    <w:rsid w:val="00D3289A"/>
    <w:rsid w:val="00D331EA"/>
    <w:rsid w:val="00D356A3"/>
    <w:rsid w:val="00D36E9E"/>
    <w:rsid w:val="00D374F4"/>
    <w:rsid w:val="00D37C49"/>
    <w:rsid w:val="00D40A01"/>
    <w:rsid w:val="00D41BA2"/>
    <w:rsid w:val="00D444C2"/>
    <w:rsid w:val="00D4621A"/>
    <w:rsid w:val="00D478D3"/>
    <w:rsid w:val="00D50D7C"/>
    <w:rsid w:val="00D5141C"/>
    <w:rsid w:val="00D5217D"/>
    <w:rsid w:val="00D527BF"/>
    <w:rsid w:val="00D540FB"/>
    <w:rsid w:val="00D55C04"/>
    <w:rsid w:val="00D561AA"/>
    <w:rsid w:val="00D56642"/>
    <w:rsid w:val="00D56E33"/>
    <w:rsid w:val="00D5764E"/>
    <w:rsid w:val="00D57927"/>
    <w:rsid w:val="00D61276"/>
    <w:rsid w:val="00D636B3"/>
    <w:rsid w:val="00D636DE"/>
    <w:rsid w:val="00D6540F"/>
    <w:rsid w:val="00D6755C"/>
    <w:rsid w:val="00D7120A"/>
    <w:rsid w:val="00D73EBF"/>
    <w:rsid w:val="00D74AA5"/>
    <w:rsid w:val="00D752DD"/>
    <w:rsid w:val="00D75CC2"/>
    <w:rsid w:val="00D83DE3"/>
    <w:rsid w:val="00D8571E"/>
    <w:rsid w:val="00D86C53"/>
    <w:rsid w:val="00D8728C"/>
    <w:rsid w:val="00D87F90"/>
    <w:rsid w:val="00D906F7"/>
    <w:rsid w:val="00D90795"/>
    <w:rsid w:val="00D91840"/>
    <w:rsid w:val="00D940B2"/>
    <w:rsid w:val="00D9466F"/>
    <w:rsid w:val="00D9613D"/>
    <w:rsid w:val="00D966B0"/>
    <w:rsid w:val="00DA1021"/>
    <w:rsid w:val="00DA1E54"/>
    <w:rsid w:val="00DA29AD"/>
    <w:rsid w:val="00DA369C"/>
    <w:rsid w:val="00DA55A4"/>
    <w:rsid w:val="00DA6145"/>
    <w:rsid w:val="00DA7118"/>
    <w:rsid w:val="00DB24D4"/>
    <w:rsid w:val="00DB3071"/>
    <w:rsid w:val="00DB3EE8"/>
    <w:rsid w:val="00DB586A"/>
    <w:rsid w:val="00DB58D7"/>
    <w:rsid w:val="00DB7D83"/>
    <w:rsid w:val="00DC0A2C"/>
    <w:rsid w:val="00DC1147"/>
    <w:rsid w:val="00DC11AB"/>
    <w:rsid w:val="00DC1FFC"/>
    <w:rsid w:val="00DC21A7"/>
    <w:rsid w:val="00DC426E"/>
    <w:rsid w:val="00DC446A"/>
    <w:rsid w:val="00DC6F64"/>
    <w:rsid w:val="00DC7391"/>
    <w:rsid w:val="00DC73E1"/>
    <w:rsid w:val="00DC7DA6"/>
    <w:rsid w:val="00DC7ECE"/>
    <w:rsid w:val="00DD08E1"/>
    <w:rsid w:val="00DD0A90"/>
    <w:rsid w:val="00DD0FDB"/>
    <w:rsid w:val="00DD27D4"/>
    <w:rsid w:val="00DD3086"/>
    <w:rsid w:val="00DD368F"/>
    <w:rsid w:val="00DD3F9C"/>
    <w:rsid w:val="00DD4A97"/>
    <w:rsid w:val="00DD68E5"/>
    <w:rsid w:val="00DD7951"/>
    <w:rsid w:val="00DE1D12"/>
    <w:rsid w:val="00DE2A53"/>
    <w:rsid w:val="00DE2B90"/>
    <w:rsid w:val="00DE54FE"/>
    <w:rsid w:val="00DE5A2F"/>
    <w:rsid w:val="00DE7576"/>
    <w:rsid w:val="00DE7A43"/>
    <w:rsid w:val="00DE7DA8"/>
    <w:rsid w:val="00DF003A"/>
    <w:rsid w:val="00DF0F64"/>
    <w:rsid w:val="00DF192A"/>
    <w:rsid w:val="00DF1E37"/>
    <w:rsid w:val="00DF243D"/>
    <w:rsid w:val="00DF382F"/>
    <w:rsid w:val="00DF5ECD"/>
    <w:rsid w:val="00DF6087"/>
    <w:rsid w:val="00DF615A"/>
    <w:rsid w:val="00DF6AB8"/>
    <w:rsid w:val="00DF7F48"/>
    <w:rsid w:val="00E007B1"/>
    <w:rsid w:val="00E00A0C"/>
    <w:rsid w:val="00E03163"/>
    <w:rsid w:val="00E03C8C"/>
    <w:rsid w:val="00E05568"/>
    <w:rsid w:val="00E072AC"/>
    <w:rsid w:val="00E0761E"/>
    <w:rsid w:val="00E12065"/>
    <w:rsid w:val="00E15C68"/>
    <w:rsid w:val="00E16CB0"/>
    <w:rsid w:val="00E179EB"/>
    <w:rsid w:val="00E17EC4"/>
    <w:rsid w:val="00E2129C"/>
    <w:rsid w:val="00E224D9"/>
    <w:rsid w:val="00E22592"/>
    <w:rsid w:val="00E25CAD"/>
    <w:rsid w:val="00E305F8"/>
    <w:rsid w:val="00E30FF6"/>
    <w:rsid w:val="00E31C8B"/>
    <w:rsid w:val="00E337BB"/>
    <w:rsid w:val="00E364CE"/>
    <w:rsid w:val="00E37403"/>
    <w:rsid w:val="00E37502"/>
    <w:rsid w:val="00E377CC"/>
    <w:rsid w:val="00E40980"/>
    <w:rsid w:val="00E41436"/>
    <w:rsid w:val="00E41F0F"/>
    <w:rsid w:val="00E424B1"/>
    <w:rsid w:val="00E43810"/>
    <w:rsid w:val="00E44DB8"/>
    <w:rsid w:val="00E46394"/>
    <w:rsid w:val="00E50334"/>
    <w:rsid w:val="00E50624"/>
    <w:rsid w:val="00E51683"/>
    <w:rsid w:val="00E52EA6"/>
    <w:rsid w:val="00E5440E"/>
    <w:rsid w:val="00E54982"/>
    <w:rsid w:val="00E54DB0"/>
    <w:rsid w:val="00E579B4"/>
    <w:rsid w:val="00E60E2C"/>
    <w:rsid w:val="00E656BB"/>
    <w:rsid w:val="00E66213"/>
    <w:rsid w:val="00E70D67"/>
    <w:rsid w:val="00E71293"/>
    <w:rsid w:val="00E73F7E"/>
    <w:rsid w:val="00E744A3"/>
    <w:rsid w:val="00E75A3A"/>
    <w:rsid w:val="00E75C16"/>
    <w:rsid w:val="00E77373"/>
    <w:rsid w:val="00E8012D"/>
    <w:rsid w:val="00E80F03"/>
    <w:rsid w:val="00E82E49"/>
    <w:rsid w:val="00E857C9"/>
    <w:rsid w:val="00E86D90"/>
    <w:rsid w:val="00E907F8"/>
    <w:rsid w:val="00E91104"/>
    <w:rsid w:val="00E93C08"/>
    <w:rsid w:val="00E94334"/>
    <w:rsid w:val="00E95C09"/>
    <w:rsid w:val="00EA0D41"/>
    <w:rsid w:val="00EA22E5"/>
    <w:rsid w:val="00EA2424"/>
    <w:rsid w:val="00EA309C"/>
    <w:rsid w:val="00EA32F8"/>
    <w:rsid w:val="00EA348D"/>
    <w:rsid w:val="00EA4FED"/>
    <w:rsid w:val="00EA7DB1"/>
    <w:rsid w:val="00EB1B45"/>
    <w:rsid w:val="00EB32D8"/>
    <w:rsid w:val="00EB34A8"/>
    <w:rsid w:val="00EB39A5"/>
    <w:rsid w:val="00EB58FF"/>
    <w:rsid w:val="00EB6C9C"/>
    <w:rsid w:val="00EB766C"/>
    <w:rsid w:val="00EC0302"/>
    <w:rsid w:val="00EC19F3"/>
    <w:rsid w:val="00EC1C54"/>
    <w:rsid w:val="00EC2CEB"/>
    <w:rsid w:val="00EC596F"/>
    <w:rsid w:val="00EC6A3C"/>
    <w:rsid w:val="00ED089C"/>
    <w:rsid w:val="00ED0E03"/>
    <w:rsid w:val="00ED1750"/>
    <w:rsid w:val="00ED1D20"/>
    <w:rsid w:val="00ED2CED"/>
    <w:rsid w:val="00ED2E4A"/>
    <w:rsid w:val="00ED3AAE"/>
    <w:rsid w:val="00ED3DEE"/>
    <w:rsid w:val="00ED48BC"/>
    <w:rsid w:val="00ED4C74"/>
    <w:rsid w:val="00ED66D7"/>
    <w:rsid w:val="00ED758E"/>
    <w:rsid w:val="00ED7A57"/>
    <w:rsid w:val="00EE04C3"/>
    <w:rsid w:val="00EE0D36"/>
    <w:rsid w:val="00EF0205"/>
    <w:rsid w:val="00EF06E9"/>
    <w:rsid w:val="00EF08C6"/>
    <w:rsid w:val="00EF0C13"/>
    <w:rsid w:val="00EF11F4"/>
    <w:rsid w:val="00EF13E0"/>
    <w:rsid w:val="00EF3934"/>
    <w:rsid w:val="00EF3A9D"/>
    <w:rsid w:val="00EF70CC"/>
    <w:rsid w:val="00EF72D4"/>
    <w:rsid w:val="00F01C8C"/>
    <w:rsid w:val="00F01F29"/>
    <w:rsid w:val="00F04DA5"/>
    <w:rsid w:val="00F0511A"/>
    <w:rsid w:val="00F05138"/>
    <w:rsid w:val="00F0671A"/>
    <w:rsid w:val="00F12684"/>
    <w:rsid w:val="00F127B1"/>
    <w:rsid w:val="00F12CB4"/>
    <w:rsid w:val="00F135F3"/>
    <w:rsid w:val="00F14FEE"/>
    <w:rsid w:val="00F15231"/>
    <w:rsid w:val="00F157D6"/>
    <w:rsid w:val="00F170E8"/>
    <w:rsid w:val="00F17ABA"/>
    <w:rsid w:val="00F17EE1"/>
    <w:rsid w:val="00F202E9"/>
    <w:rsid w:val="00F211D7"/>
    <w:rsid w:val="00F21A18"/>
    <w:rsid w:val="00F23536"/>
    <w:rsid w:val="00F25BF0"/>
    <w:rsid w:val="00F27C46"/>
    <w:rsid w:val="00F30772"/>
    <w:rsid w:val="00F312CC"/>
    <w:rsid w:val="00F3421A"/>
    <w:rsid w:val="00F35143"/>
    <w:rsid w:val="00F368F5"/>
    <w:rsid w:val="00F40AE2"/>
    <w:rsid w:val="00F418D1"/>
    <w:rsid w:val="00F4398F"/>
    <w:rsid w:val="00F43E2E"/>
    <w:rsid w:val="00F44BB4"/>
    <w:rsid w:val="00F44F04"/>
    <w:rsid w:val="00F45199"/>
    <w:rsid w:val="00F45A8A"/>
    <w:rsid w:val="00F478AD"/>
    <w:rsid w:val="00F50817"/>
    <w:rsid w:val="00F529D9"/>
    <w:rsid w:val="00F540EE"/>
    <w:rsid w:val="00F549DD"/>
    <w:rsid w:val="00F54A89"/>
    <w:rsid w:val="00F55EE8"/>
    <w:rsid w:val="00F56B33"/>
    <w:rsid w:val="00F577F1"/>
    <w:rsid w:val="00F611D5"/>
    <w:rsid w:val="00F612E4"/>
    <w:rsid w:val="00F6155F"/>
    <w:rsid w:val="00F61656"/>
    <w:rsid w:val="00F638DF"/>
    <w:rsid w:val="00F64078"/>
    <w:rsid w:val="00F6420E"/>
    <w:rsid w:val="00F645CF"/>
    <w:rsid w:val="00F648AC"/>
    <w:rsid w:val="00F660F6"/>
    <w:rsid w:val="00F66D65"/>
    <w:rsid w:val="00F70764"/>
    <w:rsid w:val="00F707B8"/>
    <w:rsid w:val="00F70E21"/>
    <w:rsid w:val="00F72DA4"/>
    <w:rsid w:val="00F73100"/>
    <w:rsid w:val="00F736E0"/>
    <w:rsid w:val="00F768D1"/>
    <w:rsid w:val="00F76C1E"/>
    <w:rsid w:val="00F8197F"/>
    <w:rsid w:val="00F82884"/>
    <w:rsid w:val="00F833AC"/>
    <w:rsid w:val="00F83975"/>
    <w:rsid w:val="00F86FCD"/>
    <w:rsid w:val="00F87736"/>
    <w:rsid w:val="00F91514"/>
    <w:rsid w:val="00F93024"/>
    <w:rsid w:val="00F93663"/>
    <w:rsid w:val="00F93DC1"/>
    <w:rsid w:val="00F94204"/>
    <w:rsid w:val="00F951A1"/>
    <w:rsid w:val="00F951D0"/>
    <w:rsid w:val="00F97CFA"/>
    <w:rsid w:val="00FA0453"/>
    <w:rsid w:val="00FA386D"/>
    <w:rsid w:val="00FA47AD"/>
    <w:rsid w:val="00FA4B3A"/>
    <w:rsid w:val="00FA4E84"/>
    <w:rsid w:val="00FA4F5A"/>
    <w:rsid w:val="00FA506A"/>
    <w:rsid w:val="00FA5319"/>
    <w:rsid w:val="00FA5B1B"/>
    <w:rsid w:val="00FA6767"/>
    <w:rsid w:val="00FA6F2D"/>
    <w:rsid w:val="00FB0204"/>
    <w:rsid w:val="00FB50EC"/>
    <w:rsid w:val="00FB5EC6"/>
    <w:rsid w:val="00FB66D7"/>
    <w:rsid w:val="00FB6896"/>
    <w:rsid w:val="00FB6936"/>
    <w:rsid w:val="00FB6961"/>
    <w:rsid w:val="00FB722C"/>
    <w:rsid w:val="00FB7695"/>
    <w:rsid w:val="00FC2EFE"/>
    <w:rsid w:val="00FC5562"/>
    <w:rsid w:val="00FC69B1"/>
    <w:rsid w:val="00FC6B60"/>
    <w:rsid w:val="00FD04E5"/>
    <w:rsid w:val="00FD0CFF"/>
    <w:rsid w:val="00FD20CC"/>
    <w:rsid w:val="00FD408B"/>
    <w:rsid w:val="00FD4479"/>
    <w:rsid w:val="00FD517D"/>
    <w:rsid w:val="00FD60BB"/>
    <w:rsid w:val="00FD6397"/>
    <w:rsid w:val="00FD6829"/>
    <w:rsid w:val="00FE00EF"/>
    <w:rsid w:val="00FE0730"/>
    <w:rsid w:val="00FE1FC2"/>
    <w:rsid w:val="00FE26D0"/>
    <w:rsid w:val="00FE417B"/>
    <w:rsid w:val="00FE4780"/>
    <w:rsid w:val="00FE627C"/>
    <w:rsid w:val="00FE653D"/>
    <w:rsid w:val="00FE6706"/>
    <w:rsid w:val="00FE7825"/>
    <w:rsid w:val="00FF0346"/>
    <w:rsid w:val="00FF0663"/>
    <w:rsid w:val="00FF14DB"/>
    <w:rsid w:val="00FF1826"/>
    <w:rsid w:val="00FF1A35"/>
    <w:rsid w:val="00FF2A0F"/>
    <w:rsid w:val="00FF3409"/>
    <w:rsid w:val="00FF3A98"/>
    <w:rsid w:val="00FF5BFE"/>
    <w:rsid w:val="00FF6292"/>
    <w:rsid w:val="00FF77E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7"/>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aliases w:val="TableGrid,网格型"/>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6"/>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0MaintextChar">
    <w:name w:val="0 Main text Char"/>
    <w:link w:val="0Maintext"/>
    <w:qFormat/>
    <w:locked/>
    <w:rsid w:val="009B4C67"/>
    <w:rPr>
      <w:lang w:val="en-GB" w:eastAsia="en-US"/>
    </w:rPr>
  </w:style>
  <w:style w:type="paragraph" w:customStyle="1" w:styleId="0Maintext">
    <w:name w:val="0 Main text"/>
    <w:basedOn w:val="Normal"/>
    <w:link w:val="0MaintextChar"/>
    <w:qFormat/>
    <w:rsid w:val="009B4C67"/>
    <w:pPr>
      <w:spacing w:after="0"/>
      <w:jc w:val="both"/>
    </w:pPr>
  </w:style>
  <w:style w:type="paragraph" w:customStyle="1" w:styleId="Normal9pointspacing">
    <w:name w:val="Normal 9 point spacing"/>
    <w:basedOn w:val="BodyText"/>
    <w:link w:val="Normal9pointspacingChar"/>
    <w:qFormat/>
    <w:rsid w:val="0029484C"/>
    <w:pPr>
      <w:spacing w:before="240" w:after="60"/>
      <w:jc w:val="both"/>
    </w:pPr>
    <w:rPr>
      <w:rFonts w:eastAsia="MS Mincho"/>
      <w:szCs w:val="24"/>
      <w:lang w:val="x-none"/>
    </w:rPr>
  </w:style>
  <w:style w:type="character" w:customStyle="1" w:styleId="Normal9pointspacingChar">
    <w:name w:val="Normal 9 point spacing Char"/>
    <w:link w:val="Normal9pointspacing"/>
    <w:rsid w:val="0029484C"/>
    <w:rPr>
      <w:rFonts w:eastAsia="MS Mincho"/>
      <w:szCs w:val="24"/>
      <w:lang w:val="x-none" w:eastAsia="en-US"/>
    </w:rPr>
  </w:style>
  <w:style w:type="paragraph" w:customStyle="1" w:styleId="xmsonormal">
    <w:name w:val="x_msonormal"/>
    <w:basedOn w:val="Normal"/>
    <w:rsid w:val="00DD27D4"/>
    <w:pPr>
      <w:spacing w:before="100" w:beforeAutospacing="1" w:after="100" w:afterAutospacing="1"/>
    </w:pPr>
    <w:rPr>
      <w:rFonts w:eastAsia="Times New Roman"/>
      <w:sz w:val="24"/>
      <w:szCs w:val="24"/>
      <w:lang w:val="en-US"/>
    </w:rPr>
  </w:style>
  <w:style w:type="paragraph" w:customStyle="1" w:styleId="Default">
    <w:name w:val="Default"/>
    <w:rsid w:val="00F44F04"/>
    <w:pPr>
      <w:autoSpaceDE w:val="0"/>
      <w:autoSpaceDN w:val="0"/>
      <w:adjustRightInd w:val="0"/>
    </w:pPr>
    <w:rPr>
      <w:rFonts w:ascii="Arial" w:hAnsi="Arial" w:cs="Arial"/>
      <w:color w:val="000000"/>
      <w:sz w:val="24"/>
      <w:szCs w:val="24"/>
      <w:lang w:val="en-US"/>
    </w:rPr>
  </w:style>
  <w:style w:type="paragraph" w:customStyle="1" w:styleId="000proposal">
    <w:name w:val="000_proposal"/>
    <w:basedOn w:val="Normal"/>
    <w:link w:val="000proposalChar"/>
    <w:qFormat/>
    <w:rsid w:val="00CD1001"/>
    <w:pPr>
      <w:spacing w:before="120" w:after="120" w:line="264" w:lineRule="auto"/>
      <w:jc w:val="both"/>
    </w:pPr>
    <w:rPr>
      <w:rFonts w:eastAsia="SimSun"/>
      <w:b/>
      <w:bCs/>
      <w:i/>
      <w:iCs/>
      <w:sz w:val="22"/>
      <w:szCs w:val="24"/>
      <w:lang w:val="en-US" w:eastAsia="zh-CN"/>
    </w:rPr>
  </w:style>
  <w:style w:type="character" w:customStyle="1" w:styleId="000proposalChar">
    <w:name w:val="000_proposal Char"/>
    <w:basedOn w:val="DefaultParagraphFont"/>
    <w:link w:val="000proposal"/>
    <w:rsid w:val="00CD1001"/>
    <w:rPr>
      <w:rFonts w:eastAsia="SimSun"/>
      <w:b/>
      <w:bCs/>
      <w:i/>
      <w:iCs/>
      <w:sz w:val="22"/>
      <w:szCs w:val="24"/>
      <w:lang w:val="en-US" w:eastAsia="zh-CN"/>
    </w:rPr>
  </w:style>
  <w:style w:type="character" w:styleId="UnresolvedMention">
    <w:name w:val="Unresolved Mention"/>
    <w:basedOn w:val="DefaultParagraphFont"/>
    <w:uiPriority w:val="99"/>
    <w:semiHidden/>
    <w:unhideWhenUsed/>
    <w:rsid w:val="000777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06B3AB-6E80-4DBE-9290-C6287E464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4.xml><?xml version="1.0" encoding="utf-8"?>
<ds:datastoreItem xmlns:ds="http://schemas.openxmlformats.org/officeDocument/2006/customXml" ds:itemID="{87F377D1-48B9-4775-AEB1-629274C04577}">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21</TotalTime>
  <Pages>4</Pages>
  <Words>1724</Words>
  <Characters>9828</Characters>
  <Application>Microsoft Office Word</Application>
  <DocSecurity>0</DocSecurity>
  <Lines>81</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13</cp:revision>
  <dcterms:created xsi:type="dcterms:W3CDTF">2025-05-09T10:54:00Z</dcterms:created>
  <dcterms:modified xsi:type="dcterms:W3CDTF">2025-05-09T11:10:00Z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