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4BF3CFF" w:rsidR="004B1A33" w:rsidRPr="006D6BE9" w:rsidRDefault="00593B48"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#120</w:t>
      </w:r>
      <w:r w:rsidR="004B5C41">
        <w:rPr>
          <w:b/>
          <w:bCs/>
          <w:sz w:val="28"/>
        </w:rPr>
        <w:t>b</w:t>
      </w:r>
      <w:r w:rsidR="004B1A33" w:rsidRPr="006D6BE9">
        <w:rPr>
          <w:b/>
          <w:bCs/>
          <w:sz w:val="28"/>
        </w:rPr>
        <w:t xml:space="preserve">                                    </w:t>
      </w:r>
      <w:r w:rsidR="00074C87" w:rsidRPr="006D6BE9">
        <w:rPr>
          <w:b/>
          <w:bCs/>
          <w:sz w:val="28"/>
        </w:rPr>
        <w:t xml:space="preserve">     </w:t>
      </w:r>
      <w:r w:rsidR="004B1A33" w:rsidRPr="006D6BE9">
        <w:rPr>
          <w:b/>
          <w:bCs/>
          <w:sz w:val="28"/>
        </w:rPr>
        <w:t xml:space="preserve">    </w:t>
      </w:r>
      <w:r w:rsidR="0060722E" w:rsidRPr="006D6BE9">
        <w:rPr>
          <w:b/>
          <w:bCs/>
          <w:sz w:val="28"/>
        </w:rPr>
        <w:t xml:space="preserve">   </w:t>
      </w:r>
      <w:r w:rsidR="00582541" w:rsidRPr="006D6BE9">
        <w:rPr>
          <w:b/>
          <w:bCs/>
          <w:sz w:val="28"/>
        </w:rPr>
        <w:t xml:space="preserve">    </w:t>
      </w:r>
      <w:r w:rsidR="00257C1E" w:rsidRPr="006D6BE9">
        <w:rPr>
          <w:rFonts w:eastAsiaTheme="minorEastAsia"/>
          <w:lang w:eastAsia="zh-TW"/>
        </w:rPr>
        <w:t xml:space="preserve">   </w:t>
      </w:r>
      <w:r w:rsidR="00B34941" w:rsidRPr="006D6BE9">
        <w:rPr>
          <w:b/>
          <w:bCs/>
          <w:sz w:val="28"/>
        </w:rPr>
        <w:t xml:space="preserve">  </w:t>
      </w:r>
      <w:r w:rsidR="00B136F7" w:rsidRPr="00947815">
        <w:rPr>
          <w:b/>
          <w:bCs/>
          <w:sz w:val="28"/>
        </w:rPr>
        <w:t>R1-2502901</w:t>
      </w:r>
    </w:p>
    <w:p w14:paraId="63431AAE" w14:textId="1D5A8903" w:rsidR="008D0274" w:rsidRPr="006D6BE9" w:rsidRDefault="006A26A2" w:rsidP="008D0274">
      <w:pPr>
        <w:tabs>
          <w:tab w:val="center" w:pos="4536"/>
          <w:tab w:val="right" w:pos="9072"/>
        </w:tabs>
        <w:spacing w:after="240"/>
        <w:rPr>
          <w:rFonts w:eastAsia="MS Mincho"/>
          <w:b/>
          <w:bCs/>
          <w:sz w:val="28"/>
          <w:lang w:eastAsia="ja-JP"/>
        </w:rPr>
      </w:pPr>
      <w:r>
        <w:rPr>
          <w:rFonts w:eastAsia="MS Mincho"/>
          <w:b/>
          <w:bCs/>
          <w:sz w:val="28"/>
          <w:lang w:eastAsia="ja-JP"/>
        </w:rPr>
        <w:t>Wuhan</w:t>
      </w:r>
      <w:r w:rsidR="00593B48" w:rsidRPr="00593B48">
        <w:rPr>
          <w:rFonts w:eastAsia="MS Mincho"/>
          <w:b/>
          <w:bCs/>
          <w:sz w:val="28"/>
          <w:lang w:eastAsia="ja-JP"/>
        </w:rPr>
        <w:t xml:space="preserve">, </w:t>
      </w:r>
      <w:r w:rsidR="005B7D03">
        <w:rPr>
          <w:rFonts w:eastAsia="MS Mincho"/>
          <w:b/>
          <w:bCs/>
          <w:sz w:val="28"/>
          <w:lang w:eastAsia="ja-JP"/>
        </w:rPr>
        <w:t>China</w:t>
      </w:r>
      <w:r w:rsidR="00593B48" w:rsidRPr="00593B48">
        <w:rPr>
          <w:rFonts w:eastAsia="MS Mincho"/>
          <w:b/>
          <w:bCs/>
          <w:sz w:val="28"/>
          <w:lang w:eastAsia="ja-JP"/>
        </w:rPr>
        <w:t xml:space="preserve">, </w:t>
      </w:r>
      <w:r w:rsidR="005B7D03">
        <w:rPr>
          <w:rFonts w:eastAsia="MS Mincho"/>
          <w:b/>
          <w:bCs/>
          <w:sz w:val="28"/>
          <w:lang w:eastAsia="ja-JP"/>
        </w:rPr>
        <w:t>April 7th – 11th</w:t>
      </w:r>
      <w:r w:rsidR="00593B48" w:rsidRPr="00593B48">
        <w:rPr>
          <w:rFonts w:eastAsia="MS Mincho"/>
          <w:b/>
          <w:bCs/>
          <w:sz w:val="28"/>
          <w:lang w:eastAsia="ja-JP"/>
        </w:rPr>
        <w:t>, 2025</w:t>
      </w:r>
    </w:p>
    <w:p w14:paraId="7FCDD4DE" w14:textId="63BB246B" w:rsidR="00A40271" w:rsidRPr="006D6BE9" w:rsidRDefault="00D3058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Agenda Item:</w:t>
      </w:r>
      <w:r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ab/>
        <w:t>9.3.1</w:t>
      </w:r>
    </w:p>
    <w:p w14:paraId="166C5644" w14:textId="42CB82A1"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Source: </w:t>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ED7232" w:rsidRPr="006D6BE9">
        <w:rPr>
          <w:rFonts w:ascii="Times New Roman" w:eastAsia="MS Mincho" w:hAnsi="Times New Roman"/>
          <w:bCs/>
          <w:noProof w:val="0"/>
          <w:sz w:val="24"/>
          <w:szCs w:val="24"/>
          <w:lang w:eastAsia="ja-JP"/>
        </w:rPr>
        <w:t>Google</w:t>
      </w:r>
    </w:p>
    <w:p w14:paraId="55362DDE" w14:textId="094EC84C"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Title:</w:t>
      </w:r>
      <w:r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060B13" w:rsidRPr="006D6BE9">
        <w:rPr>
          <w:rFonts w:ascii="Times New Roman" w:eastAsia="MS Mincho" w:hAnsi="Times New Roman"/>
          <w:bCs/>
          <w:noProof w:val="0"/>
          <w:sz w:val="24"/>
          <w:szCs w:val="24"/>
          <w:lang w:eastAsia="ja-JP"/>
        </w:rPr>
        <w:t xml:space="preserve">Discussion on </w:t>
      </w:r>
      <w:r w:rsidR="00F32335" w:rsidRPr="006D6BE9">
        <w:rPr>
          <w:rFonts w:ascii="Times New Roman" w:eastAsia="MS Mincho" w:hAnsi="Times New Roman"/>
          <w:bCs/>
          <w:noProof w:val="0"/>
          <w:sz w:val="24"/>
          <w:szCs w:val="24"/>
          <w:lang w:eastAsia="ja-JP"/>
        </w:rPr>
        <w:t>SBFD TX/RX/measurement procedures</w:t>
      </w:r>
    </w:p>
    <w:p w14:paraId="34810E3F" w14:textId="49A845AA" w:rsidR="00EE036A"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Document for: </w:t>
      </w:r>
      <w:r w:rsidR="00D30581"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6D6BE9" w:rsidRDefault="00EE036A" w:rsidP="00EE036A">
      <w:pPr>
        <w:pStyle w:val="Heading1"/>
        <w:jc w:val="both"/>
        <w:rPr>
          <w:rFonts w:ascii="Times New Roman" w:hAnsi="Times New Roman"/>
          <w:lang w:eastAsia="zh-TW"/>
        </w:rPr>
      </w:pPr>
      <w:r w:rsidRPr="006D6BE9">
        <w:rPr>
          <w:rFonts w:ascii="Times New Roman" w:hAnsi="Times New Roman"/>
          <w:lang w:eastAsia="zh-TW"/>
        </w:rPr>
        <w:t>Introduction</w:t>
      </w:r>
    </w:p>
    <w:p w14:paraId="11099F49" w14:textId="6F5F625B" w:rsidR="0019252E" w:rsidRPr="006D6BE9" w:rsidRDefault="00C064C4" w:rsidP="0021477C">
      <w:pPr>
        <w:rPr>
          <w:rFonts w:eastAsia="Malgun Gothic"/>
          <w:sz w:val="22"/>
          <w:szCs w:val="40"/>
          <w:lang w:eastAsia="zh-CN"/>
        </w:rPr>
      </w:pPr>
      <w:r w:rsidRPr="006D6BE9">
        <w:rPr>
          <w:rFonts w:eastAsia="Malgun Gothic"/>
          <w:sz w:val="22"/>
          <w:szCs w:val="40"/>
          <w:lang w:eastAsia="zh-CN"/>
        </w:rPr>
        <w:t xml:space="preserve">In this document, we provide our views on </w:t>
      </w:r>
      <w:r w:rsidR="00647824" w:rsidRPr="006D6BE9">
        <w:rPr>
          <w:rFonts w:eastAsia="微軟正黑體"/>
          <w:sz w:val="22"/>
          <w:szCs w:val="40"/>
          <w:lang w:eastAsia="zh-TW"/>
        </w:rPr>
        <w:t>remaining issues of SBFD TX/RX/measurement procedures.</w:t>
      </w:r>
    </w:p>
    <w:p w14:paraId="504BF156" w14:textId="77777777" w:rsidR="006D6BE9" w:rsidRPr="00116BC2" w:rsidRDefault="006D6BE9" w:rsidP="00041F11">
      <w:pPr>
        <w:pStyle w:val="Heading1"/>
        <w:rPr>
          <w:rFonts w:ascii="Times New Roman" w:eastAsia="Times" w:hAnsi="Times New Roman"/>
        </w:rPr>
      </w:pPr>
      <w:r w:rsidRPr="00116BC2">
        <w:rPr>
          <w:rFonts w:ascii="Times New Roman" w:eastAsia="Times" w:hAnsi="Times New Roman"/>
        </w:rPr>
        <w:t>Discussion</w:t>
      </w:r>
    </w:p>
    <w:p w14:paraId="0118140A" w14:textId="42E7B7C5" w:rsidR="00C064C4" w:rsidRPr="00BE01CE" w:rsidRDefault="00E164F2" w:rsidP="00533249">
      <w:pPr>
        <w:pStyle w:val="Heading2"/>
        <w:rPr>
          <w:rFonts w:ascii="Times New Roman" w:hAnsi="Times New Roman"/>
          <w:color w:val="000000" w:themeColor="text1"/>
        </w:rPr>
      </w:pPr>
      <w:r w:rsidRPr="00BE01CE">
        <w:rPr>
          <w:rFonts w:ascii="Times New Roman" w:hAnsi="Times New Roman"/>
          <w:color w:val="000000" w:themeColor="text1"/>
        </w:rPr>
        <w:t>PUSCH repetition</w:t>
      </w:r>
      <w:r w:rsidR="00BD15BF" w:rsidRPr="00BE01CE">
        <w:rPr>
          <w:rFonts w:ascii="Times New Roman" w:hAnsi="Times New Roman"/>
          <w:color w:val="000000" w:themeColor="text1"/>
        </w:rPr>
        <w:t xml:space="preserve"> across SBFD and non-SBFD symbols</w:t>
      </w:r>
    </w:p>
    <w:tbl>
      <w:tblPr>
        <w:tblStyle w:val="TableGrid"/>
        <w:tblW w:w="0" w:type="auto"/>
        <w:tblLook w:val="04A0" w:firstRow="1" w:lastRow="0" w:firstColumn="1" w:lastColumn="0" w:noHBand="0" w:noVBand="1"/>
      </w:tblPr>
      <w:tblGrid>
        <w:gridCol w:w="9350"/>
      </w:tblGrid>
      <w:tr w:rsidR="00E164F2" w:rsidRPr="00BE01CE" w14:paraId="68E9241A" w14:textId="77777777" w:rsidTr="00E164F2">
        <w:tc>
          <w:tcPr>
            <w:tcW w:w="9350" w:type="dxa"/>
          </w:tcPr>
          <w:p w14:paraId="531ADE4C" w14:textId="5DCE013B" w:rsidR="00E164F2" w:rsidRPr="00BE01CE" w:rsidRDefault="00E164F2" w:rsidP="00E164F2">
            <w:pPr>
              <w:rPr>
                <w:bCs/>
                <w:color w:val="000000" w:themeColor="text1"/>
                <w:szCs w:val="20"/>
                <w:lang w:eastAsia="zh-CN"/>
              </w:rPr>
            </w:pPr>
            <w:r w:rsidRPr="00BE01CE">
              <w:rPr>
                <w:bCs/>
                <w:color w:val="000000" w:themeColor="text1"/>
                <w:szCs w:val="20"/>
                <w:highlight w:val="green"/>
                <w:lang w:eastAsia="zh-CN"/>
              </w:rPr>
              <w:t>Agreement</w:t>
            </w:r>
          </w:p>
          <w:p w14:paraId="48CEF62E" w14:textId="77777777" w:rsidR="00E164F2" w:rsidRPr="00BE01CE" w:rsidRDefault="00E164F2" w:rsidP="00E164F2">
            <w:pPr>
              <w:tabs>
                <w:tab w:val="left" w:pos="0"/>
              </w:tabs>
              <w:rPr>
                <w:color w:val="000000" w:themeColor="text1"/>
                <w:szCs w:val="20"/>
                <w:lang w:eastAsia="zh-CN"/>
              </w:rPr>
            </w:pPr>
            <w:r w:rsidRPr="00BE01CE">
              <w:rPr>
                <w:color w:val="000000" w:themeColor="text1"/>
                <w:szCs w:val="20"/>
              </w:rPr>
              <w:t>For a physical channel/signal occasion</w:t>
            </w:r>
            <w:r w:rsidRPr="00BE01CE">
              <w:rPr>
                <w:color w:val="000000" w:themeColor="text1"/>
                <w:szCs w:val="20"/>
                <w:lang w:eastAsia="zh-CN"/>
              </w:rPr>
              <w:t xml:space="preserve"> </w:t>
            </w:r>
            <w:r w:rsidRPr="00BE01CE">
              <w:rPr>
                <w:color w:val="000000" w:themeColor="text1"/>
                <w:szCs w:val="20"/>
              </w:rPr>
              <w:t>mapped to SBFD and non-SBFD symbols within a slot</w:t>
            </w:r>
            <w:r w:rsidRPr="00BE01CE">
              <w:rPr>
                <w:color w:val="000000" w:themeColor="text1"/>
                <w:szCs w:val="20"/>
                <w:lang w:eastAsia="zh-CN"/>
              </w:rPr>
              <w:t xml:space="preserve">, an SBFD aware </w:t>
            </w:r>
            <w:r w:rsidRPr="00BE01CE">
              <w:rPr>
                <w:color w:val="000000" w:themeColor="text1"/>
                <w:szCs w:val="20"/>
              </w:rPr>
              <w:t>UE does not transmit or receive the physical channel/signal within the slot</w:t>
            </w:r>
            <w:r w:rsidRPr="00BE01CE">
              <w:rPr>
                <w:strike/>
                <w:color w:val="000000" w:themeColor="text1"/>
                <w:szCs w:val="20"/>
              </w:rPr>
              <w:t>.</w:t>
            </w:r>
            <w:r w:rsidRPr="00BE01CE">
              <w:rPr>
                <w:rFonts w:eastAsia="SimSun"/>
                <w:color w:val="000000" w:themeColor="text1"/>
                <w:szCs w:val="20"/>
                <w:lang w:eastAsia="zh-CN"/>
              </w:rPr>
              <w:t>, except</w:t>
            </w:r>
            <w:r w:rsidRPr="00BE01CE">
              <w:rPr>
                <w:color w:val="000000" w:themeColor="text1"/>
                <w:szCs w:val="20"/>
                <w:lang w:eastAsia="zh-CN"/>
              </w:rPr>
              <w:t xml:space="preserve"> </w:t>
            </w:r>
          </w:p>
          <w:p w14:paraId="46C7241E" w14:textId="77777777" w:rsidR="00E164F2" w:rsidRPr="00BE01CE" w:rsidRDefault="00E164F2" w:rsidP="00E164F2">
            <w:pPr>
              <w:numPr>
                <w:ilvl w:val="0"/>
                <w:numId w:val="34"/>
              </w:numPr>
              <w:rPr>
                <w:rFonts w:eastAsia="Malgun Gothic"/>
                <w:color w:val="000000" w:themeColor="text1"/>
                <w:szCs w:val="20"/>
                <w:lang w:eastAsia="zh-CN"/>
              </w:rPr>
            </w:pPr>
            <w:r w:rsidRPr="00BE01CE">
              <w:rPr>
                <w:color w:val="000000" w:themeColor="text1"/>
                <w:szCs w:val="20"/>
                <w:lang w:eastAsia="zh-CN"/>
              </w:rPr>
              <w:t>PRACH transmission in a valid RO across SBFD symbols and non-SBFD symbols is subject to the agreements in AI 9.3.2.</w:t>
            </w:r>
          </w:p>
          <w:p w14:paraId="60C171D5" w14:textId="77777777" w:rsidR="00E164F2" w:rsidRPr="00BE01CE" w:rsidRDefault="00E164F2" w:rsidP="00E164F2">
            <w:pPr>
              <w:numPr>
                <w:ilvl w:val="0"/>
                <w:numId w:val="34"/>
              </w:numPr>
              <w:rPr>
                <w:rFonts w:eastAsia="Malgun Gothic"/>
                <w:color w:val="000000" w:themeColor="text1"/>
                <w:szCs w:val="20"/>
                <w:lang w:eastAsia="zh-CN"/>
              </w:rPr>
            </w:pPr>
            <w:r w:rsidRPr="00BE01CE">
              <w:rPr>
                <w:color w:val="000000" w:themeColor="text1"/>
                <w:szCs w:val="20"/>
                <w:lang w:eastAsia="zh-CN"/>
              </w:rPr>
              <w:t>For PUSCH repetition type B, down-select from the following options.</w:t>
            </w:r>
          </w:p>
          <w:p w14:paraId="7838D789" w14:textId="77777777" w:rsidR="00E164F2" w:rsidRPr="00BE01CE" w:rsidRDefault="00E164F2" w:rsidP="00E164F2">
            <w:pPr>
              <w:numPr>
                <w:ilvl w:val="1"/>
                <w:numId w:val="34"/>
              </w:numPr>
              <w:shd w:val="clear" w:color="auto" w:fill="FFFFFF"/>
              <w:tabs>
                <w:tab w:val="left" w:pos="0"/>
              </w:tabs>
              <w:rPr>
                <w:rFonts w:eastAsia="Malgun Gothic"/>
                <w:color w:val="000000" w:themeColor="text1"/>
                <w:szCs w:val="20"/>
                <w:lang w:eastAsia="zh-CN"/>
              </w:rPr>
            </w:pPr>
            <w:r w:rsidRPr="00BE01CE">
              <w:rPr>
                <w:rFonts w:eastAsia="Malgun Gothic"/>
                <w:color w:val="000000" w:themeColor="text1"/>
                <w:szCs w:val="20"/>
                <w:lang w:eastAsia="zh-CN"/>
              </w:rPr>
              <w:t xml:space="preserve">Option 1: A nominal repetition is segmented into actual repetitions around boundary of SBFD symbols and non-SBFD symbols. </w:t>
            </w:r>
          </w:p>
          <w:p w14:paraId="57C2D819" w14:textId="521DDF4F" w:rsidR="00E164F2" w:rsidRPr="00BE01CE" w:rsidRDefault="00E164F2" w:rsidP="00BD15BF">
            <w:pPr>
              <w:numPr>
                <w:ilvl w:val="1"/>
                <w:numId w:val="34"/>
              </w:numPr>
              <w:shd w:val="clear" w:color="auto" w:fill="FFFFFF"/>
              <w:tabs>
                <w:tab w:val="left" w:pos="0"/>
              </w:tabs>
              <w:rPr>
                <w:rFonts w:eastAsia="Malgun Gothic"/>
                <w:color w:val="000000" w:themeColor="text1"/>
                <w:szCs w:val="20"/>
                <w:lang w:eastAsia="zh-CN"/>
              </w:rPr>
            </w:pPr>
            <w:r w:rsidRPr="00BE01CE">
              <w:rPr>
                <w:rFonts w:eastAsia="Malgun Gothic"/>
                <w:color w:val="000000" w:themeColor="text1"/>
                <w:szCs w:val="20"/>
                <w:lang w:eastAsia="zh-CN"/>
              </w:rPr>
              <w:t xml:space="preserve">Option 2: A nominal repetition is segmented into actual repetitions as in legacy operation. An actual repetition </w:t>
            </w:r>
            <w:r w:rsidRPr="00BE01CE">
              <w:rPr>
                <w:rFonts w:eastAsia="Malgun Gothic"/>
                <w:strike/>
                <w:color w:val="000000" w:themeColor="text1"/>
                <w:szCs w:val="20"/>
                <w:lang w:eastAsia="zh-CN"/>
              </w:rPr>
              <w:t xml:space="preserve">if it is </w:t>
            </w:r>
            <w:r w:rsidRPr="00BE01CE">
              <w:rPr>
                <w:rFonts w:eastAsia="Malgun Gothic"/>
                <w:color w:val="000000" w:themeColor="text1"/>
                <w:szCs w:val="20"/>
                <w:lang w:eastAsia="zh-CN"/>
              </w:rPr>
              <w:t xml:space="preserve">mapped to both SBFD and non-SBFD symbols is dropped. </w:t>
            </w:r>
          </w:p>
        </w:tc>
      </w:tr>
    </w:tbl>
    <w:p w14:paraId="1B74BF14" w14:textId="68D3154A" w:rsidR="00E164F2" w:rsidRPr="00BE01CE" w:rsidRDefault="00E164F2" w:rsidP="00BD15BF">
      <w:pPr>
        <w:rPr>
          <w:color w:val="000000" w:themeColor="text1"/>
        </w:rPr>
      </w:pPr>
    </w:p>
    <w:p w14:paraId="5BCFBB2D" w14:textId="04CE5691" w:rsidR="009757E2" w:rsidRPr="00BE01CE" w:rsidRDefault="00947815" w:rsidP="00CE47E3">
      <w:pPr>
        <w:spacing w:after="240"/>
        <w:rPr>
          <w:color w:val="000000" w:themeColor="text1"/>
        </w:rPr>
      </w:pPr>
      <w:r>
        <w:rPr>
          <w:color w:val="000000" w:themeColor="text1"/>
        </w:rPr>
        <w:t>In the last meeting, RAN1</w:t>
      </w:r>
      <w:r w:rsidR="002F5910" w:rsidRPr="00BE01CE">
        <w:rPr>
          <w:color w:val="000000" w:themeColor="text1"/>
        </w:rPr>
        <w:t xml:space="preserve"> has discussed </w:t>
      </w:r>
      <w:r>
        <w:rPr>
          <w:color w:val="000000" w:themeColor="text1"/>
        </w:rPr>
        <w:t>the case where a UL nominal repetition</w:t>
      </w:r>
      <w:r w:rsidR="002F5910" w:rsidRPr="00BE01CE">
        <w:rPr>
          <w:color w:val="000000" w:themeColor="text1"/>
        </w:rPr>
        <w:t xml:space="preserve"> is mapped </w:t>
      </w:r>
      <w:r w:rsidR="00B43D0B">
        <w:rPr>
          <w:color w:val="000000" w:themeColor="text1"/>
        </w:rPr>
        <w:t>across</w:t>
      </w:r>
      <w:r w:rsidR="002F5910" w:rsidRPr="00BE01CE">
        <w:rPr>
          <w:color w:val="000000" w:themeColor="text1"/>
        </w:rPr>
        <w:t xml:space="preserve"> SBFD and non-SBFD symbols</w:t>
      </w:r>
      <w:r>
        <w:rPr>
          <w:color w:val="000000" w:themeColor="text1"/>
        </w:rPr>
        <w:t xml:space="preserve"> in a slot</w:t>
      </w:r>
      <w:r w:rsidR="002F5910" w:rsidRPr="00BE01CE">
        <w:rPr>
          <w:color w:val="000000" w:themeColor="text1"/>
        </w:rPr>
        <w:t xml:space="preserve">. </w:t>
      </w:r>
      <w:r>
        <w:rPr>
          <w:color w:val="000000" w:themeColor="text1"/>
        </w:rPr>
        <w:t xml:space="preserve">Considering repetition type B, it is not clear whether a UE should segment the nominal repetition into 2 actual repetitions according to the boundary of SBFD and non-SBFD symbols (Option-1), or just drop the </w:t>
      </w:r>
      <w:r w:rsidR="007E6668">
        <w:rPr>
          <w:color w:val="000000" w:themeColor="text1"/>
        </w:rPr>
        <w:t>actual</w:t>
      </w:r>
      <w:r>
        <w:rPr>
          <w:color w:val="000000" w:themeColor="text1"/>
        </w:rPr>
        <w:t xml:space="preserve"> repetition</w:t>
      </w:r>
      <w:r w:rsidR="007E6668">
        <w:rPr>
          <w:color w:val="000000" w:themeColor="text1"/>
        </w:rPr>
        <w:t xml:space="preserve"> that crosses the boundary of SBFD and non-SBFD symbols (Option-2). With</w:t>
      </w:r>
      <w:r>
        <w:rPr>
          <w:color w:val="000000" w:themeColor="text1"/>
        </w:rPr>
        <w:t xml:space="preserve"> Option-1, the UE</w:t>
      </w:r>
      <w:r w:rsidR="009757E2" w:rsidRPr="00BE01CE">
        <w:rPr>
          <w:color w:val="000000" w:themeColor="text1"/>
        </w:rPr>
        <w:t xml:space="preserve"> can</w:t>
      </w:r>
      <w:r w:rsidR="000F5DB0" w:rsidRPr="00BE01CE">
        <w:rPr>
          <w:color w:val="000000" w:themeColor="text1"/>
        </w:rPr>
        <w:t xml:space="preserve"> fully u</w:t>
      </w:r>
      <w:r w:rsidR="009757E2" w:rsidRPr="00BE01CE">
        <w:rPr>
          <w:color w:val="000000" w:themeColor="text1"/>
        </w:rPr>
        <w:t xml:space="preserve">tilize </w:t>
      </w:r>
      <w:r w:rsidR="007E6668">
        <w:rPr>
          <w:color w:val="000000" w:themeColor="text1"/>
        </w:rPr>
        <w:t>the scheduled UL resource, which results in</w:t>
      </w:r>
      <w:r w:rsidR="009757E2" w:rsidRPr="00BE01CE">
        <w:rPr>
          <w:color w:val="000000" w:themeColor="text1"/>
        </w:rPr>
        <w:t xml:space="preserve"> </w:t>
      </w:r>
      <w:r w:rsidR="002718D6" w:rsidRPr="00BE01CE">
        <w:rPr>
          <w:color w:val="000000" w:themeColor="text1"/>
        </w:rPr>
        <w:t xml:space="preserve">better </w:t>
      </w:r>
      <w:r w:rsidR="009757E2" w:rsidRPr="00BE01CE">
        <w:rPr>
          <w:color w:val="000000" w:themeColor="text1"/>
        </w:rPr>
        <w:t>UL coverage.</w:t>
      </w:r>
      <w:r w:rsidR="007E6668">
        <w:rPr>
          <w:color w:val="000000" w:themeColor="text1"/>
        </w:rPr>
        <w:t xml:space="preserve"> With</w:t>
      </w:r>
      <w:r w:rsidR="009757E2" w:rsidRPr="00BE01CE">
        <w:rPr>
          <w:color w:val="000000" w:themeColor="text1"/>
        </w:rPr>
        <w:t xml:space="preserve"> </w:t>
      </w:r>
      <w:r w:rsidR="007E6668">
        <w:rPr>
          <w:color w:val="000000" w:themeColor="text1"/>
        </w:rPr>
        <w:t>Option-2, it is less complex for UE implementation, but the dropped repetition may lead to coverage gap. From our perspective,</w:t>
      </w:r>
      <w:r w:rsidR="009757E2" w:rsidRPr="00BE01CE">
        <w:rPr>
          <w:color w:val="000000" w:themeColor="text1"/>
        </w:rPr>
        <w:t xml:space="preserve"> </w:t>
      </w:r>
      <w:r w:rsidR="007E6668">
        <w:rPr>
          <w:color w:val="000000" w:themeColor="text1"/>
        </w:rPr>
        <w:t xml:space="preserve">because </w:t>
      </w:r>
      <w:r w:rsidR="009757E2" w:rsidRPr="00BE01CE">
        <w:rPr>
          <w:color w:val="000000" w:themeColor="text1"/>
        </w:rPr>
        <w:t>one of the major mot</w:t>
      </w:r>
      <w:r w:rsidR="007E6668">
        <w:rPr>
          <w:color w:val="000000" w:themeColor="text1"/>
        </w:rPr>
        <w:t>ivation to introduce SBFD is to enhance UL coverage, our preference would be the</w:t>
      </w:r>
      <w:r w:rsidR="009757E2" w:rsidRPr="00BE01CE">
        <w:rPr>
          <w:color w:val="000000" w:themeColor="text1"/>
        </w:rPr>
        <w:t xml:space="preserve"> Option-1 for better coverage.</w:t>
      </w:r>
    </w:p>
    <w:p w14:paraId="694C02F2" w14:textId="545F2690" w:rsidR="00873B81" w:rsidRPr="00BE01CE" w:rsidRDefault="00C240D5" w:rsidP="00BE01CE">
      <w:pPr>
        <w:spacing w:after="240"/>
        <w:rPr>
          <w:b/>
          <w:color w:val="000000" w:themeColor="text1"/>
        </w:rPr>
      </w:pPr>
      <w:r w:rsidRPr="00BE01CE">
        <w:rPr>
          <w:b/>
          <w:color w:val="000000" w:themeColor="text1"/>
        </w:rPr>
        <w:t xml:space="preserve">Proposal 1: For a nominal repetition of PUSCH repetition type B </w:t>
      </w:r>
      <w:r w:rsidR="00C6095B" w:rsidRPr="00BE01CE">
        <w:rPr>
          <w:b/>
          <w:color w:val="000000" w:themeColor="text1"/>
        </w:rPr>
        <w:t xml:space="preserve">is </w:t>
      </w:r>
      <w:r w:rsidRPr="00BE01CE">
        <w:rPr>
          <w:b/>
          <w:color w:val="000000" w:themeColor="text1"/>
        </w:rPr>
        <w:t>mapped across SBFD and non-SBFD symbols, UE segments the nominal repetition into actual repetitions around the boundary of SBFD and non-SBFD symbols</w:t>
      </w:r>
      <w:r w:rsidR="00C6095B" w:rsidRPr="00BE01CE">
        <w:rPr>
          <w:b/>
          <w:color w:val="000000" w:themeColor="text1"/>
        </w:rPr>
        <w:t>.</w:t>
      </w:r>
    </w:p>
    <w:p w14:paraId="05205F04" w14:textId="59824295" w:rsidR="00BD15BF" w:rsidRPr="006172E4" w:rsidRDefault="00647824" w:rsidP="003374DF">
      <w:pPr>
        <w:pStyle w:val="Heading2"/>
        <w:rPr>
          <w:rFonts w:ascii="Times New Roman" w:hAnsi="Times New Roman"/>
        </w:rPr>
      </w:pPr>
      <w:r w:rsidRPr="006D6BE9">
        <w:rPr>
          <w:rFonts w:ascii="Times New Roman" w:hAnsi="Times New Roman"/>
        </w:rPr>
        <w:lastRenderedPageBreak/>
        <w:t>Collision handling</w:t>
      </w:r>
    </w:p>
    <w:p w14:paraId="5A2E5168" w14:textId="71DA1353" w:rsidR="00B43D0B" w:rsidRDefault="00330C5E" w:rsidP="003374DF">
      <w:pPr>
        <w:spacing w:after="180"/>
        <w:rPr>
          <w:rFonts w:eastAsiaTheme="minorEastAsia"/>
          <w:color w:val="000000" w:themeColor="text1"/>
          <w:lang w:eastAsia="zh-TW"/>
        </w:rPr>
      </w:pPr>
      <w:r w:rsidRPr="00671331">
        <w:rPr>
          <w:rFonts w:eastAsiaTheme="minorEastAsia"/>
          <w:color w:val="000000" w:themeColor="text1"/>
          <w:lang w:eastAsia="zh-TW"/>
        </w:rPr>
        <w:t xml:space="preserve">In the last meeting, </w:t>
      </w:r>
      <w:r w:rsidR="00551716">
        <w:rPr>
          <w:rFonts w:eastAsiaTheme="minorEastAsia"/>
          <w:color w:val="000000" w:themeColor="text1"/>
          <w:lang w:eastAsia="zh-TW"/>
        </w:rPr>
        <w:t>the group has discussed whether to apply SBFD specific collision handling rules before or a</w:t>
      </w:r>
      <w:r w:rsidR="00716CE1">
        <w:rPr>
          <w:rFonts w:eastAsiaTheme="minorEastAsia"/>
          <w:color w:val="000000" w:themeColor="text1"/>
          <w:lang w:eastAsia="zh-TW"/>
        </w:rPr>
        <w:t xml:space="preserve">fter legacy rules. </w:t>
      </w:r>
      <w:r w:rsidR="008C1836">
        <w:rPr>
          <w:rFonts w:eastAsiaTheme="minorEastAsia"/>
          <w:color w:val="000000" w:themeColor="text1"/>
          <w:lang w:eastAsia="zh-TW"/>
        </w:rPr>
        <w:t>2 examples below were given by the feature lead, where a PUCCH (w or w/o repetitions) coincides in time with a DCI scheduled PDSCH reception and a DCI scheduled PUSCH transmission.</w:t>
      </w:r>
      <w:r w:rsidR="008C1836" w:rsidRPr="008C1836">
        <w:rPr>
          <w:rFonts w:eastAsiaTheme="minorEastAsia"/>
          <w:color w:val="000000" w:themeColor="text1"/>
          <w:lang w:eastAsia="zh-TW"/>
        </w:rPr>
        <w:t xml:space="preserve"> </w:t>
      </w:r>
      <w:r w:rsidR="008C1836">
        <w:rPr>
          <w:rFonts w:eastAsiaTheme="minorEastAsia"/>
          <w:color w:val="000000" w:themeColor="text1"/>
          <w:lang w:eastAsia="zh-TW"/>
        </w:rPr>
        <w:t>The PDSCH does not collide with the PUSCH.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3D0B" w14:paraId="0A467392" w14:textId="77777777" w:rsidTr="008C1836">
        <w:tc>
          <w:tcPr>
            <w:tcW w:w="4675" w:type="dxa"/>
          </w:tcPr>
          <w:p w14:paraId="1EDEB570" w14:textId="00EF0BF9" w:rsidR="00B43D0B" w:rsidRDefault="00B43D0B" w:rsidP="00B43D0B">
            <w:pPr>
              <w:spacing w:after="180"/>
              <w:jc w:val="center"/>
              <w:rPr>
                <w:rFonts w:eastAsiaTheme="minorEastAsia"/>
                <w:color w:val="000000" w:themeColor="text1"/>
                <w:lang w:eastAsia="zh-TW"/>
              </w:rPr>
            </w:pPr>
            <w:r>
              <w:rPr>
                <w:rFonts w:eastAsiaTheme="minorEastAsia"/>
                <w:noProof/>
                <w:color w:val="000000" w:themeColor="text1"/>
                <w:lang w:val="en-US" w:eastAsia="zh-TW"/>
              </w:rPr>
              <w:drawing>
                <wp:inline distT="0" distB="0" distL="0" distR="0" wp14:anchorId="6DAAEFE6" wp14:editId="51C23D58">
                  <wp:extent cx="1798320" cy="19018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8320" cy="1901825"/>
                          </a:xfrm>
                          <a:prstGeom prst="rect">
                            <a:avLst/>
                          </a:prstGeom>
                          <a:noFill/>
                        </pic:spPr>
                      </pic:pic>
                    </a:graphicData>
                  </a:graphic>
                </wp:inline>
              </w:drawing>
            </w:r>
          </w:p>
        </w:tc>
        <w:tc>
          <w:tcPr>
            <w:tcW w:w="4675" w:type="dxa"/>
          </w:tcPr>
          <w:p w14:paraId="60E347CD" w14:textId="55EB89AD" w:rsidR="00B43D0B" w:rsidRDefault="00B43D0B" w:rsidP="00B43D0B">
            <w:pPr>
              <w:spacing w:after="180"/>
              <w:jc w:val="center"/>
              <w:rPr>
                <w:rFonts w:eastAsiaTheme="minorEastAsia"/>
                <w:color w:val="000000" w:themeColor="text1"/>
                <w:lang w:eastAsia="zh-TW"/>
              </w:rPr>
            </w:pPr>
            <w:r>
              <w:rPr>
                <w:noProof/>
                <w:lang w:val="en-US" w:eastAsia="zh-TW"/>
              </w:rPr>
              <w:drawing>
                <wp:inline distT="0" distB="0" distL="0" distR="0" wp14:anchorId="480D973A" wp14:editId="4C6F5CB1">
                  <wp:extent cx="1798955" cy="190055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tc>
      </w:tr>
      <w:tr w:rsidR="00B43D0B" w14:paraId="7EEC9A61" w14:textId="77777777" w:rsidTr="008C1836">
        <w:tc>
          <w:tcPr>
            <w:tcW w:w="4675" w:type="dxa"/>
          </w:tcPr>
          <w:p w14:paraId="4BCC5153" w14:textId="7745E041" w:rsidR="00B43D0B" w:rsidRDefault="00B43D0B" w:rsidP="00B43D0B">
            <w:pPr>
              <w:spacing w:after="180"/>
              <w:jc w:val="center"/>
              <w:rPr>
                <w:rFonts w:eastAsiaTheme="minorEastAsia"/>
                <w:color w:val="000000" w:themeColor="text1"/>
                <w:lang w:eastAsia="zh-TW"/>
              </w:rPr>
            </w:pPr>
            <w:r>
              <w:rPr>
                <w:rFonts w:eastAsiaTheme="minorEastAsia"/>
                <w:color w:val="000000" w:themeColor="text1"/>
                <w:lang w:eastAsia="zh-TW"/>
              </w:rPr>
              <w:t>(a)</w:t>
            </w:r>
          </w:p>
        </w:tc>
        <w:tc>
          <w:tcPr>
            <w:tcW w:w="4675" w:type="dxa"/>
          </w:tcPr>
          <w:p w14:paraId="7858BA36" w14:textId="5F9F22E5" w:rsidR="00B43D0B" w:rsidRDefault="00B43D0B" w:rsidP="00B43D0B">
            <w:pPr>
              <w:spacing w:after="180"/>
              <w:jc w:val="center"/>
              <w:rPr>
                <w:rFonts w:eastAsiaTheme="minorEastAsia"/>
                <w:color w:val="000000" w:themeColor="text1"/>
                <w:lang w:eastAsia="zh-TW"/>
              </w:rPr>
            </w:pPr>
            <w:r>
              <w:rPr>
                <w:rFonts w:eastAsiaTheme="minorEastAsia"/>
                <w:color w:val="000000" w:themeColor="text1"/>
                <w:lang w:eastAsia="zh-TW"/>
              </w:rPr>
              <w:t>(b)</w:t>
            </w:r>
          </w:p>
        </w:tc>
      </w:tr>
    </w:tbl>
    <w:p w14:paraId="754951EE" w14:textId="48C5A112" w:rsidR="00B43D0B" w:rsidRDefault="008C1836" w:rsidP="008C1836">
      <w:pPr>
        <w:spacing w:after="180"/>
        <w:jc w:val="center"/>
        <w:rPr>
          <w:rFonts w:eastAsiaTheme="minorEastAsia"/>
          <w:color w:val="000000" w:themeColor="text1"/>
          <w:lang w:eastAsia="zh-TW"/>
        </w:rPr>
      </w:pPr>
      <w:r>
        <w:rPr>
          <w:rFonts w:eastAsiaTheme="minorEastAsia"/>
          <w:color w:val="000000" w:themeColor="text1"/>
          <w:lang w:eastAsia="zh-TW"/>
        </w:rPr>
        <w:t>Figure 1. Examples for collision handling [2]</w:t>
      </w:r>
    </w:p>
    <w:p w14:paraId="739C48D3" w14:textId="4260339B" w:rsidR="00DF15EF" w:rsidRDefault="00716CE1" w:rsidP="003374DF">
      <w:pPr>
        <w:spacing w:after="180"/>
        <w:rPr>
          <w:rFonts w:eastAsiaTheme="minorEastAsia"/>
          <w:color w:val="000000" w:themeColor="text1"/>
          <w:lang w:eastAsia="zh-TW"/>
        </w:rPr>
      </w:pPr>
      <w:r>
        <w:rPr>
          <w:rFonts w:eastAsiaTheme="minorEastAsia"/>
          <w:color w:val="000000" w:themeColor="text1"/>
          <w:lang w:eastAsia="zh-TW"/>
        </w:rPr>
        <w:t>In this example, there are two</w:t>
      </w:r>
      <w:r w:rsidR="0096300A">
        <w:rPr>
          <w:rFonts w:eastAsiaTheme="minorEastAsia"/>
          <w:color w:val="000000" w:themeColor="text1"/>
          <w:lang w:eastAsia="zh-TW"/>
        </w:rPr>
        <w:t xml:space="preserve"> collisions to be resolved. The first is</w:t>
      </w:r>
      <w:r>
        <w:rPr>
          <w:rFonts w:eastAsiaTheme="minorEastAsia"/>
          <w:color w:val="000000" w:themeColor="text1"/>
          <w:lang w:eastAsia="zh-TW"/>
        </w:rPr>
        <w:t xml:space="preserve"> </w:t>
      </w:r>
      <w:r w:rsidR="006D1EEE">
        <w:rPr>
          <w:rFonts w:eastAsiaTheme="minorEastAsia"/>
          <w:color w:val="000000" w:themeColor="text1"/>
          <w:lang w:eastAsia="zh-TW"/>
        </w:rPr>
        <w:t>the collision</w:t>
      </w:r>
      <w:r>
        <w:rPr>
          <w:rFonts w:eastAsiaTheme="minorEastAsia"/>
          <w:color w:val="000000" w:themeColor="text1"/>
          <w:lang w:eastAsia="zh-TW"/>
        </w:rPr>
        <w:t xml:space="preserve"> between the PDSCH an</w:t>
      </w:r>
      <w:r w:rsidR="0096300A">
        <w:rPr>
          <w:rFonts w:eastAsiaTheme="minorEastAsia"/>
          <w:color w:val="000000" w:themeColor="text1"/>
          <w:lang w:eastAsia="zh-TW"/>
        </w:rPr>
        <w:t>d the PUCCH, and the second is between the PUCCH and PUSCH.</w:t>
      </w:r>
      <w:r w:rsidR="008C1836">
        <w:rPr>
          <w:rFonts w:eastAsiaTheme="minorEastAsia"/>
          <w:color w:val="000000" w:themeColor="text1"/>
          <w:lang w:eastAsia="zh-TW"/>
        </w:rPr>
        <w:t xml:space="preserve"> In </w:t>
      </w:r>
      <w:r w:rsidR="0096300A">
        <w:rPr>
          <w:rFonts w:eastAsiaTheme="minorEastAsia"/>
          <w:color w:val="000000" w:themeColor="text1"/>
          <w:lang w:eastAsia="zh-TW"/>
        </w:rPr>
        <w:t xml:space="preserve">the </w:t>
      </w:r>
      <w:r w:rsidR="008C1836">
        <w:rPr>
          <w:rFonts w:eastAsiaTheme="minorEastAsia"/>
          <w:color w:val="000000" w:themeColor="text1"/>
          <w:lang w:eastAsia="zh-TW"/>
        </w:rPr>
        <w:t xml:space="preserve">legacy TDD system, </w:t>
      </w:r>
      <w:r w:rsidR="00DF15EF">
        <w:rPr>
          <w:rFonts w:eastAsiaTheme="minorEastAsia"/>
          <w:color w:val="000000" w:themeColor="text1"/>
          <w:lang w:eastAsia="zh-TW"/>
        </w:rPr>
        <w:t xml:space="preserve">only flexible symbol can be scheduled with dynamic DL and UL transmission. However, collision between dynamic scheduled DL and UL transmission is considered as an error case. Likewise, higher layer configured DL and UL transmission on the flexible symbol is also considered </w:t>
      </w:r>
      <w:r w:rsidR="00410D18">
        <w:rPr>
          <w:rFonts w:eastAsiaTheme="minorEastAsia"/>
          <w:color w:val="000000" w:themeColor="text1"/>
          <w:lang w:eastAsia="zh-TW"/>
        </w:rPr>
        <w:t>as an error case. Thus</w:t>
      </w:r>
      <w:r w:rsidR="00DF15EF">
        <w:rPr>
          <w:rFonts w:eastAsiaTheme="minorEastAsia"/>
          <w:color w:val="000000" w:themeColor="text1"/>
          <w:lang w:eastAsia="zh-TW"/>
        </w:rPr>
        <w:t xml:space="preserve">, no legacy rules can resolve the collision case. However, in SBFD, RAN1 has agreed to handle the case based on solutions from HD FDD RedCap, where the UE cancels or partially cancels the UL transmission based on UL preparation time and UE capability. To be noted, similar rules are applied for HD TDD CA. </w:t>
      </w:r>
      <w:r w:rsidR="00410D18">
        <w:rPr>
          <w:rFonts w:eastAsiaTheme="minorEastAsia"/>
          <w:color w:val="000000" w:themeColor="text1"/>
          <w:lang w:eastAsia="zh-TW"/>
        </w:rPr>
        <w:t>In this regard, the UE behaviour for such case has been there since release 16.</w:t>
      </w:r>
    </w:p>
    <w:p w14:paraId="7FA8A20A" w14:textId="7B22ECD4" w:rsidR="00410D18" w:rsidRDefault="00410D18" w:rsidP="003374DF">
      <w:pPr>
        <w:spacing w:after="180"/>
        <w:rPr>
          <w:rFonts w:eastAsiaTheme="minorEastAsia"/>
          <w:color w:val="000000" w:themeColor="text1"/>
          <w:lang w:eastAsia="zh-TW"/>
        </w:rPr>
      </w:pPr>
      <w:r>
        <w:rPr>
          <w:rFonts w:eastAsiaTheme="minorEastAsia"/>
          <w:color w:val="000000" w:themeColor="text1"/>
          <w:lang w:eastAsia="zh-TW"/>
        </w:rPr>
        <w:t xml:space="preserve">According to the descriptions in clause 9.2.2. in 38.213, if the UE is transmitting a PUSCH and the UE is transmitting a UCI, the UE multiplexes the UCI in the PUSCH, otherwise, the UE transmits the UCI in the associated PUCCH format. From our understanding, before the UE has determined to transmit the UCI on a PUCCH, there are no PUCCH to be considered. Based on this logic, there are no collision occurs in Figure 1. The UE first determines the DG PDSCH and DG PUSCH are valid, and then determines to multiplex the UCI to the PUSCH.  </w:t>
      </w:r>
    </w:p>
    <w:p w14:paraId="08D4BE34" w14:textId="3C21FB18" w:rsidR="00A73272" w:rsidRDefault="006B3997" w:rsidP="003374DF">
      <w:pPr>
        <w:spacing w:after="240"/>
        <w:rPr>
          <w:rFonts w:eastAsiaTheme="minorEastAsia"/>
          <w:b/>
          <w:color w:val="000000" w:themeColor="text1"/>
          <w:lang w:eastAsia="zh-TW"/>
        </w:rPr>
      </w:pPr>
      <w:r w:rsidRPr="003374DF">
        <w:rPr>
          <w:rFonts w:eastAsiaTheme="minorEastAsia"/>
          <w:b/>
          <w:color w:val="000000" w:themeColor="text1"/>
          <w:lang w:eastAsia="zh-TW"/>
        </w:rPr>
        <w:t>Obse</w:t>
      </w:r>
      <w:r w:rsidR="00B83A1D">
        <w:rPr>
          <w:rFonts w:eastAsiaTheme="minorEastAsia"/>
          <w:b/>
          <w:color w:val="000000" w:themeColor="text1"/>
          <w:lang w:eastAsia="zh-TW"/>
        </w:rPr>
        <w:t>rvation</w:t>
      </w:r>
      <w:r w:rsidR="009A10D2">
        <w:rPr>
          <w:rFonts w:eastAsiaTheme="minorEastAsia"/>
          <w:b/>
          <w:color w:val="000000" w:themeColor="text1"/>
          <w:lang w:eastAsia="zh-TW"/>
        </w:rPr>
        <w:t xml:space="preserve"> 1</w:t>
      </w:r>
      <w:r w:rsidR="00B83A1D">
        <w:rPr>
          <w:rFonts w:eastAsiaTheme="minorEastAsia"/>
          <w:b/>
          <w:color w:val="000000" w:themeColor="text1"/>
          <w:lang w:eastAsia="zh-TW"/>
        </w:rPr>
        <w:t xml:space="preserve">: </w:t>
      </w:r>
      <w:r w:rsidR="00A73272">
        <w:rPr>
          <w:rFonts w:eastAsiaTheme="minorEastAsia"/>
          <w:b/>
          <w:color w:val="000000" w:themeColor="text1"/>
          <w:lang w:eastAsia="zh-TW"/>
        </w:rPr>
        <w:t xml:space="preserve">The collision handling </w:t>
      </w:r>
      <w:r w:rsidR="00B83A1D">
        <w:rPr>
          <w:rFonts w:eastAsiaTheme="minorEastAsia"/>
          <w:b/>
          <w:color w:val="000000" w:themeColor="text1"/>
          <w:lang w:eastAsia="zh-TW"/>
        </w:rPr>
        <w:t xml:space="preserve">between UCI multiplexing and transmission/reception </w:t>
      </w:r>
      <w:r w:rsidR="00CC4963">
        <w:rPr>
          <w:rFonts w:eastAsiaTheme="minorEastAsia"/>
          <w:b/>
          <w:color w:val="000000" w:themeColor="text1"/>
          <w:lang w:eastAsia="zh-TW"/>
        </w:rPr>
        <w:t xml:space="preserve">exists in </w:t>
      </w:r>
      <w:r w:rsidR="00A73272">
        <w:rPr>
          <w:rFonts w:eastAsiaTheme="minorEastAsia"/>
          <w:b/>
          <w:color w:val="000000" w:themeColor="text1"/>
          <w:lang w:eastAsia="zh-TW"/>
        </w:rPr>
        <w:t xml:space="preserve">the </w:t>
      </w:r>
      <w:r w:rsidR="00CC4963">
        <w:rPr>
          <w:rFonts w:eastAsiaTheme="minorEastAsia"/>
          <w:b/>
          <w:color w:val="000000" w:themeColor="text1"/>
          <w:lang w:eastAsia="zh-TW"/>
        </w:rPr>
        <w:t xml:space="preserve">legacy releases </w:t>
      </w:r>
      <w:r w:rsidR="00845041">
        <w:rPr>
          <w:rFonts w:eastAsiaTheme="minorEastAsia"/>
          <w:b/>
          <w:color w:val="000000" w:themeColor="text1"/>
          <w:lang w:eastAsia="zh-TW"/>
        </w:rPr>
        <w:t xml:space="preserve">for </w:t>
      </w:r>
      <w:r w:rsidR="00B83A1D">
        <w:rPr>
          <w:rFonts w:eastAsiaTheme="minorEastAsia"/>
          <w:b/>
          <w:color w:val="000000" w:themeColor="text1"/>
          <w:lang w:eastAsia="zh-TW"/>
        </w:rPr>
        <w:t xml:space="preserve">HD TDD CA and HD FDD Redcap. </w:t>
      </w:r>
      <w:r w:rsidR="00A73272">
        <w:rPr>
          <w:rFonts w:eastAsiaTheme="minorEastAsia"/>
          <w:b/>
          <w:color w:val="000000" w:themeColor="text1"/>
          <w:lang w:eastAsia="zh-TW"/>
        </w:rPr>
        <w:t>Although it is not explicit written in the spec, UE with certain feature (e.g., HD FDD Re</w:t>
      </w:r>
      <w:r w:rsidR="00F52AC4">
        <w:rPr>
          <w:rFonts w:eastAsiaTheme="minorEastAsia"/>
          <w:b/>
          <w:color w:val="000000" w:themeColor="text1"/>
          <w:lang w:eastAsia="zh-TW"/>
        </w:rPr>
        <w:t>dC</w:t>
      </w:r>
      <w:r w:rsidR="00A73272">
        <w:rPr>
          <w:rFonts w:eastAsiaTheme="minorEastAsia"/>
          <w:b/>
          <w:color w:val="000000" w:themeColor="text1"/>
          <w:lang w:eastAsia="zh-TW"/>
        </w:rPr>
        <w:t>ap) resolves the collision handling of the feature first, and then applies to legacy rules, if any.</w:t>
      </w:r>
    </w:p>
    <w:p w14:paraId="3C68D3F2" w14:textId="73EAB246" w:rsidR="006D1EEE" w:rsidRPr="003374DF" w:rsidRDefault="00A73272" w:rsidP="003374DF">
      <w:pPr>
        <w:spacing w:after="240"/>
        <w:rPr>
          <w:rFonts w:eastAsiaTheme="minorEastAsia"/>
          <w:b/>
          <w:color w:val="000000" w:themeColor="text1"/>
          <w:lang w:eastAsia="zh-TW"/>
        </w:rPr>
      </w:pPr>
      <w:r>
        <w:rPr>
          <w:rFonts w:eastAsiaTheme="minorEastAsia"/>
          <w:b/>
          <w:color w:val="000000" w:themeColor="text1"/>
          <w:lang w:eastAsia="zh-TW"/>
        </w:rPr>
        <w:lastRenderedPageBreak/>
        <w:t>Conclusion</w:t>
      </w:r>
      <w:r w:rsidR="009A10D2">
        <w:rPr>
          <w:rFonts w:eastAsiaTheme="minorEastAsia"/>
          <w:b/>
          <w:color w:val="000000" w:themeColor="text1"/>
          <w:lang w:eastAsia="zh-TW"/>
        </w:rPr>
        <w:t xml:space="preserve"> 1</w:t>
      </w:r>
      <w:r>
        <w:rPr>
          <w:rFonts w:eastAsiaTheme="minorEastAsia"/>
          <w:b/>
          <w:color w:val="000000" w:themeColor="text1"/>
          <w:lang w:eastAsia="zh-TW"/>
        </w:rPr>
        <w:t>: UE performs SBFD specific collision handling and physical channel validation first, then applies legacy collision handling rules, if any. UE determines the UCI multiplexing resources after the physical channel validation</w:t>
      </w:r>
      <w:r w:rsidR="006D1EEE">
        <w:rPr>
          <w:rFonts w:eastAsiaTheme="minorEastAsia"/>
          <w:b/>
          <w:color w:val="000000" w:themeColor="text1"/>
          <w:lang w:eastAsia="zh-TW"/>
        </w:rPr>
        <w:t>.</w:t>
      </w:r>
    </w:p>
    <w:p w14:paraId="43ED3623" w14:textId="66353403" w:rsidR="005050CD" w:rsidRPr="006D6BE9" w:rsidRDefault="00EE036A" w:rsidP="005050CD">
      <w:pPr>
        <w:pStyle w:val="Heading1"/>
        <w:jc w:val="both"/>
        <w:rPr>
          <w:rFonts w:ascii="Times New Roman" w:hAnsi="Times New Roman"/>
          <w:lang w:val="en-US" w:eastAsia="zh-TW"/>
        </w:rPr>
      </w:pPr>
      <w:r w:rsidRPr="006D6BE9">
        <w:rPr>
          <w:rFonts w:ascii="Times New Roman" w:hAnsi="Times New Roman"/>
          <w:lang w:val="en-US" w:eastAsia="zh-TW"/>
        </w:rPr>
        <w:t>Conclusion</w:t>
      </w:r>
    </w:p>
    <w:p w14:paraId="394E9954" w14:textId="4EC14E66" w:rsidR="00671331" w:rsidRDefault="00671331" w:rsidP="00671331">
      <w:pPr>
        <w:spacing w:after="240"/>
        <w:rPr>
          <w:b/>
        </w:rPr>
      </w:pPr>
      <w:r w:rsidRPr="00BE01CE">
        <w:rPr>
          <w:b/>
        </w:rPr>
        <w:t>Proposal 1: For a nominal repetition of PUSCH repetition type B is mapped across SBFD and non-SBFD symbols, UE segments the nominal repetition into actual repetitions around the boundary of SBFD and non-SBFD symbols.</w:t>
      </w:r>
    </w:p>
    <w:p w14:paraId="5DF29054" w14:textId="0275EB6F" w:rsidR="00BE01CE" w:rsidRDefault="00BE01CE" w:rsidP="00BE01CE">
      <w:pPr>
        <w:spacing w:after="240"/>
        <w:rPr>
          <w:rFonts w:eastAsiaTheme="minorEastAsia"/>
          <w:b/>
          <w:color w:val="000000" w:themeColor="text1"/>
          <w:lang w:eastAsia="zh-TW"/>
        </w:rPr>
      </w:pPr>
      <w:r w:rsidRPr="003374DF">
        <w:rPr>
          <w:rFonts w:eastAsiaTheme="minorEastAsia"/>
          <w:b/>
          <w:color w:val="000000" w:themeColor="text1"/>
          <w:lang w:eastAsia="zh-TW"/>
        </w:rPr>
        <w:t>Obse</w:t>
      </w:r>
      <w:r>
        <w:rPr>
          <w:rFonts w:eastAsiaTheme="minorEastAsia"/>
          <w:b/>
          <w:color w:val="000000" w:themeColor="text1"/>
          <w:lang w:eastAsia="zh-TW"/>
        </w:rPr>
        <w:t>rvation</w:t>
      </w:r>
      <w:r w:rsidR="009A10D2">
        <w:rPr>
          <w:rFonts w:eastAsiaTheme="minorEastAsia"/>
          <w:b/>
          <w:color w:val="000000" w:themeColor="text1"/>
          <w:lang w:eastAsia="zh-TW"/>
        </w:rPr>
        <w:t xml:space="preserve"> 1</w:t>
      </w:r>
      <w:r>
        <w:rPr>
          <w:rFonts w:eastAsiaTheme="minorEastAsia"/>
          <w:b/>
          <w:color w:val="000000" w:themeColor="text1"/>
          <w:lang w:eastAsia="zh-TW"/>
        </w:rPr>
        <w:t>: The collision handling between UCI multiplexing and transmission/reception exists in the legacy releases for HD TDD CA and HD FDD Redcap. Although it is not explicit written in the spec, UE with certain feature (e.g., HD FDD RedCap) resolves the collision handling of t</w:t>
      </w:r>
      <w:bookmarkStart w:id="2" w:name="_GoBack"/>
      <w:bookmarkEnd w:id="2"/>
      <w:r>
        <w:rPr>
          <w:rFonts w:eastAsiaTheme="minorEastAsia"/>
          <w:b/>
          <w:color w:val="000000" w:themeColor="text1"/>
          <w:lang w:eastAsia="zh-TW"/>
        </w:rPr>
        <w:t>he feature first, and then applies to legacy rules, if any.</w:t>
      </w:r>
    </w:p>
    <w:p w14:paraId="509FAA8A" w14:textId="22FE7D35" w:rsidR="00BE01CE" w:rsidRPr="00E0608C" w:rsidRDefault="00BE01CE" w:rsidP="002521E6">
      <w:pPr>
        <w:spacing w:after="240"/>
        <w:rPr>
          <w:rFonts w:eastAsiaTheme="minorEastAsia"/>
          <w:b/>
          <w:color w:val="000000" w:themeColor="text1"/>
          <w:lang w:eastAsia="zh-TW"/>
        </w:rPr>
      </w:pPr>
      <w:r>
        <w:rPr>
          <w:rFonts w:eastAsiaTheme="minorEastAsia"/>
          <w:b/>
          <w:color w:val="000000" w:themeColor="text1"/>
          <w:lang w:eastAsia="zh-TW"/>
        </w:rPr>
        <w:t>Conclusion</w:t>
      </w:r>
      <w:r w:rsidR="009A10D2">
        <w:rPr>
          <w:rFonts w:eastAsiaTheme="minorEastAsia"/>
          <w:b/>
          <w:color w:val="000000" w:themeColor="text1"/>
          <w:lang w:eastAsia="zh-TW"/>
        </w:rPr>
        <w:t xml:space="preserve"> 1</w:t>
      </w:r>
      <w:r>
        <w:rPr>
          <w:rFonts w:eastAsiaTheme="minorEastAsia"/>
          <w:b/>
          <w:color w:val="000000" w:themeColor="text1"/>
          <w:lang w:eastAsia="zh-TW"/>
        </w:rPr>
        <w:t>: UE performs SBFD specific collision handling and physical channel validation first, then applies legacy collision handling rules, if any. UE determines the UCI multiplexing resources after the physical channel validation.</w:t>
      </w:r>
    </w:p>
    <w:p w14:paraId="40F687A2" w14:textId="3BA8AB4F" w:rsidR="00EE036A" w:rsidRPr="006D6BE9" w:rsidRDefault="00EE036A" w:rsidP="00EE036A">
      <w:pPr>
        <w:pStyle w:val="Heading1"/>
        <w:jc w:val="both"/>
        <w:rPr>
          <w:rFonts w:ascii="Times New Roman" w:hAnsi="Times New Roman"/>
          <w:lang w:val="en-US" w:eastAsia="zh-TW"/>
        </w:rPr>
      </w:pPr>
      <w:r w:rsidRPr="006D6BE9">
        <w:rPr>
          <w:rFonts w:ascii="Times New Roman" w:hAnsi="Times New Roman"/>
          <w:lang w:val="en-US" w:eastAsia="zh-TW"/>
        </w:rPr>
        <w:t>References</w:t>
      </w:r>
    </w:p>
    <w:p w14:paraId="10C128FB" w14:textId="717409E8" w:rsidR="006122C0" w:rsidRPr="00BE01CE" w:rsidRDefault="006122C0" w:rsidP="00BE01CE">
      <w:pPr>
        <w:pStyle w:val="ListParagraph"/>
        <w:numPr>
          <w:ilvl w:val="0"/>
          <w:numId w:val="21"/>
        </w:numPr>
        <w:spacing w:after="0" w:line="240" w:lineRule="auto"/>
        <w:contextualSpacing w:val="0"/>
        <w:rPr>
          <w:rFonts w:ascii="Times New Roman" w:hAnsi="Times New Roman" w:cs="Times New Roman"/>
          <w:sz w:val="22"/>
          <w:szCs w:val="22"/>
        </w:rPr>
      </w:pPr>
      <w:r w:rsidRPr="00BE01CE">
        <w:rPr>
          <w:rFonts w:ascii="Times New Roman" w:hAnsi="Times New Roman" w:cs="Times New Roman"/>
          <w:sz w:val="22"/>
          <w:szCs w:val="22"/>
        </w:rPr>
        <w:t>“Draft</w:t>
      </w:r>
      <w:r w:rsidR="00BD15BF" w:rsidRPr="00BE01CE">
        <w:rPr>
          <w:rFonts w:ascii="Times New Roman" w:hAnsi="Times New Roman" w:cs="Times New Roman"/>
          <w:sz w:val="22"/>
          <w:szCs w:val="22"/>
        </w:rPr>
        <w:t xml:space="preserve"> Report of 3GPP TSG RAN WG1 #</w:t>
      </w:r>
      <w:r w:rsidR="00BE01CE" w:rsidRPr="00BE01CE">
        <w:rPr>
          <w:rFonts w:ascii="Times New Roman" w:hAnsi="Times New Roman" w:cs="Times New Roman"/>
          <w:sz w:val="22"/>
          <w:szCs w:val="22"/>
          <w:lang w:val="en-US"/>
        </w:rPr>
        <w:t>120</w:t>
      </w:r>
      <w:r w:rsidR="00BC6858" w:rsidRPr="00BE01CE">
        <w:rPr>
          <w:rFonts w:ascii="Times New Roman" w:hAnsi="Times New Roman" w:cs="Times New Roman"/>
          <w:sz w:val="22"/>
          <w:szCs w:val="22"/>
        </w:rPr>
        <w:t xml:space="preserve"> v0.</w:t>
      </w:r>
      <w:r w:rsidR="00BE01CE" w:rsidRPr="00BE01CE">
        <w:rPr>
          <w:rFonts w:ascii="Times New Roman" w:hAnsi="Times New Roman" w:cs="Times New Roman"/>
          <w:sz w:val="22"/>
          <w:szCs w:val="22"/>
          <w:lang w:val="en-US"/>
        </w:rPr>
        <w:t>2</w:t>
      </w:r>
      <w:r w:rsidRPr="00BE01CE">
        <w:rPr>
          <w:rFonts w:ascii="Times New Roman" w:hAnsi="Times New Roman" w:cs="Times New Roman"/>
          <w:sz w:val="22"/>
          <w:szCs w:val="22"/>
        </w:rPr>
        <w:t xml:space="preserve">.0,” MCC Support, </w:t>
      </w:r>
      <w:r w:rsidR="00BE01CE" w:rsidRPr="00BE01CE">
        <w:rPr>
          <w:rFonts w:ascii="Times New Roman" w:hAnsi="Times New Roman" w:cs="Times New Roman"/>
          <w:sz w:val="22"/>
          <w:szCs w:val="22"/>
          <w:lang w:val="en-US"/>
        </w:rPr>
        <w:t>Athens, Greece, February 17th – 21st, 2025.</w:t>
      </w:r>
    </w:p>
    <w:p w14:paraId="50C0D53B" w14:textId="26E80A98" w:rsidR="006122C0" w:rsidRPr="00BE01CE" w:rsidRDefault="00BE01CE" w:rsidP="00BE01CE">
      <w:pPr>
        <w:pStyle w:val="ListParagraph"/>
        <w:numPr>
          <w:ilvl w:val="0"/>
          <w:numId w:val="21"/>
        </w:numPr>
        <w:spacing w:after="0" w:line="240" w:lineRule="auto"/>
        <w:contextualSpacing w:val="0"/>
        <w:rPr>
          <w:rFonts w:ascii="Times New Roman" w:hAnsi="Times New Roman" w:cs="Times New Roman"/>
          <w:sz w:val="22"/>
          <w:szCs w:val="22"/>
        </w:rPr>
      </w:pPr>
      <w:r w:rsidRPr="00BE01CE">
        <w:rPr>
          <w:rFonts w:ascii="Times New Roman" w:eastAsia="MS Mincho" w:hAnsi="Times New Roman" w:cs="Times New Roman"/>
          <w:sz w:val="22"/>
          <w:szCs w:val="22"/>
        </w:rPr>
        <w:t>R1-2501340</w:t>
      </w:r>
      <w:r w:rsidR="006122C0" w:rsidRPr="00BE01CE">
        <w:rPr>
          <w:rFonts w:ascii="Times New Roman" w:hAnsi="Times New Roman" w:cs="Times New Roman"/>
          <w:sz w:val="22"/>
          <w:szCs w:val="22"/>
        </w:rPr>
        <w:t xml:space="preserve">, “ </w:t>
      </w:r>
      <w:r w:rsidR="0058581E" w:rsidRPr="00BE01CE">
        <w:rPr>
          <w:rFonts w:ascii="Times New Roman" w:hAnsi="Times New Roman" w:cs="Times New Roman"/>
          <w:sz w:val="22"/>
          <w:szCs w:val="22"/>
          <w:lang w:val="en-US"/>
        </w:rPr>
        <w:t>Summary #3</w:t>
      </w:r>
      <w:r w:rsidR="006122C0" w:rsidRPr="00BE01CE">
        <w:rPr>
          <w:rFonts w:ascii="Times New Roman" w:hAnsi="Times New Roman" w:cs="Times New Roman"/>
          <w:sz w:val="22"/>
          <w:szCs w:val="22"/>
          <w:lang w:val="en-US"/>
        </w:rPr>
        <w:t xml:space="preserve"> of SBFD TX/RX/measurement procedures</w:t>
      </w:r>
      <w:r w:rsidR="006122C0" w:rsidRPr="00BE01CE">
        <w:rPr>
          <w:rFonts w:ascii="Times New Roman" w:hAnsi="Times New Roman" w:cs="Times New Roman"/>
          <w:sz w:val="22"/>
          <w:szCs w:val="22"/>
        </w:rPr>
        <w:t>,” Moderator (</w:t>
      </w:r>
      <w:r w:rsidRPr="00BE01CE">
        <w:rPr>
          <w:rFonts w:ascii="Times New Roman" w:hAnsi="Times New Roman" w:cs="Times New Roman"/>
          <w:sz w:val="22"/>
          <w:szCs w:val="22"/>
          <w:lang w:val="en-US"/>
        </w:rPr>
        <w:t>Xiaomi</w:t>
      </w:r>
      <w:r w:rsidR="006122C0" w:rsidRPr="00BE01CE">
        <w:rPr>
          <w:rFonts w:ascii="Times New Roman" w:hAnsi="Times New Roman" w:cs="Times New Roman"/>
          <w:sz w:val="22"/>
          <w:szCs w:val="22"/>
        </w:rPr>
        <w:t xml:space="preserve">), </w:t>
      </w:r>
      <w:r w:rsidRPr="00BE01CE">
        <w:t xml:space="preserve"> </w:t>
      </w:r>
      <w:r w:rsidRPr="00BE01CE">
        <w:rPr>
          <w:rFonts w:ascii="Times New Roman" w:hAnsi="Times New Roman" w:cs="Times New Roman"/>
          <w:sz w:val="22"/>
          <w:szCs w:val="22"/>
          <w:lang w:val="en-US"/>
        </w:rPr>
        <w:t>Athens, Greece, February 17th – 21st, 2025</w:t>
      </w:r>
      <w:r>
        <w:rPr>
          <w:rFonts w:ascii="Times New Roman" w:hAnsi="Times New Roman" w:cs="Times New Roman"/>
          <w:sz w:val="22"/>
          <w:szCs w:val="22"/>
          <w:lang w:val="en-US"/>
        </w:rPr>
        <w:t>.</w:t>
      </w:r>
    </w:p>
    <w:sectPr w:rsidR="006122C0" w:rsidRPr="00BE01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CF7A9" w14:textId="77777777" w:rsidR="004E7634" w:rsidRDefault="004E7634" w:rsidP="00D34245">
      <w:r>
        <w:separator/>
      </w:r>
    </w:p>
  </w:endnote>
  <w:endnote w:type="continuationSeparator" w:id="0">
    <w:p w14:paraId="6E0B7F0A" w14:textId="77777777" w:rsidR="004E7634" w:rsidRDefault="004E7634"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宋体"/>
    <w:charset w:val="00"/>
    <w:family w:val="auto"/>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871CD" w14:textId="77777777" w:rsidR="004E7634" w:rsidRDefault="004E7634" w:rsidP="00D34245">
      <w:r>
        <w:separator/>
      </w:r>
    </w:p>
  </w:footnote>
  <w:footnote w:type="continuationSeparator" w:id="0">
    <w:p w14:paraId="0BB9C6CE" w14:textId="77777777" w:rsidR="004E7634" w:rsidRDefault="004E7634"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30"/>
  </w:num>
  <w:num w:numId="5">
    <w:abstractNumId w:val="16"/>
  </w:num>
  <w:num w:numId="6">
    <w:abstractNumId w:val="12"/>
  </w:num>
  <w:num w:numId="7">
    <w:abstractNumId w:val="25"/>
  </w:num>
  <w:num w:numId="8">
    <w:abstractNumId w:val="21"/>
  </w:num>
  <w:num w:numId="9">
    <w:abstractNumId w:val="6"/>
  </w:num>
  <w:num w:numId="10">
    <w:abstractNumId w:val="23"/>
  </w:num>
  <w:num w:numId="11">
    <w:abstractNumId w:val="27"/>
  </w:num>
  <w:num w:numId="12">
    <w:abstractNumId w:val="13"/>
  </w:num>
  <w:num w:numId="13">
    <w:abstractNumId w:val="26"/>
  </w:num>
  <w:num w:numId="14">
    <w:abstractNumId w:val="34"/>
  </w:num>
  <w:num w:numId="15">
    <w:abstractNumId w:val="14"/>
  </w:num>
  <w:num w:numId="16">
    <w:abstractNumId w:val="7"/>
  </w:num>
  <w:num w:numId="17">
    <w:abstractNumId w:val="17"/>
  </w:num>
  <w:num w:numId="18">
    <w:abstractNumId w:val="29"/>
  </w:num>
  <w:num w:numId="19">
    <w:abstractNumId w:val="0"/>
  </w:num>
  <w:num w:numId="20">
    <w:abstractNumId w:val="1"/>
  </w:num>
  <w:num w:numId="21">
    <w:abstractNumId w:val="18"/>
  </w:num>
  <w:num w:numId="22">
    <w:abstractNumId w:val="4"/>
  </w:num>
  <w:num w:numId="23">
    <w:abstractNumId w:val="28"/>
  </w:num>
  <w:num w:numId="24">
    <w:abstractNumId w:val="32"/>
  </w:num>
  <w:num w:numId="25">
    <w:abstractNumId w:val="20"/>
  </w:num>
  <w:num w:numId="26">
    <w:abstractNumId w:val="2"/>
  </w:num>
  <w:num w:numId="27">
    <w:abstractNumId w:val="9"/>
  </w:num>
  <w:num w:numId="28">
    <w:abstractNumId w:val="15"/>
  </w:num>
  <w:num w:numId="29">
    <w:abstractNumId w:val="31"/>
  </w:num>
  <w:num w:numId="30">
    <w:abstractNumId w:val="33"/>
  </w:num>
  <w:num w:numId="31">
    <w:abstractNumId w:val="11"/>
  </w:num>
  <w:num w:numId="32">
    <w:abstractNumId w:val="22"/>
  </w:num>
  <w:num w:numId="33">
    <w:abstractNumId w:val="24"/>
  </w:num>
  <w:num w:numId="34">
    <w:abstractNumId w:val="19"/>
  </w:num>
  <w:num w:numId="3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10B56"/>
    <w:rsid w:val="000240C5"/>
    <w:rsid w:val="000251CD"/>
    <w:rsid w:val="000263D5"/>
    <w:rsid w:val="000301DC"/>
    <w:rsid w:val="00030461"/>
    <w:rsid w:val="000330BF"/>
    <w:rsid w:val="00034069"/>
    <w:rsid w:val="00036529"/>
    <w:rsid w:val="00041F11"/>
    <w:rsid w:val="00044B2C"/>
    <w:rsid w:val="00046B42"/>
    <w:rsid w:val="00051F2E"/>
    <w:rsid w:val="00052596"/>
    <w:rsid w:val="000563D2"/>
    <w:rsid w:val="00060B13"/>
    <w:rsid w:val="000620FC"/>
    <w:rsid w:val="00062ADD"/>
    <w:rsid w:val="000668B8"/>
    <w:rsid w:val="0006752F"/>
    <w:rsid w:val="00071183"/>
    <w:rsid w:val="00074C87"/>
    <w:rsid w:val="00075F9E"/>
    <w:rsid w:val="000801A4"/>
    <w:rsid w:val="0008065C"/>
    <w:rsid w:val="0008081D"/>
    <w:rsid w:val="0008168A"/>
    <w:rsid w:val="00082880"/>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CF1"/>
    <w:rsid w:val="0014619C"/>
    <w:rsid w:val="00154337"/>
    <w:rsid w:val="00165976"/>
    <w:rsid w:val="00165EB4"/>
    <w:rsid w:val="001666DC"/>
    <w:rsid w:val="001803BF"/>
    <w:rsid w:val="00180692"/>
    <w:rsid w:val="00180900"/>
    <w:rsid w:val="001847F1"/>
    <w:rsid w:val="001862B5"/>
    <w:rsid w:val="00190600"/>
    <w:rsid w:val="001921EC"/>
    <w:rsid w:val="0019252E"/>
    <w:rsid w:val="001A0291"/>
    <w:rsid w:val="001A49C7"/>
    <w:rsid w:val="001A7652"/>
    <w:rsid w:val="001B328E"/>
    <w:rsid w:val="001B52C2"/>
    <w:rsid w:val="001C170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BD1"/>
    <w:rsid w:val="00251C5F"/>
    <w:rsid w:val="002521E6"/>
    <w:rsid w:val="002530C9"/>
    <w:rsid w:val="00254905"/>
    <w:rsid w:val="00257A75"/>
    <w:rsid w:val="00257C1E"/>
    <w:rsid w:val="00263B46"/>
    <w:rsid w:val="00263B6B"/>
    <w:rsid w:val="00263DDB"/>
    <w:rsid w:val="00266169"/>
    <w:rsid w:val="00270AF4"/>
    <w:rsid w:val="002718D6"/>
    <w:rsid w:val="0027233B"/>
    <w:rsid w:val="002738C8"/>
    <w:rsid w:val="00275ECE"/>
    <w:rsid w:val="0027759C"/>
    <w:rsid w:val="00286571"/>
    <w:rsid w:val="00286708"/>
    <w:rsid w:val="00287534"/>
    <w:rsid w:val="002A1594"/>
    <w:rsid w:val="002A32E4"/>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67E7"/>
    <w:rsid w:val="003078BA"/>
    <w:rsid w:val="003134D8"/>
    <w:rsid w:val="00317878"/>
    <w:rsid w:val="00330C5E"/>
    <w:rsid w:val="00331E7B"/>
    <w:rsid w:val="00332062"/>
    <w:rsid w:val="003323D0"/>
    <w:rsid w:val="003346DE"/>
    <w:rsid w:val="003374DF"/>
    <w:rsid w:val="00337645"/>
    <w:rsid w:val="0034059A"/>
    <w:rsid w:val="00347D66"/>
    <w:rsid w:val="00351E45"/>
    <w:rsid w:val="00355D3E"/>
    <w:rsid w:val="00363AD2"/>
    <w:rsid w:val="00370F9F"/>
    <w:rsid w:val="00373A5A"/>
    <w:rsid w:val="0037669C"/>
    <w:rsid w:val="00377CBA"/>
    <w:rsid w:val="00380F8C"/>
    <w:rsid w:val="003814C5"/>
    <w:rsid w:val="00381CDF"/>
    <w:rsid w:val="00385B02"/>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DB1"/>
    <w:rsid w:val="0040143B"/>
    <w:rsid w:val="004021D4"/>
    <w:rsid w:val="00410821"/>
    <w:rsid w:val="00410D18"/>
    <w:rsid w:val="00411821"/>
    <w:rsid w:val="004156E4"/>
    <w:rsid w:val="00416345"/>
    <w:rsid w:val="00417A70"/>
    <w:rsid w:val="00424899"/>
    <w:rsid w:val="00433126"/>
    <w:rsid w:val="004345A5"/>
    <w:rsid w:val="0044343B"/>
    <w:rsid w:val="00443927"/>
    <w:rsid w:val="0044491E"/>
    <w:rsid w:val="004459F2"/>
    <w:rsid w:val="00446172"/>
    <w:rsid w:val="00446916"/>
    <w:rsid w:val="00460F45"/>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F1807"/>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64D7"/>
    <w:rsid w:val="00671331"/>
    <w:rsid w:val="006723BD"/>
    <w:rsid w:val="0067390D"/>
    <w:rsid w:val="00675458"/>
    <w:rsid w:val="006771FA"/>
    <w:rsid w:val="00681FB3"/>
    <w:rsid w:val="00687D76"/>
    <w:rsid w:val="00692E51"/>
    <w:rsid w:val="0069690D"/>
    <w:rsid w:val="00696E2F"/>
    <w:rsid w:val="006A26A2"/>
    <w:rsid w:val="006A335B"/>
    <w:rsid w:val="006A6B61"/>
    <w:rsid w:val="006B19D0"/>
    <w:rsid w:val="006B3997"/>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7D4D"/>
    <w:rsid w:val="00840FE0"/>
    <w:rsid w:val="00845041"/>
    <w:rsid w:val="008503DC"/>
    <w:rsid w:val="00851372"/>
    <w:rsid w:val="00854293"/>
    <w:rsid w:val="0085737A"/>
    <w:rsid w:val="0086200C"/>
    <w:rsid w:val="008653A8"/>
    <w:rsid w:val="00866A59"/>
    <w:rsid w:val="0086769B"/>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19F5"/>
    <w:rsid w:val="008D495C"/>
    <w:rsid w:val="008D4DC0"/>
    <w:rsid w:val="008D5022"/>
    <w:rsid w:val="008E18FA"/>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4C5E"/>
    <w:rsid w:val="009757E2"/>
    <w:rsid w:val="009773A1"/>
    <w:rsid w:val="009800BC"/>
    <w:rsid w:val="009803FD"/>
    <w:rsid w:val="00987424"/>
    <w:rsid w:val="00991A1B"/>
    <w:rsid w:val="00993138"/>
    <w:rsid w:val="00997577"/>
    <w:rsid w:val="009A10D2"/>
    <w:rsid w:val="009B0333"/>
    <w:rsid w:val="009C192C"/>
    <w:rsid w:val="009C403F"/>
    <w:rsid w:val="009C4244"/>
    <w:rsid w:val="009C70DF"/>
    <w:rsid w:val="009D1F32"/>
    <w:rsid w:val="009D2B3A"/>
    <w:rsid w:val="009D52D5"/>
    <w:rsid w:val="009D6D8B"/>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73272"/>
    <w:rsid w:val="00A81E1E"/>
    <w:rsid w:val="00A8319B"/>
    <w:rsid w:val="00A87BE1"/>
    <w:rsid w:val="00A9600F"/>
    <w:rsid w:val="00A964A1"/>
    <w:rsid w:val="00AB5983"/>
    <w:rsid w:val="00AC2292"/>
    <w:rsid w:val="00AC5D68"/>
    <w:rsid w:val="00AD3A2A"/>
    <w:rsid w:val="00AD550B"/>
    <w:rsid w:val="00AD5FBA"/>
    <w:rsid w:val="00AD6731"/>
    <w:rsid w:val="00AD7FE3"/>
    <w:rsid w:val="00AE1349"/>
    <w:rsid w:val="00AE493E"/>
    <w:rsid w:val="00AE7596"/>
    <w:rsid w:val="00AF42CA"/>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42E4F"/>
    <w:rsid w:val="00B4399B"/>
    <w:rsid w:val="00B43D0B"/>
    <w:rsid w:val="00B5237C"/>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B3C13"/>
    <w:rsid w:val="00BB5737"/>
    <w:rsid w:val="00BB7051"/>
    <w:rsid w:val="00BC169D"/>
    <w:rsid w:val="00BC3B47"/>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20577"/>
    <w:rsid w:val="00C240D5"/>
    <w:rsid w:val="00C24D14"/>
    <w:rsid w:val="00C25255"/>
    <w:rsid w:val="00C2732C"/>
    <w:rsid w:val="00C325D3"/>
    <w:rsid w:val="00C36C94"/>
    <w:rsid w:val="00C37F2D"/>
    <w:rsid w:val="00C47DCE"/>
    <w:rsid w:val="00C47FA1"/>
    <w:rsid w:val="00C5011A"/>
    <w:rsid w:val="00C5288A"/>
    <w:rsid w:val="00C52C01"/>
    <w:rsid w:val="00C54D3E"/>
    <w:rsid w:val="00C5719A"/>
    <w:rsid w:val="00C577AE"/>
    <w:rsid w:val="00C6095B"/>
    <w:rsid w:val="00C67426"/>
    <w:rsid w:val="00C7463F"/>
    <w:rsid w:val="00C76D42"/>
    <w:rsid w:val="00C8048B"/>
    <w:rsid w:val="00C91F2F"/>
    <w:rsid w:val="00C96877"/>
    <w:rsid w:val="00C96C34"/>
    <w:rsid w:val="00CA066D"/>
    <w:rsid w:val="00CA497B"/>
    <w:rsid w:val="00CA4AC7"/>
    <w:rsid w:val="00CA4BCB"/>
    <w:rsid w:val="00CB032C"/>
    <w:rsid w:val="00CB0CA8"/>
    <w:rsid w:val="00CC1D39"/>
    <w:rsid w:val="00CC4963"/>
    <w:rsid w:val="00CC6B00"/>
    <w:rsid w:val="00CD0148"/>
    <w:rsid w:val="00CD0A88"/>
    <w:rsid w:val="00CD2D2D"/>
    <w:rsid w:val="00CD43C5"/>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D65"/>
    <w:rsid w:val="00F65E5C"/>
    <w:rsid w:val="00F67808"/>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A274-82C9-46A3-B891-04E7AB04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11158</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196</cp:revision>
  <dcterms:created xsi:type="dcterms:W3CDTF">2024-02-12T19:26:00Z</dcterms:created>
  <dcterms:modified xsi:type="dcterms:W3CDTF">2025-03-28T15:58:00Z</dcterms:modified>
</cp:coreProperties>
</file>