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33026" w14:textId="5C63595C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="00C313D2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7032" w:rsidRPr="001E7032">
        <w:rPr>
          <w:rFonts w:ascii="Arial" w:eastAsia="Batang" w:hAnsi="Arial" w:cs="Arial"/>
          <w:b/>
          <w:bCs/>
          <w:sz w:val="28"/>
          <w:szCs w:val="24"/>
          <w:lang w:eastAsia="en-US"/>
        </w:rPr>
        <w:t>R1-2503141</w:t>
      </w:r>
    </w:p>
    <w:p w14:paraId="679B2A8C" w14:textId="38FC9D3E" w:rsidR="003D43DC" w:rsidRPr="003D43DC" w:rsidRDefault="00C313D2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Wuhan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>April</w:t>
      </w:r>
      <w:r w:rsidRPr="003D43DC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 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="003D43DC" w:rsidRPr="003D43D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3D43DC"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="008A03A9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35925D51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58"/>
      <w:bookmarkStart w:id="7" w:name="OLE_LINK57"/>
      <w:r w:rsidR="003244F1" w:rsidRPr="003244F1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244F1">
        <w:rPr>
          <w:rFonts w:ascii="Arial" w:hAnsi="Arial" w:cs="Arial"/>
          <w:b/>
          <w:sz w:val="22"/>
          <w:szCs w:val="22"/>
        </w:rPr>
        <w:t xml:space="preserve"> LS on precompensation for NB-IoT NTN TDD mode</w:t>
      </w:r>
    </w:p>
    <w:p w14:paraId="33DB3495" w14:textId="616503F8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2364DDE6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244F1" w:rsidRPr="003244F1">
        <w:rPr>
          <w:rFonts w:ascii="Arial" w:hAnsi="Arial" w:cs="Arial"/>
          <w:b/>
          <w:sz w:val="22"/>
          <w:szCs w:val="22"/>
        </w:rPr>
        <w:t>IoT_NTN_TDD</w:t>
      </w:r>
      <w:r w:rsidR="003244F1"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6BD850F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244F1">
        <w:rPr>
          <w:rFonts w:ascii="Arial" w:hAnsi="Arial" w:cs="Arial"/>
          <w:b/>
          <w:sz w:val="22"/>
          <w:szCs w:val="22"/>
        </w:rPr>
        <w:t xml:space="preserve">Qualcomm Incorporated </w:t>
      </w:r>
      <w:r w:rsidR="003244F1" w:rsidRPr="003244F1">
        <w:rPr>
          <w:rFonts w:ascii="Arial" w:hAnsi="Arial" w:cs="Arial"/>
          <w:b/>
          <w:sz w:val="22"/>
          <w:szCs w:val="22"/>
          <w:highlight w:val="yellow"/>
        </w:rPr>
        <w:t>[</w:t>
      </w:r>
      <w:r w:rsidR="003D1870" w:rsidRPr="003244F1">
        <w:rPr>
          <w:rFonts w:ascii="Arial" w:eastAsia="DengXian" w:hAnsi="Arial" w:cs="Arial"/>
          <w:b/>
          <w:sz w:val="22"/>
          <w:szCs w:val="22"/>
          <w:highlight w:val="yellow"/>
        </w:rPr>
        <w:t>RAN</w:t>
      </w:r>
      <w:r w:rsidR="006D7268" w:rsidRPr="003244F1">
        <w:rPr>
          <w:rFonts w:ascii="Arial" w:eastAsia="DengXian" w:hAnsi="Arial" w:cs="Arial"/>
          <w:b/>
          <w:sz w:val="22"/>
          <w:szCs w:val="22"/>
          <w:highlight w:val="yellow"/>
        </w:rPr>
        <w:t>1</w:t>
      </w:r>
      <w:r w:rsidR="003244F1" w:rsidRPr="003244F1">
        <w:rPr>
          <w:rFonts w:ascii="Arial" w:eastAsia="DengXian" w:hAnsi="Arial" w:cs="Arial"/>
          <w:b/>
          <w:sz w:val="22"/>
          <w:szCs w:val="22"/>
          <w:highlight w:val="yellow"/>
        </w:rPr>
        <w:t>]</w:t>
      </w:r>
    </w:p>
    <w:p w14:paraId="038A97D8" w14:textId="20D5FE1B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3244F1">
        <w:rPr>
          <w:rFonts w:ascii="Arial" w:eastAsia="DengXian" w:hAnsi="Arial" w:cs="Arial"/>
          <w:b/>
          <w:bCs/>
          <w:sz w:val="22"/>
          <w:szCs w:val="22"/>
        </w:rPr>
        <w:t>4</w:t>
      </w:r>
    </w:p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CB27AB0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3244F1">
        <w:rPr>
          <w:bCs/>
        </w:rPr>
        <w:t>Alberto Rico</w:t>
      </w:r>
    </w:p>
    <w:p w14:paraId="6AEAA55F" w14:textId="3FC152F1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3244F1">
        <w:rPr>
          <w:bCs/>
        </w:rPr>
        <w:t>albertor@qti.qualcomm.com</w:t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2B75030E" w14:textId="2089AE33" w:rsidR="003244F1" w:rsidRDefault="003244F1" w:rsidP="003244F1">
      <w:pPr>
        <w:pStyle w:val="00BodyText"/>
        <w:rPr>
          <w:rFonts w:cs="Arial"/>
          <w:bCs/>
          <w:sz w:val="20"/>
          <w:lang w:val="en-GB" w:eastAsia="en-GB"/>
        </w:rPr>
      </w:pPr>
      <w:r w:rsidRPr="003244F1">
        <w:rPr>
          <w:rFonts w:cs="Arial"/>
          <w:bCs/>
          <w:noProof/>
          <w:sz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ED87ED" wp14:editId="17F17290">
                <wp:simplePos x="0" y="0"/>
                <wp:positionH relativeFrom="column">
                  <wp:posOffset>-57785</wp:posOffset>
                </wp:positionH>
                <wp:positionV relativeFrom="paragraph">
                  <wp:posOffset>466725</wp:posOffset>
                </wp:positionV>
                <wp:extent cx="6127750" cy="1447800"/>
                <wp:effectExtent l="0" t="0" r="254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49BCB" w14:textId="77777777" w:rsidR="003244F1" w:rsidRPr="003244F1" w:rsidRDefault="003244F1" w:rsidP="003244F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  <w:lang w:eastAsia="en-US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  <w:lang w:eastAsia="en-US"/>
                              </w:rPr>
                              <w:t>Working assumption</w:t>
                            </w:r>
                          </w:p>
                          <w:p w14:paraId="0AE980A8" w14:textId="77777777" w:rsidR="003244F1" w:rsidRPr="003244F1" w:rsidRDefault="003244F1" w:rsidP="003244F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en-US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en-US"/>
                              </w:rPr>
                              <w:t>For precompensation, from RAN1 perspective:</w:t>
                            </w:r>
                          </w:p>
                          <w:p w14:paraId="3AF97291" w14:textId="77777777" w:rsidR="003244F1" w:rsidRPr="003244F1" w:rsidRDefault="003244F1" w:rsidP="003244F1">
                            <w:pPr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The UE adjusts its time/frequency pre-compensation before the beginning of each set of consecutive 8 uplink subframes. No pre-compensation gap is needed before the beginning of each set of consecutive 8 uplink subframes.</w:t>
                            </w:r>
                          </w:p>
                          <w:p w14:paraId="0EACEDBC" w14:textId="77777777" w:rsidR="003244F1" w:rsidRPr="003244F1" w:rsidRDefault="003244F1" w:rsidP="003244F1">
                            <w:pPr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 Whether it is supported to perform segmented pre-compensation within the set of 8 consecutive uplink subframes, and whether in this case a pre-compensation gap is needed.</w:t>
                            </w:r>
                          </w:p>
                          <w:p w14:paraId="1B28FC99" w14:textId="77777777" w:rsidR="003244F1" w:rsidRPr="003244F1" w:rsidRDefault="003244F1" w:rsidP="003244F1">
                            <w:pPr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</w:t>
                            </w: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x-none"/>
                              </w:rPr>
                              <w:t xml:space="preserve"> whether spec impact is in RAN1, RAN4 or both</w:t>
                            </w:r>
                          </w:p>
                          <w:p w14:paraId="41D8A0CA" w14:textId="427C323A" w:rsidR="003244F1" w:rsidRPr="003244F1" w:rsidRDefault="003244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D87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5pt;margin-top:36.75pt;width:482.5pt;height:1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">
                <v:textbox>
                  <w:txbxContent>
                    <w:p w14:paraId="2A549BCB" w14:textId="77777777" w:rsidR="003244F1" w:rsidRPr="003244F1" w:rsidRDefault="003244F1" w:rsidP="003244F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  <w:lang w:eastAsia="en-US"/>
                        </w:rPr>
                      </w:pPr>
                      <w:r w:rsidRPr="003244F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  <w:lang w:eastAsia="en-US"/>
                        </w:rPr>
                        <w:t>Working assumption</w:t>
                      </w:r>
                    </w:p>
                    <w:p w14:paraId="0AE980A8" w14:textId="77777777" w:rsidR="003244F1" w:rsidRPr="003244F1" w:rsidRDefault="003244F1" w:rsidP="003244F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en-US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en-US"/>
                        </w:rPr>
                        <w:t xml:space="preserve">For </w:t>
                      </w:r>
                      <w:proofErr w:type="spellStart"/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en-US"/>
                        </w:rPr>
                        <w:t>precompensation</w:t>
                      </w:r>
                      <w:proofErr w:type="spellEnd"/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en-US"/>
                        </w:rPr>
                        <w:t>, from RAN1 perspective:</w:t>
                      </w:r>
                    </w:p>
                    <w:p w14:paraId="3AF97291" w14:textId="77777777" w:rsidR="003244F1" w:rsidRPr="003244F1" w:rsidRDefault="003244F1" w:rsidP="003244F1">
                      <w:pPr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The UE adjusts its time/frequency pre-compensation before the beginning of each set of consecutive 8 uplink subframes. No pre-compensation gap is needed before the beginning of each set of consecutive 8 uplink subframes.</w:t>
                      </w:r>
                    </w:p>
                    <w:p w14:paraId="0EACEDBC" w14:textId="77777777" w:rsidR="003244F1" w:rsidRPr="003244F1" w:rsidRDefault="003244F1" w:rsidP="003244F1">
                      <w:pPr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 Whether it is supported to perform segmented pre-compensation within the set of 8 consecutive uplink subframes, and whether in this case a pre-compensation gap is needed.</w:t>
                      </w:r>
                    </w:p>
                    <w:p w14:paraId="1B28FC99" w14:textId="77777777" w:rsidR="003244F1" w:rsidRPr="003244F1" w:rsidRDefault="003244F1" w:rsidP="003244F1">
                      <w:pPr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</w:t>
                      </w: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val="en-US" w:eastAsia="x-none"/>
                        </w:rPr>
                        <w:t xml:space="preserve"> whether spec impact is in RAN1, RAN4 or both</w:t>
                      </w:r>
                    </w:p>
                    <w:p w14:paraId="41D8A0CA" w14:textId="427C323A" w:rsidR="003244F1" w:rsidRPr="003244F1" w:rsidRDefault="003244F1"/>
                  </w:txbxContent>
                </v:textbox>
                <w10:wrap type="square"/>
              </v:shape>
            </w:pict>
          </mc:Fallback>
        </mc:AlternateContent>
      </w:r>
      <w:r w:rsidRPr="003244F1">
        <w:rPr>
          <w:rFonts w:cs="Arial"/>
          <w:bCs/>
          <w:sz w:val="20"/>
          <w:lang w:val="en-GB" w:eastAsia="en-GB"/>
        </w:rPr>
        <w:t>RAN1</w:t>
      </w:r>
      <w:r>
        <w:rPr>
          <w:rFonts w:cs="Arial"/>
          <w:bCs/>
          <w:sz w:val="20"/>
          <w:lang w:val="en-GB" w:eastAsia="en-GB"/>
        </w:rPr>
        <w:t xml:space="preserve"> made the following working assumption on precompensation for NB-IoT NTN TDD mode:</w:t>
      </w:r>
    </w:p>
    <w:p w14:paraId="1E887004" w14:textId="553D022F" w:rsidR="003244F1" w:rsidRPr="003244F1" w:rsidRDefault="003244F1" w:rsidP="003244F1">
      <w:pPr>
        <w:pStyle w:val="00BodyText"/>
        <w:rPr>
          <w:rFonts w:cs="Arial"/>
          <w:bCs/>
          <w:sz w:val="20"/>
          <w:lang w:val="en-GB" w:eastAsia="en-GB"/>
        </w:rPr>
      </w:pPr>
    </w:p>
    <w:p w14:paraId="2918B30A" w14:textId="4B12CDFB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558DB58A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3244F1">
        <w:rPr>
          <w:rFonts w:ascii="Arial" w:eastAsia="DengXian" w:hAnsi="Arial" w:cs="Arial"/>
          <w:b/>
        </w:rPr>
        <w:t>4</w:t>
      </w:r>
    </w:p>
    <w:p w14:paraId="1D324DEA" w14:textId="78B59B15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3244F1">
        <w:rPr>
          <w:rFonts w:ascii="Arial" w:hAnsi="Arial" w:cs="Arial"/>
          <w:bCs/>
        </w:rPr>
        <w:t>4</w:t>
      </w:r>
      <w:r w:rsidRPr="003244F1">
        <w:rPr>
          <w:rFonts w:ascii="Arial" w:hAnsi="Arial" w:cs="Arial"/>
          <w:bCs/>
        </w:rPr>
        <w:t xml:space="preserve"> </w:t>
      </w:r>
      <w:r w:rsidR="003244F1" w:rsidRPr="003244F1">
        <w:rPr>
          <w:rFonts w:ascii="Arial" w:hAnsi="Arial" w:cs="Arial"/>
          <w:bCs/>
        </w:rPr>
        <w:t xml:space="preserve">if there are any issues with the above </w:t>
      </w:r>
      <w:r w:rsidR="003244F1">
        <w:rPr>
          <w:rFonts w:ascii="Arial" w:hAnsi="Arial" w:cs="Arial"/>
          <w:bCs/>
        </w:rPr>
        <w:t>working assumption</w:t>
      </w:r>
      <w:r w:rsidR="00D174E9" w:rsidRPr="003244F1">
        <w:rPr>
          <w:rFonts w:ascii="Arial" w:hAnsi="Arial" w:cs="Arial"/>
          <w:bCs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6F697064" w14:textId="66F70D46" w:rsidR="006D7268" w:rsidRDefault="006D7268" w:rsidP="006D7268">
      <w:pPr>
        <w:rPr>
          <w:rFonts w:ascii="Arial" w:hAnsi="Arial" w:cs="Arial"/>
        </w:rPr>
      </w:pPr>
      <w:r>
        <w:rPr>
          <w:rFonts w:ascii="Arial" w:hAnsi="Arial" w:cs="Arial"/>
        </w:rPr>
        <w:t>TSG-RAN</w:t>
      </w:r>
      <w:r w:rsidR="00C313D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#121</w:t>
      </w:r>
      <w:r>
        <w:rPr>
          <w:rFonts w:ascii="Arial" w:hAnsi="Arial" w:cs="Arial"/>
        </w:rPr>
        <w:tab/>
      </w:r>
      <w:r w:rsidR="00F35215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3521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May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hAnsi="Arial" w:cs="Arial"/>
        </w:rPr>
        <w:t>Malta, M</w:t>
      </w:r>
      <w:r w:rsidR="00F35215">
        <w:rPr>
          <w:rFonts w:ascii="Arial" w:hAnsi="Arial" w:cs="Arial"/>
        </w:rPr>
        <w:t>T</w:t>
      </w:r>
    </w:p>
    <w:p w14:paraId="786C3AF1" w14:textId="6FDA4FA5" w:rsidR="00073BEC" w:rsidRPr="001B0D5E" w:rsidRDefault="00C313D2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#122</w:t>
      </w:r>
      <w:r>
        <w:rPr>
          <w:rFonts w:ascii="Arial" w:hAnsi="Arial" w:cs="Arial"/>
        </w:rPr>
        <w:tab/>
      </w:r>
      <w:r w:rsidR="00F25BBD">
        <w:rPr>
          <w:rFonts w:ascii="Arial" w:eastAsia="DengXian" w:hAnsi="Arial" w:cs="Arial"/>
        </w:rPr>
        <w:t>25</w:t>
      </w:r>
      <w:r>
        <w:rPr>
          <w:rFonts w:ascii="Arial" w:hAnsi="Arial" w:cs="Arial"/>
        </w:rPr>
        <w:t xml:space="preserve"> - </w:t>
      </w:r>
      <w:r w:rsidR="00F25BBD">
        <w:rPr>
          <w:rFonts w:ascii="Arial" w:eastAsia="DengXian" w:hAnsi="Arial" w:cs="Arial"/>
        </w:rPr>
        <w:t>29</w:t>
      </w:r>
      <w:r>
        <w:rPr>
          <w:rFonts w:ascii="Arial" w:hAnsi="Arial" w:cs="Arial"/>
        </w:rPr>
        <w:t xml:space="preserve"> </w:t>
      </w:r>
      <w:r w:rsidR="00F25BBD">
        <w:rPr>
          <w:rFonts w:ascii="Arial" w:eastAsia="DengXian" w:hAnsi="Arial" w:cs="Arial"/>
        </w:rPr>
        <w:t>August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4525F5">
        <w:rPr>
          <w:rFonts w:ascii="Arial" w:eastAsia="DengXian" w:hAnsi="Arial" w:cs="Arial"/>
        </w:rPr>
        <w:t xml:space="preserve">Bengaluru, </w:t>
      </w:r>
      <w:r w:rsidR="00F25BBD">
        <w:rPr>
          <w:rFonts w:ascii="Arial" w:eastAsia="DengXian" w:hAnsi="Arial" w:cs="Arial"/>
        </w:rPr>
        <w:t>India</w:t>
      </w:r>
    </w:p>
    <w:sectPr w:rsidR="00073BEC" w:rsidRPr="001B0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3D30F" w14:textId="77777777" w:rsidR="0007312F" w:rsidRDefault="0007312F">
      <w:pPr>
        <w:spacing w:after="0"/>
      </w:pPr>
      <w:r>
        <w:separator/>
      </w:r>
    </w:p>
  </w:endnote>
  <w:endnote w:type="continuationSeparator" w:id="0">
    <w:p w14:paraId="33D5B719" w14:textId="77777777" w:rsidR="0007312F" w:rsidRDefault="000731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4297" w14:textId="77777777" w:rsidR="0007312F" w:rsidRDefault="0007312F">
      <w:pPr>
        <w:spacing w:after="0"/>
      </w:pPr>
      <w:r>
        <w:separator/>
      </w:r>
    </w:p>
  </w:footnote>
  <w:footnote w:type="continuationSeparator" w:id="0">
    <w:p w14:paraId="7783DE49" w14:textId="77777777" w:rsidR="0007312F" w:rsidRDefault="000731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12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781">
    <w:abstractNumId w:val="10"/>
  </w:num>
  <w:num w:numId="2" w16cid:durableId="715546719">
    <w:abstractNumId w:val="5"/>
  </w:num>
  <w:num w:numId="3" w16cid:durableId="1336110688">
    <w:abstractNumId w:val="7"/>
  </w:num>
  <w:num w:numId="4" w16cid:durableId="1168903880">
    <w:abstractNumId w:val="2"/>
  </w:num>
  <w:num w:numId="5" w16cid:durableId="1665275238">
    <w:abstractNumId w:val="13"/>
  </w:num>
  <w:num w:numId="6" w16cid:durableId="1691450520">
    <w:abstractNumId w:val="8"/>
  </w:num>
  <w:num w:numId="7" w16cid:durableId="1527324882">
    <w:abstractNumId w:val="9"/>
  </w:num>
  <w:num w:numId="8" w16cid:durableId="1357468024">
    <w:abstractNumId w:val="11"/>
  </w:num>
  <w:num w:numId="9" w16cid:durableId="474444759">
    <w:abstractNumId w:val="0"/>
  </w:num>
  <w:num w:numId="10" w16cid:durableId="827328410">
    <w:abstractNumId w:val="12"/>
  </w:num>
  <w:num w:numId="11" w16cid:durableId="1991864569">
    <w:abstractNumId w:val="4"/>
  </w:num>
  <w:num w:numId="12" w16cid:durableId="1306272676">
    <w:abstractNumId w:val="6"/>
  </w:num>
  <w:num w:numId="13" w16cid:durableId="756175328">
    <w:abstractNumId w:val="3"/>
  </w:num>
  <w:num w:numId="14" w16cid:durableId="313991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198"/>
    <w:rsid w:val="000325BF"/>
    <w:rsid w:val="00035ACA"/>
    <w:rsid w:val="0004223F"/>
    <w:rsid w:val="000462B0"/>
    <w:rsid w:val="000518DC"/>
    <w:rsid w:val="0005502C"/>
    <w:rsid w:val="0007312F"/>
    <w:rsid w:val="000733F9"/>
    <w:rsid w:val="00073BEC"/>
    <w:rsid w:val="000751B7"/>
    <w:rsid w:val="00080964"/>
    <w:rsid w:val="000823AA"/>
    <w:rsid w:val="000C2E0A"/>
    <w:rsid w:val="000C5987"/>
    <w:rsid w:val="000E19D4"/>
    <w:rsid w:val="000E3233"/>
    <w:rsid w:val="000F2E12"/>
    <w:rsid w:val="000F36AE"/>
    <w:rsid w:val="000F4E65"/>
    <w:rsid w:val="000F6242"/>
    <w:rsid w:val="00102574"/>
    <w:rsid w:val="00105DFB"/>
    <w:rsid w:val="001062D1"/>
    <w:rsid w:val="00124F26"/>
    <w:rsid w:val="00130C3A"/>
    <w:rsid w:val="001353F5"/>
    <w:rsid w:val="001412C9"/>
    <w:rsid w:val="00141B6D"/>
    <w:rsid w:val="0015057F"/>
    <w:rsid w:val="001533B0"/>
    <w:rsid w:val="00175648"/>
    <w:rsid w:val="00176A38"/>
    <w:rsid w:val="001A1976"/>
    <w:rsid w:val="001A55C3"/>
    <w:rsid w:val="001B0D5E"/>
    <w:rsid w:val="001B3F79"/>
    <w:rsid w:val="001D22B0"/>
    <w:rsid w:val="001E7032"/>
    <w:rsid w:val="00200B74"/>
    <w:rsid w:val="00201E23"/>
    <w:rsid w:val="00202842"/>
    <w:rsid w:val="00204BD5"/>
    <w:rsid w:val="002117A3"/>
    <w:rsid w:val="002134CE"/>
    <w:rsid w:val="0021584D"/>
    <w:rsid w:val="00247E55"/>
    <w:rsid w:val="002537D2"/>
    <w:rsid w:val="0025760B"/>
    <w:rsid w:val="002659A1"/>
    <w:rsid w:val="002668F3"/>
    <w:rsid w:val="002C6431"/>
    <w:rsid w:val="002C6840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244F1"/>
    <w:rsid w:val="0033071B"/>
    <w:rsid w:val="00331924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0EF6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525F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2570E"/>
    <w:rsid w:val="00531CCC"/>
    <w:rsid w:val="00555947"/>
    <w:rsid w:val="00561914"/>
    <w:rsid w:val="00563AD7"/>
    <w:rsid w:val="005777D7"/>
    <w:rsid w:val="005A5A0D"/>
    <w:rsid w:val="005A79B2"/>
    <w:rsid w:val="005D273A"/>
    <w:rsid w:val="005D276E"/>
    <w:rsid w:val="005D2F2C"/>
    <w:rsid w:val="005D367E"/>
    <w:rsid w:val="005D7724"/>
    <w:rsid w:val="00606369"/>
    <w:rsid w:val="006247F4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6073F"/>
    <w:rsid w:val="00860C23"/>
    <w:rsid w:val="00871667"/>
    <w:rsid w:val="008733A7"/>
    <w:rsid w:val="008814D2"/>
    <w:rsid w:val="00882D81"/>
    <w:rsid w:val="00890CD9"/>
    <w:rsid w:val="00896544"/>
    <w:rsid w:val="008A03A9"/>
    <w:rsid w:val="008A1AC3"/>
    <w:rsid w:val="008A217F"/>
    <w:rsid w:val="008B2ABA"/>
    <w:rsid w:val="008C1711"/>
    <w:rsid w:val="008C56C7"/>
    <w:rsid w:val="008D3BE4"/>
    <w:rsid w:val="008D6C56"/>
    <w:rsid w:val="008D772F"/>
    <w:rsid w:val="008E366D"/>
    <w:rsid w:val="008F79D2"/>
    <w:rsid w:val="009144A6"/>
    <w:rsid w:val="00926434"/>
    <w:rsid w:val="00941DB1"/>
    <w:rsid w:val="009470E8"/>
    <w:rsid w:val="00980940"/>
    <w:rsid w:val="00987BF0"/>
    <w:rsid w:val="0099764C"/>
    <w:rsid w:val="009A2792"/>
    <w:rsid w:val="009B6372"/>
    <w:rsid w:val="009C56F2"/>
    <w:rsid w:val="009D0C47"/>
    <w:rsid w:val="009E4739"/>
    <w:rsid w:val="009E50AB"/>
    <w:rsid w:val="009F491F"/>
    <w:rsid w:val="009F65DE"/>
    <w:rsid w:val="00A12B85"/>
    <w:rsid w:val="00A1348B"/>
    <w:rsid w:val="00A255FA"/>
    <w:rsid w:val="00A3471E"/>
    <w:rsid w:val="00A35689"/>
    <w:rsid w:val="00A36719"/>
    <w:rsid w:val="00A53082"/>
    <w:rsid w:val="00A566EA"/>
    <w:rsid w:val="00A603E4"/>
    <w:rsid w:val="00A60895"/>
    <w:rsid w:val="00A66F15"/>
    <w:rsid w:val="00A82CC9"/>
    <w:rsid w:val="00AA5256"/>
    <w:rsid w:val="00AB5D42"/>
    <w:rsid w:val="00AC0AC5"/>
    <w:rsid w:val="00AC201B"/>
    <w:rsid w:val="00AC6CD8"/>
    <w:rsid w:val="00AD20B3"/>
    <w:rsid w:val="00AD3812"/>
    <w:rsid w:val="00AE51C2"/>
    <w:rsid w:val="00B4324D"/>
    <w:rsid w:val="00B51758"/>
    <w:rsid w:val="00B575E1"/>
    <w:rsid w:val="00B5791E"/>
    <w:rsid w:val="00B81FD7"/>
    <w:rsid w:val="00B84780"/>
    <w:rsid w:val="00B93030"/>
    <w:rsid w:val="00B97703"/>
    <w:rsid w:val="00BA4FFF"/>
    <w:rsid w:val="00BC10CC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D568D"/>
    <w:rsid w:val="00CD71A4"/>
    <w:rsid w:val="00CE5A36"/>
    <w:rsid w:val="00CF6087"/>
    <w:rsid w:val="00D12DEA"/>
    <w:rsid w:val="00D16FE4"/>
    <w:rsid w:val="00D174E9"/>
    <w:rsid w:val="00D218EB"/>
    <w:rsid w:val="00D45DEC"/>
    <w:rsid w:val="00D50787"/>
    <w:rsid w:val="00D50CB6"/>
    <w:rsid w:val="00D55649"/>
    <w:rsid w:val="00D57BBC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2D42"/>
    <w:rsid w:val="00E46293"/>
    <w:rsid w:val="00E74472"/>
    <w:rsid w:val="00E829F4"/>
    <w:rsid w:val="00E94333"/>
    <w:rsid w:val="00E95399"/>
    <w:rsid w:val="00E96DD3"/>
    <w:rsid w:val="00E97EB6"/>
    <w:rsid w:val="00EA05FB"/>
    <w:rsid w:val="00EB3AC3"/>
    <w:rsid w:val="00EB6813"/>
    <w:rsid w:val="00EC3F56"/>
    <w:rsid w:val="00EC45A5"/>
    <w:rsid w:val="00EC79FD"/>
    <w:rsid w:val="00EC7A39"/>
    <w:rsid w:val="00ED08E4"/>
    <w:rsid w:val="00ED62E9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83A48"/>
    <w:rsid w:val="00F866B4"/>
    <w:rsid w:val="00F92D48"/>
    <w:rsid w:val="00F9533F"/>
    <w:rsid w:val="00FA7736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link w:val="HeaderChar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DengXi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Alberto (QC)</cp:lastModifiedBy>
  <cp:revision>3</cp:revision>
  <cp:lastPrinted>2002-04-23T07:10:00Z</cp:lastPrinted>
  <dcterms:created xsi:type="dcterms:W3CDTF">2025-04-11T03:06:00Z</dcterms:created>
  <dcterms:modified xsi:type="dcterms:W3CDTF">2025-04-11T03:36:00Z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