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79199F79"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 xml:space="preserve">3GPP TSG RAN WG1 </w:t>
      </w:r>
      <w:r w:rsidR="00FB2DA8" w:rsidRPr="00FB2DA8">
        <w:rPr>
          <w:rFonts w:ascii="Arial" w:hAnsi="Arial" w:cs="Arial"/>
          <w:b/>
          <w:bCs/>
          <w:sz w:val="28"/>
        </w:rPr>
        <w:t>#</w:t>
      </w:r>
      <w:r w:rsidR="00653869">
        <w:rPr>
          <w:rFonts w:ascii="Arial" w:hAnsi="Arial" w:cs="Arial"/>
          <w:b/>
          <w:bCs/>
          <w:sz w:val="28"/>
        </w:rPr>
        <w:t>120</w:t>
      </w:r>
      <w:r w:rsidR="00FB2DA8" w:rsidRPr="00FB2DA8">
        <w:rPr>
          <w:rFonts w:ascii="Arial" w:hAnsi="Arial" w:cs="Arial"/>
          <w:b/>
          <w:bCs/>
          <w:sz w:val="28"/>
        </w:rPr>
        <w:t>bis</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r w:rsidR="00B66E71" w:rsidRPr="00B66E71">
        <w:rPr>
          <w:rFonts w:ascii="Arial" w:hAnsi="Arial" w:cs="Arial"/>
          <w:b/>
          <w:bCs/>
          <w:sz w:val="28"/>
        </w:rPr>
        <w:t>R1-25027</w:t>
      </w:r>
      <w:r w:rsidR="005653AD">
        <w:rPr>
          <w:rFonts w:ascii="Arial" w:hAnsi="Arial" w:cs="Arial"/>
          <w:b/>
          <w:bCs/>
          <w:sz w:val="28"/>
        </w:rPr>
        <w:t>07</w:t>
      </w:r>
    </w:p>
    <w:p w14:paraId="6F5A350C" w14:textId="2619EAD0" w:rsidR="00B97E2E" w:rsidRPr="005104FD" w:rsidRDefault="00641A6E" w:rsidP="00B97E2E">
      <w:pPr>
        <w:tabs>
          <w:tab w:val="center" w:pos="4536"/>
          <w:tab w:val="right" w:pos="8280"/>
          <w:tab w:val="right" w:pos="9781"/>
        </w:tabs>
        <w:ind w:right="-58"/>
        <w:jc w:val="both"/>
        <w:rPr>
          <w:rFonts w:ascii="Arial" w:eastAsiaTheme="minorEastAsia" w:hAnsi="Arial" w:cs="Arial"/>
          <w:b/>
          <w:bCs/>
          <w:sz w:val="28"/>
          <w:lang w:eastAsia="zh-TW"/>
        </w:rPr>
      </w:pPr>
      <w:r w:rsidRPr="00641A6E">
        <w:rPr>
          <w:rFonts w:ascii="Arial" w:eastAsia="MS Mincho" w:hAnsi="Arial" w:cs="Arial"/>
          <w:b/>
          <w:bCs/>
          <w:sz w:val="28"/>
          <w:lang w:eastAsia="ja-JP"/>
        </w:rPr>
        <w:t>Wuhan, China, April 7th – 11th, 2025</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9683C85"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A87FC3" w:rsidRPr="00A87FC3">
        <w:rPr>
          <w:rFonts w:ascii="Arial" w:eastAsia="新細明體" w:hAnsi="Arial"/>
          <w:color w:val="000000"/>
          <w:sz w:val="24"/>
          <w:lang w:eastAsia="zh-TW"/>
        </w:rPr>
        <w:t>9</w:t>
      </w:r>
      <w:r w:rsidR="0089724A" w:rsidRPr="00A87FC3">
        <w:rPr>
          <w:rFonts w:ascii="Arial" w:eastAsia="新細明體" w:hAnsi="Arial"/>
          <w:color w:val="000000"/>
          <w:sz w:val="24"/>
          <w:lang w:eastAsia="zh-TW"/>
        </w:rPr>
        <w:t>.</w:t>
      </w:r>
      <w:r w:rsidR="00063E3A">
        <w:rPr>
          <w:rFonts w:ascii="Arial" w:eastAsia="新細明體" w:hAnsi="Arial"/>
          <w:color w:val="000000"/>
          <w:sz w:val="24"/>
          <w:lang w:eastAsia="zh-TW"/>
        </w:rPr>
        <w:t>4</w:t>
      </w:r>
      <w:r w:rsidR="00150EAD" w:rsidRPr="00A87FC3">
        <w:rPr>
          <w:rFonts w:ascii="Arial" w:eastAsia="新細明體" w:hAnsi="Arial"/>
          <w:color w:val="000000"/>
          <w:sz w:val="24"/>
          <w:lang w:eastAsia="zh-TW"/>
        </w:rPr>
        <w:t>.</w:t>
      </w:r>
      <w:r w:rsidR="00063E3A">
        <w:rPr>
          <w:rFonts w:ascii="Arial" w:eastAsia="新細明體" w:hAnsi="Arial"/>
          <w:color w:val="000000"/>
          <w:sz w:val="24"/>
          <w:lang w:eastAsia="zh-TW"/>
        </w:rPr>
        <w:t>4</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9735B66"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063E3A">
        <w:rPr>
          <w:rFonts w:ascii="Arial" w:hAnsi="Arial"/>
          <w:sz w:val="24"/>
        </w:rPr>
        <w:t>A-IoT – Other aspects</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593367D7" w14:textId="5BDDEC7E" w:rsidR="00BB600E" w:rsidRDefault="00BB600E" w:rsidP="00BB600E">
      <w:r>
        <w:t xml:space="preserve">In this contribution, aspects such as multiplexing, multiple access and random access for A-IoT designs </w:t>
      </w:r>
      <w:r w:rsidR="00536807">
        <w:fldChar w:fldCharType="begin"/>
      </w:r>
      <w:r w:rsidR="00536807">
        <w:instrText xml:space="preserve"> REF _Ref194089898 \r \h </w:instrText>
      </w:r>
      <w:r w:rsidR="00536807">
        <w:fldChar w:fldCharType="separate"/>
      </w:r>
      <w:r w:rsidR="004D1C73">
        <w:t>[1]</w:t>
      </w:r>
      <w:r w:rsidR="00536807">
        <w:fldChar w:fldCharType="end"/>
      </w:r>
      <w:r w:rsidR="00536807">
        <w:t xml:space="preserve"> </w:t>
      </w:r>
      <w:r>
        <w:t>will be addressed, covering the following sections:</w:t>
      </w:r>
    </w:p>
    <w:p w14:paraId="24237A66" w14:textId="77777777" w:rsidR="00BB600E" w:rsidRDefault="00BB600E" w:rsidP="00BB600E">
      <w:r>
        <w:rPr>
          <w:rFonts w:hint="eastAsia"/>
        </w:rPr>
        <w:t>•</w:t>
      </w:r>
      <w:r>
        <w:tab/>
        <w:t>Section 2: Msg2 transmission in random access</w:t>
      </w:r>
    </w:p>
    <w:p w14:paraId="293CBF38" w14:textId="001B65FD" w:rsidR="00F61974" w:rsidRDefault="00BB600E" w:rsidP="00BB600E">
      <w:r>
        <w:rPr>
          <w:rFonts w:hint="eastAsia"/>
        </w:rPr>
        <w:t>•</w:t>
      </w:r>
      <w:r>
        <w:tab/>
        <w:t>Section 3: Scheduling</w:t>
      </w:r>
    </w:p>
    <w:p w14:paraId="3BF147DC" w14:textId="266D1396" w:rsidR="00CD6E6F" w:rsidRDefault="00BB600E" w:rsidP="00CD6E6F">
      <w:pPr>
        <w:pStyle w:val="Heading1"/>
      </w:pPr>
      <w:r>
        <w:t>Msg2 in random access</w:t>
      </w:r>
    </w:p>
    <w:p w14:paraId="0AD1CFAE" w14:textId="6629BC85" w:rsidR="00104AE7" w:rsidRPr="00DF70D8" w:rsidRDefault="00104AE7" w:rsidP="00104AE7">
      <w:pPr>
        <w:overflowPunct/>
        <w:autoSpaceDE/>
        <w:adjustRightInd/>
        <w:spacing w:after="0"/>
        <w:textAlignment w:val="center"/>
        <w:rPr>
          <w:rFonts w:cs="Calibri"/>
          <w:lang w:eastAsia="zh-TW"/>
        </w:rPr>
      </w:pPr>
      <w:r w:rsidRPr="00DF70D8">
        <w:rPr>
          <w:rFonts w:cs="Calibri"/>
          <w:lang w:val="en-GB" w:eastAsia="zh-TW"/>
        </w:rPr>
        <w:t xml:space="preserve">When a reader receives </w:t>
      </w:r>
      <w:r w:rsidRPr="00DF70D8">
        <w:rPr>
          <w:rFonts w:cs="Calibri"/>
          <w:lang w:eastAsia="zh-TW"/>
        </w:rPr>
        <w:t xml:space="preserve">multiple Msg1 transmissions from multiple devices, how should the reader respond to the detected Msg1 messages? Two options can be considered which are illustrated in </w:t>
      </w:r>
      <w:r w:rsidRPr="00DF70D8">
        <w:rPr>
          <w:rFonts w:cs="Calibri"/>
          <w:lang w:eastAsia="zh-TW"/>
        </w:rPr>
        <w:fldChar w:fldCharType="begin"/>
      </w:r>
      <w:r w:rsidRPr="00DF70D8">
        <w:rPr>
          <w:rFonts w:cs="Calibri"/>
          <w:lang w:eastAsia="zh-TW"/>
        </w:rPr>
        <w:instrText xml:space="preserve"> REF _Ref194072353 \h </w:instrText>
      </w:r>
      <w:r w:rsidR="00DF70D8">
        <w:rPr>
          <w:rFonts w:cs="Calibri"/>
          <w:lang w:eastAsia="zh-TW"/>
        </w:rPr>
        <w:instrText xml:space="preserve"> \* MERGEFORMAT </w:instrText>
      </w:r>
      <w:r w:rsidRPr="00DF70D8">
        <w:rPr>
          <w:rFonts w:cs="Calibri"/>
          <w:lang w:eastAsia="zh-TW"/>
        </w:rPr>
      </w:r>
      <w:r w:rsidRPr="00DF70D8">
        <w:rPr>
          <w:rFonts w:cs="Calibri"/>
          <w:lang w:eastAsia="zh-TW"/>
        </w:rPr>
        <w:fldChar w:fldCharType="separate"/>
      </w:r>
      <w:r w:rsidR="004D1C73">
        <w:t xml:space="preserve">Figure </w:t>
      </w:r>
      <w:r w:rsidR="004D1C73">
        <w:rPr>
          <w:noProof/>
        </w:rPr>
        <w:t>1</w:t>
      </w:r>
      <w:r w:rsidRPr="00DF70D8">
        <w:rPr>
          <w:rFonts w:cs="Calibri"/>
          <w:lang w:eastAsia="zh-TW"/>
        </w:rPr>
        <w:fldChar w:fldCharType="end"/>
      </w:r>
      <w:r w:rsidRPr="00DF70D8">
        <w:rPr>
          <w:rFonts w:cs="Calibri"/>
          <w:lang w:eastAsia="zh-TW"/>
        </w:rPr>
        <w:t xml:space="preserve"> and </w:t>
      </w:r>
      <w:r w:rsidRPr="00DF70D8">
        <w:rPr>
          <w:rFonts w:cs="Calibri"/>
          <w:lang w:eastAsia="zh-TW"/>
        </w:rPr>
        <w:fldChar w:fldCharType="begin"/>
      </w:r>
      <w:r w:rsidRPr="00DF70D8">
        <w:rPr>
          <w:rFonts w:cs="Calibri"/>
          <w:lang w:eastAsia="zh-TW"/>
        </w:rPr>
        <w:instrText xml:space="preserve"> REF _Ref194072365 \h </w:instrText>
      </w:r>
      <w:r w:rsidR="00DF70D8">
        <w:rPr>
          <w:rFonts w:cs="Calibri"/>
          <w:lang w:eastAsia="zh-TW"/>
        </w:rPr>
        <w:instrText xml:space="preserve"> \* MERGEFORMAT </w:instrText>
      </w:r>
      <w:r w:rsidRPr="00DF70D8">
        <w:rPr>
          <w:rFonts w:cs="Calibri"/>
          <w:lang w:eastAsia="zh-TW"/>
        </w:rPr>
      </w:r>
      <w:r w:rsidRPr="00DF70D8">
        <w:rPr>
          <w:rFonts w:cs="Calibri"/>
          <w:lang w:eastAsia="zh-TW"/>
        </w:rPr>
        <w:fldChar w:fldCharType="separate"/>
      </w:r>
      <w:r w:rsidR="004D1C73">
        <w:t xml:space="preserve">Figure </w:t>
      </w:r>
      <w:r w:rsidR="004D1C73">
        <w:rPr>
          <w:noProof/>
        </w:rPr>
        <w:t>2</w:t>
      </w:r>
      <w:r w:rsidRPr="00DF70D8">
        <w:rPr>
          <w:rFonts w:cs="Calibri"/>
          <w:lang w:eastAsia="zh-TW"/>
        </w:rPr>
        <w:fldChar w:fldCharType="end"/>
      </w:r>
      <w:r w:rsidRPr="00DF70D8">
        <w:rPr>
          <w:rFonts w:cs="Calibri"/>
          <w:lang w:eastAsia="zh-TW"/>
        </w:rPr>
        <w:t xml:space="preserve">, respectively.  </w:t>
      </w:r>
    </w:p>
    <w:p w14:paraId="2E18EF93" w14:textId="77777777" w:rsidR="00104AE7" w:rsidRPr="00DF70D8" w:rsidRDefault="00104AE7">
      <w:pPr>
        <w:numPr>
          <w:ilvl w:val="0"/>
          <w:numId w:val="15"/>
        </w:numPr>
        <w:overflowPunct/>
        <w:autoSpaceDE/>
        <w:adjustRightInd/>
        <w:spacing w:after="0"/>
        <w:textAlignment w:val="center"/>
        <w:rPr>
          <w:rFonts w:cs="Calibri"/>
          <w:lang w:eastAsia="zh-CN"/>
        </w:rPr>
      </w:pPr>
      <w:r w:rsidRPr="00DF70D8">
        <w:rPr>
          <w:rFonts w:cs="Calibri"/>
        </w:rPr>
        <w:t>Option 1: A PRDCH for Msg2 corresponds to one Msg1 transmission from one device.</w:t>
      </w:r>
    </w:p>
    <w:p w14:paraId="0DAB9812" w14:textId="77777777" w:rsidR="00104AE7" w:rsidRPr="00DF70D8" w:rsidRDefault="00104AE7">
      <w:pPr>
        <w:numPr>
          <w:ilvl w:val="0"/>
          <w:numId w:val="15"/>
        </w:numPr>
        <w:overflowPunct/>
        <w:autoSpaceDE/>
        <w:adjustRightInd/>
        <w:spacing w:after="0"/>
        <w:textAlignment w:val="center"/>
        <w:rPr>
          <w:rFonts w:cs="Calibri"/>
        </w:rPr>
      </w:pPr>
      <w:r w:rsidRPr="00DF70D8">
        <w:rPr>
          <w:rFonts w:cs="Calibri"/>
        </w:rPr>
        <w:t>Option 2: A PRDCH for Msg2 corresponds to multiple Msg1 transmissions from multiple devices.</w:t>
      </w:r>
    </w:p>
    <w:p w14:paraId="0AF5B0D3" w14:textId="77777777" w:rsidR="00104AE7" w:rsidRPr="00DF70D8" w:rsidRDefault="00104AE7" w:rsidP="00104AE7">
      <w:pPr>
        <w:overflowPunct/>
        <w:autoSpaceDE/>
        <w:adjustRightInd/>
        <w:spacing w:after="0"/>
        <w:textAlignment w:val="center"/>
        <w:rPr>
          <w:rFonts w:cs="Calibri"/>
        </w:rPr>
      </w:pPr>
    </w:p>
    <w:p w14:paraId="0E8D50AB" w14:textId="691A5A2F" w:rsidR="00104AE7" w:rsidRPr="00DF70D8" w:rsidRDefault="00104AE7" w:rsidP="00104AE7">
      <w:pPr>
        <w:overflowPunct/>
        <w:autoSpaceDE/>
        <w:adjustRightInd/>
        <w:spacing w:after="0"/>
        <w:textAlignment w:val="center"/>
        <w:rPr>
          <w:rFonts w:cs="Calibri"/>
        </w:rPr>
      </w:pPr>
      <w:r w:rsidRPr="00DF70D8">
        <w:rPr>
          <w:rFonts w:cs="Calibri"/>
        </w:rPr>
        <w:t>Considering overhead reduction, we think Option 2 can be supported. A related issue to be resolved is that Option 2 commands a more restricted timeline than Option 1. More specifically, with Option 2, one Msg2 carries multiple responses to multiple devices and hence needs to meet timeline requirements for multiple devices simultaneously. In the example illustrated in</w:t>
      </w:r>
      <w:r w:rsidR="00882527" w:rsidRPr="00DF70D8">
        <w:rPr>
          <w:rFonts w:cs="Calibri"/>
        </w:rPr>
        <w:t xml:space="preserve"> </w:t>
      </w:r>
      <w:r w:rsidR="00882527" w:rsidRPr="00DF70D8">
        <w:rPr>
          <w:rFonts w:cs="Calibri"/>
        </w:rPr>
        <w:fldChar w:fldCharType="begin"/>
      </w:r>
      <w:r w:rsidR="00882527" w:rsidRPr="00DF70D8">
        <w:rPr>
          <w:rFonts w:cs="Calibri"/>
        </w:rPr>
        <w:instrText xml:space="preserve"> REF _Ref194072365 \h </w:instrText>
      </w:r>
      <w:r w:rsidR="00DF70D8">
        <w:rPr>
          <w:rFonts w:cs="Calibri"/>
        </w:rPr>
        <w:instrText xml:space="preserve"> \* MERGEFORMAT </w:instrText>
      </w:r>
      <w:r w:rsidR="00882527" w:rsidRPr="00DF70D8">
        <w:rPr>
          <w:rFonts w:cs="Calibri"/>
        </w:rPr>
      </w:r>
      <w:r w:rsidR="00882527" w:rsidRPr="00DF70D8">
        <w:rPr>
          <w:rFonts w:cs="Calibri"/>
        </w:rPr>
        <w:fldChar w:fldCharType="separate"/>
      </w:r>
      <w:r w:rsidR="004D1C73">
        <w:t xml:space="preserve">Figure </w:t>
      </w:r>
      <w:r w:rsidR="004D1C73">
        <w:rPr>
          <w:noProof/>
        </w:rPr>
        <w:t>2</w:t>
      </w:r>
      <w:r w:rsidR="00882527" w:rsidRPr="00DF70D8">
        <w:rPr>
          <w:rFonts w:cs="Calibri"/>
        </w:rPr>
        <w:fldChar w:fldCharType="end"/>
      </w:r>
      <w:r w:rsidRPr="00DF70D8">
        <w:rPr>
          <w:rFonts w:cs="Calibri"/>
        </w:rPr>
        <w:t>, T</w:t>
      </w:r>
      <w:r w:rsidRPr="00DF70D8">
        <w:rPr>
          <w:rFonts w:cs="Calibri"/>
          <w:vertAlign w:val="subscript"/>
        </w:rPr>
        <w:t>D2R_min</w:t>
      </w:r>
      <w:r w:rsidRPr="00DF70D8">
        <w:rPr>
          <w:rFonts w:cs="Calibri"/>
        </w:rPr>
        <w:t xml:space="preserve"> is counted from that of Device c, while T</w:t>
      </w:r>
      <w:r w:rsidRPr="00DF70D8">
        <w:rPr>
          <w:rFonts w:cs="Calibri"/>
          <w:vertAlign w:val="subscript"/>
        </w:rPr>
        <w:t>D2R_max</w:t>
      </w:r>
      <w:r w:rsidRPr="00DF70D8">
        <w:rPr>
          <w:rFonts w:cs="Calibri"/>
        </w:rPr>
        <w:t xml:space="preserve"> is counted form that of Device a. </w:t>
      </w:r>
    </w:p>
    <w:p w14:paraId="2F77DE30" w14:textId="77777777" w:rsidR="00104AE7" w:rsidRDefault="00104AE7" w:rsidP="00CD6E6F"/>
    <w:p w14:paraId="6E326BCE" w14:textId="78957A21" w:rsidR="00944A48" w:rsidRDefault="00944A48" w:rsidP="00944A48">
      <w:pPr>
        <w:pStyle w:val="Caption"/>
      </w:pPr>
      <w:bookmarkStart w:id="1" w:name="_Ref194117020"/>
      <w:r>
        <w:t xml:space="preserve">Proposal </w:t>
      </w:r>
      <w:fldSimple w:instr=" SEQ Proposal \* ARABIC ">
        <w:r w:rsidR="004D1C73">
          <w:rPr>
            <w:noProof/>
          </w:rPr>
          <w:t>1</w:t>
        </w:r>
      </w:fldSimple>
      <w:r>
        <w:t xml:space="preserve">: </w:t>
      </w:r>
      <w:r w:rsidRPr="00944A48">
        <w:t>Support that one Msg2 can contain responses to multiple Msg1 transmissions from multiple devices. FFS: timeline restrictions</w:t>
      </w:r>
      <w:bookmarkEnd w:id="1"/>
    </w:p>
    <w:p w14:paraId="356D834B" w14:textId="77777777" w:rsidR="00944A48" w:rsidRPr="00944A48" w:rsidRDefault="00944A48" w:rsidP="00944A48"/>
    <w:p w14:paraId="2E51AA4A" w14:textId="595D9ABC" w:rsidR="00104AE7" w:rsidRDefault="00104AE7" w:rsidP="00104AE7">
      <w:pPr>
        <w:jc w:val="center"/>
      </w:pPr>
      <w:r>
        <w:rPr>
          <w:noProof/>
        </w:rPr>
        <w:drawing>
          <wp:inline distT="0" distB="0" distL="0" distR="0" wp14:anchorId="77060698" wp14:editId="3D37EF6D">
            <wp:extent cx="3876675" cy="16459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rotWithShape="1">
                    <a:blip r:embed="rId11"/>
                    <a:srcRect t="4533" b="49670"/>
                    <a:stretch/>
                  </pic:blipFill>
                  <pic:spPr bwMode="auto">
                    <a:xfrm>
                      <a:off x="0" y="0"/>
                      <a:ext cx="3876675" cy="1645920"/>
                    </a:xfrm>
                    <a:prstGeom prst="rect">
                      <a:avLst/>
                    </a:prstGeom>
                    <a:ln>
                      <a:noFill/>
                    </a:ln>
                    <a:extLst>
                      <a:ext uri="{53640926-AAD7-44D8-BBD7-CCE9431645EC}">
                        <a14:shadowObscured xmlns:a14="http://schemas.microsoft.com/office/drawing/2010/main"/>
                      </a:ext>
                    </a:extLst>
                  </pic:spPr>
                </pic:pic>
              </a:graphicData>
            </a:graphic>
          </wp:inline>
        </w:drawing>
      </w:r>
    </w:p>
    <w:p w14:paraId="596E8EA7" w14:textId="33F8749E" w:rsidR="00104AE7" w:rsidRDefault="00104AE7" w:rsidP="00104AE7">
      <w:pPr>
        <w:pStyle w:val="Caption"/>
      </w:pPr>
      <w:bookmarkStart w:id="2" w:name="_Ref194072353"/>
      <w:r>
        <w:t xml:space="preserve">Figure </w:t>
      </w:r>
      <w:fldSimple w:instr=" SEQ Figure \* ARABIC ">
        <w:r w:rsidR="004D1C73">
          <w:rPr>
            <w:noProof/>
          </w:rPr>
          <w:t>1</w:t>
        </w:r>
      </w:fldSimple>
      <w:bookmarkEnd w:id="2"/>
      <w:r>
        <w:t xml:space="preserve">: </w:t>
      </w:r>
      <w:r w:rsidRPr="00104AE7">
        <w:t>Option 1 - An example of Msg2 transmission in a random access procedure where a PRDCH for one Msg2 transmission corresponds to one Msg1 transmission from one device (say device a, b, or c)</w:t>
      </w:r>
    </w:p>
    <w:p w14:paraId="4F42EE04" w14:textId="77777777" w:rsidR="00104AE7" w:rsidRDefault="00104AE7" w:rsidP="00104AE7"/>
    <w:p w14:paraId="2386A87C" w14:textId="77777777" w:rsidR="00104AE7" w:rsidRDefault="00104AE7" w:rsidP="00104AE7"/>
    <w:p w14:paraId="369344DF" w14:textId="77777777" w:rsidR="00104AE7" w:rsidRDefault="00104AE7" w:rsidP="00104AE7"/>
    <w:p w14:paraId="24875BCC" w14:textId="2CD6EA06" w:rsidR="00104AE7" w:rsidRDefault="00104AE7" w:rsidP="00AF4534">
      <w:pPr>
        <w:jc w:val="center"/>
      </w:pPr>
      <w:r>
        <w:rPr>
          <w:noProof/>
        </w:rPr>
        <w:lastRenderedPageBreak/>
        <w:drawing>
          <wp:inline distT="0" distB="0" distL="0" distR="0" wp14:anchorId="4BDCC2EB" wp14:editId="6F2E89EF">
            <wp:extent cx="3876675" cy="1617980"/>
            <wp:effectExtent l="0" t="0" r="952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rotWithShape="1">
                    <a:blip r:embed="rId11"/>
                    <a:srcRect t="54970"/>
                    <a:stretch/>
                  </pic:blipFill>
                  <pic:spPr bwMode="auto">
                    <a:xfrm>
                      <a:off x="0" y="0"/>
                      <a:ext cx="3876675" cy="1617980"/>
                    </a:xfrm>
                    <a:prstGeom prst="rect">
                      <a:avLst/>
                    </a:prstGeom>
                    <a:ln>
                      <a:noFill/>
                    </a:ln>
                    <a:extLst>
                      <a:ext uri="{53640926-AAD7-44D8-BBD7-CCE9431645EC}">
                        <a14:shadowObscured xmlns:a14="http://schemas.microsoft.com/office/drawing/2010/main"/>
                      </a:ext>
                    </a:extLst>
                  </pic:spPr>
                </pic:pic>
              </a:graphicData>
            </a:graphic>
          </wp:inline>
        </w:drawing>
      </w:r>
    </w:p>
    <w:p w14:paraId="7D0F7564" w14:textId="57DC1761" w:rsidR="00104AE7" w:rsidRDefault="00104AE7" w:rsidP="00104AE7">
      <w:pPr>
        <w:pStyle w:val="Caption"/>
        <w:rPr>
          <w:lang w:eastAsia="zh-CN"/>
        </w:rPr>
      </w:pPr>
      <w:bookmarkStart w:id="3" w:name="_Ref194072365"/>
      <w:r>
        <w:t xml:space="preserve">Figure </w:t>
      </w:r>
      <w:fldSimple w:instr=" SEQ Figure \* ARABIC ">
        <w:r w:rsidR="004D1C73">
          <w:rPr>
            <w:noProof/>
          </w:rPr>
          <w:t>2</w:t>
        </w:r>
      </w:fldSimple>
      <w:bookmarkEnd w:id="3"/>
      <w:r>
        <w:t>: Option 2 - An example of Msg2 transmission in a random access procedure where a PRDCH for one Msg2 transmission corresponds to multiple Msg1 transmissions from multiple devices (say devices a, b, and c)</w:t>
      </w:r>
    </w:p>
    <w:p w14:paraId="415491D3" w14:textId="77777777" w:rsidR="00104AE7" w:rsidRPr="00104AE7" w:rsidRDefault="00104AE7" w:rsidP="00104AE7"/>
    <w:p w14:paraId="2B6830C7" w14:textId="58844A31" w:rsidR="009F0958" w:rsidRDefault="00616B67" w:rsidP="009F0958">
      <w:pPr>
        <w:pStyle w:val="Heading1"/>
      </w:pPr>
      <w:r>
        <w:t>Scheduling</w:t>
      </w:r>
      <w:r w:rsidR="00FC4DB7">
        <w:t xml:space="preserve"> information </w:t>
      </w:r>
    </w:p>
    <w:p w14:paraId="6E1FAD9C" w14:textId="235CB425" w:rsidR="001C371B" w:rsidRDefault="00862C57" w:rsidP="009F0958">
      <w:pPr>
        <w:rPr>
          <w:rFonts w:cs="Calibri"/>
          <w:lang w:eastAsia="zh-TW"/>
        </w:rPr>
      </w:pPr>
      <w:r>
        <w:rPr>
          <w:rFonts w:cs="Calibri"/>
          <w:lang w:eastAsia="zh-TW"/>
        </w:rPr>
        <w:t xml:space="preserve">In the feature lead summary </w:t>
      </w:r>
      <w:r>
        <w:rPr>
          <w:rFonts w:cs="Calibri"/>
          <w:lang w:eastAsia="zh-TW"/>
        </w:rPr>
        <w:fldChar w:fldCharType="begin"/>
      </w:r>
      <w:r>
        <w:rPr>
          <w:rFonts w:cs="Calibri"/>
          <w:lang w:eastAsia="zh-TW"/>
        </w:rPr>
        <w:instrText xml:space="preserve"> REF _Ref194088758 \r \h </w:instrText>
      </w:r>
      <w:r>
        <w:rPr>
          <w:rFonts w:cs="Calibri"/>
          <w:lang w:eastAsia="zh-TW"/>
        </w:rPr>
      </w:r>
      <w:r>
        <w:rPr>
          <w:rFonts w:cs="Calibri"/>
          <w:lang w:eastAsia="zh-TW"/>
        </w:rPr>
        <w:fldChar w:fldCharType="separate"/>
      </w:r>
      <w:r w:rsidR="004D1C73">
        <w:rPr>
          <w:rFonts w:cs="Calibri"/>
          <w:lang w:eastAsia="zh-TW"/>
        </w:rPr>
        <w:t>[2]</w:t>
      </w:r>
      <w:r>
        <w:rPr>
          <w:rFonts w:cs="Calibri"/>
          <w:lang w:eastAsia="zh-TW"/>
        </w:rPr>
        <w:fldChar w:fldCharType="end"/>
      </w:r>
      <w:r>
        <w:rPr>
          <w:rFonts w:cs="Calibri"/>
          <w:lang w:eastAsia="zh-TW"/>
        </w:rPr>
        <w:t xml:space="preserve">, how to indicate the end of a PRDCH transmission was discussed but was not concluded.  </w:t>
      </w:r>
    </w:p>
    <w:tbl>
      <w:tblPr>
        <w:tblStyle w:val="TableGrid"/>
        <w:tblW w:w="0" w:type="auto"/>
        <w:tblLook w:val="04A0" w:firstRow="1" w:lastRow="0" w:firstColumn="1" w:lastColumn="0" w:noHBand="0" w:noVBand="1"/>
      </w:tblPr>
      <w:tblGrid>
        <w:gridCol w:w="9631"/>
      </w:tblGrid>
      <w:tr w:rsidR="00DD5855" w:rsidRPr="002C739C" w14:paraId="063A849C" w14:textId="77777777" w:rsidTr="00DD5855">
        <w:tc>
          <w:tcPr>
            <w:tcW w:w="9631" w:type="dxa"/>
          </w:tcPr>
          <w:p w14:paraId="44B1530F" w14:textId="77777777" w:rsidR="00DD5855" w:rsidRPr="002C739C" w:rsidRDefault="00DD5855" w:rsidP="00DD5855">
            <w:pPr>
              <w:snapToGrid w:val="0"/>
              <w:spacing w:after="0"/>
              <w:rPr>
                <w:rFonts w:ascii="Times New Roman" w:eastAsia="DengXian" w:hAnsi="Times New Roman"/>
                <w:lang w:eastAsia="zh-CN"/>
              </w:rPr>
            </w:pPr>
            <w:r w:rsidRPr="002C739C">
              <w:rPr>
                <w:rFonts w:ascii="Times New Roman" w:eastAsia="DengXian" w:hAnsi="Times New Roman"/>
                <w:lang w:eastAsia="zh-CN"/>
              </w:rPr>
              <w:t xml:space="preserve">FL1 High Priority Proposal 4.1-3: For a PRDCH transmission with variable size, </w:t>
            </w:r>
            <w:proofErr w:type="gramStart"/>
            <w:r w:rsidRPr="002C739C">
              <w:rPr>
                <w:rFonts w:ascii="Times New Roman" w:eastAsia="DengXian" w:hAnsi="Times New Roman"/>
                <w:lang w:eastAsia="zh-CN"/>
              </w:rPr>
              <w:t>down-select</w:t>
            </w:r>
            <w:proofErr w:type="gramEnd"/>
            <w:r w:rsidRPr="002C739C">
              <w:rPr>
                <w:rFonts w:ascii="Times New Roman" w:eastAsia="DengXian" w:hAnsi="Times New Roman"/>
                <w:lang w:eastAsia="zh-CN"/>
              </w:rPr>
              <w:t xml:space="preserve"> from following two options</w:t>
            </w:r>
          </w:p>
          <w:p w14:paraId="61CC3E90" w14:textId="77777777" w:rsidR="00DD5855" w:rsidRPr="002C739C" w:rsidRDefault="00DD5855">
            <w:pPr>
              <w:pStyle w:val="ListParagraph"/>
              <w:numPr>
                <w:ilvl w:val="0"/>
                <w:numId w:val="16"/>
              </w:numPr>
              <w:adjustRightInd w:val="0"/>
              <w:snapToGrid w:val="0"/>
              <w:spacing w:afterLines="50" w:after="120"/>
              <w:ind w:left="1162" w:firstLineChars="0" w:hanging="442"/>
              <w:contextualSpacing/>
              <w:jc w:val="both"/>
              <w:rPr>
                <w:rFonts w:ascii="Times New Roman" w:eastAsia="DengXian" w:hAnsi="Times New Roman"/>
                <w:lang w:eastAsia="zh-CN"/>
              </w:rPr>
            </w:pPr>
            <w:r w:rsidRPr="002C739C">
              <w:rPr>
                <w:rFonts w:ascii="Times New Roman" w:eastAsia="DengXian" w:hAnsi="Times New Roman"/>
                <w:sz w:val="20"/>
                <w:szCs w:val="20"/>
                <w:lang w:eastAsia="zh-CN"/>
              </w:rPr>
              <w:t xml:space="preserve">Option 1: R2D postamble immediately follows the PRDCH to indicate the end of the PRDCH.    </w:t>
            </w:r>
            <w:r w:rsidRPr="002C739C">
              <w:rPr>
                <w:rFonts w:ascii="Times New Roman" w:eastAsia="DengXian" w:hAnsi="Times New Roman"/>
                <w:lang w:eastAsia="zh-CN"/>
              </w:rPr>
              <w:t xml:space="preserve">   </w:t>
            </w:r>
          </w:p>
          <w:p w14:paraId="038E5409" w14:textId="5412F32E" w:rsidR="00DD5855" w:rsidRPr="002C739C" w:rsidRDefault="00DD5855">
            <w:pPr>
              <w:pStyle w:val="ListParagraph"/>
              <w:numPr>
                <w:ilvl w:val="0"/>
                <w:numId w:val="16"/>
              </w:numPr>
              <w:adjustRightInd w:val="0"/>
              <w:snapToGrid w:val="0"/>
              <w:spacing w:afterLines="50" w:after="120"/>
              <w:ind w:left="1162" w:firstLineChars="0" w:hanging="442"/>
              <w:contextualSpacing/>
              <w:jc w:val="both"/>
              <w:rPr>
                <w:rFonts w:ascii="Times New Roman" w:eastAsia="DengXian" w:hAnsi="Times New Roman"/>
                <w:sz w:val="20"/>
                <w:szCs w:val="20"/>
                <w:lang w:eastAsia="zh-CN"/>
              </w:rPr>
            </w:pPr>
            <w:r w:rsidRPr="002C739C">
              <w:rPr>
                <w:rFonts w:ascii="Times New Roman" w:eastAsia="DengXian" w:hAnsi="Times New Roman"/>
                <w:sz w:val="20"/>
                <w:szCs w:val="20"/>
                <w:lang w:eastAsia="zh-CN"/>
              </w:rPr>
              <w:t>Option 2: Based on R2D control information.</w:t>
            </w:r>
          </w:p>
        </w:tc>
      </w:tr>
    </w:tbl>
    <w:p w14:paraId="22073C6C" w14:textId="26CEA1C0" w:rsidR="00DD5855" w:rsidRPr="00DF70D8" w:rsidRDefault="00862C57" w:rsidP="009F0958">
      <w:pPr>
        <w:rPr>
          <w:rFonts w:cs="Calibri"/>
          <w:lang w:eastAsia="zh-TW"/>
        </w:rPr>
      </w:pPr>
      <w:r>
        <w:rPr>
          <w:rFonts w:cs="Calibri"/>
          <w:lang w:eastAsia="zh-TW"/>
        </w:rPr>
        <w:t>For R2D control inf</w:t>
      </w:r>
      <w:r>
        <w:rPr>
          <w:rFonts w:eastAsia="新細明體" w:cs="Calibri"/>
          <w:lang w:eastAsia="zh-TW"/>
        </w:rPr>
        <w:t>ormation</w:t>
      </w:r>
      <w:r>
        <w:rPr>
          <w:rFonts w:cs="Calibri"/>
          <w:lang w:eastAsia="zh-TW"/>
        </w:rPr>
        <w:t xml:space="preserve">, in addition to the common information like time-frequency (T/F) resource allocation, MCS-like information, etc., we think TB sizes (TBS) can be included or derived to indicate the ending of a PRDCH transmission.  With TBS indication, a device can avoid blind detection of postamble and can therefore save its power consumption. Furthermore, for a device with limited remaining power, it can decide whether to skip a transport block based on the TBS indication. In </w:t>
      </w:r>
      <w:r w:rsidR="00FC4DB7">
        <w:rPr>
          <w:rFonts w:cs="Calibri"/>
          <w:lang w:eastAsia="zh-TW"/>
        </w:rPr>
        <w:t xml:space="preserve">our </w:t>
      </w:r>
      <w:r>
        <w:rPr>
          <w:rFonts w:cs="Calibri"/>
          <w:lang w:eastAsia="zh-TW"/>
        </w:rPr>
        <w:t>contribution</w:t>
      </w:r>
      <w:r w:rsidR="00FC4DB7">
        <w:rPr>
          <w:rFonts w:cs="Calibri"/>
          <w:lang w:eastAsia="zh-TW"/>
        </w:rPr>
        <w:t xml:space="preserve"> </w:t>
      </w:r>
      <w:r w:rsidR="00FC4DB7">
        <w:rPr>
          <w:rFonts w:cs="Calibri"/>
          <w:lang w:eastAsia="zh-TW"/>
        </w:rPr>
        <w:fldChar w:fldCharType="begin"/>
      </w:r>
      <w:r w:rsidR="00FC4DB7">
        <w:rPr>
          <w:rFonts w:cs="Calibri"/>
          <w:lang w:eastAsia="zh-TW"/>
        </w:rPr>
        <w:instrText xml:space="preserve"> REF _Ref194089046 \r \h </w:instrText>
      </w:r>
      <w:r w:rsidR="00FC4DB7">
        <w:rPr>
          <w:rFonts w:cs="Calibri"/>
          <w:lang w:eastAsia="zh-TW"/>
        </w:rPr>
      </w:r>
      <w:r w:rsidR="00FC4DB7">
        <w:rPr>
          <w:rFonts w:cs="Calibri"/>
          <w:lang w:eastAsia="zh-TW"/>
        </w:rPr>
        <w:fldChar w:fldCharType="separate"/>
      </w:r>
      <w:r w:rsidR="004D1C73">
        <w:rPr>
          <w:rFonts w:cs="Calibri"/>
          <w:lang w:eastAsia="zh-TW"/>
        </w:rPr>
        <w:t>[3]</w:t>
      </w:r>
      <w:r w:rsidR="00FC4DB7">
        <w:rPr>
          <w:rFonts w:cs="Calibri"/>
          <w:lang w:eastAsia="zh-TW"/>
        </w:rPr>
        <w:fldChar w:fldCharType="end"/>
      </w:r>
      <w:r w:rsidR="00FC4DB7">
        <w:rPr>
          <w:rFonts w:cs="Calibri"/>
          <w:lang w:eastAsia="zh-TW"/>
        </w:rPr>
        <w:t xml:space="preserve">, we provide more detailed comparison between Option 1 and Option 2. Based on our comparison results, we are supportive for Option 2. </w:t>
      </w:r>
    </w:p>
    <w:p w14:paraId="53CBD97E" w14:textId="607AF9A0" w:rsidR="00862C57" w:rsidRPr="00862C57" w:rsidRDefault="00862C57" w:rsidP="00862C57">
      <w:pPr>
        <w:pStyle w:val="Caption"/>
      </w:pPr>
      <w:bookmarkStart w:id="4" w:name="_Ref194117041"/>
      <w:r>
        <w:t xml:space="preserve">Proposal </w:t>
      </w:r>
      <w:fldSimple w:instr=" SEQ Proposal \* ARABIC ">
        <w:r w:rsidR="004D1C73">
          <w:rPr>
            <w:noProof/>
          </w:rPr>
          <w:t>2</w:t>
        </w:r>
      </w:fldSimple>
      <w:r>
        <w:t>: To determine or derive the end of PRDCH transmission, support TBS information via implicit/explicit R2D control information.</w:t>
      </w:r>
      <w:bookmarkEnd w:id="4"/>
      <w:r>
        <w:t xml:space="preserve"> </w:t>
      </w:r>
    </w:p>
    <w:p w14:paraId="25DC61CC" w14:textId="77777777" w:rsidR="00FF35CE" w:rsidRPr="00DF70D8" w:rsidRDefault="00FF35CE" w:rsidP="00FF35CE">
      <w:pPr>
        <w:rPr>
          <w:rFonts w:eastAsiaTheme="minorEastAsia"/>
        </w:rPr>
      </w:pPr>
    </w:p>
    <w:p w14:paraId="16C14C48" w14:textId="77777777" w:rsidR="00FF35CE" w:rsidRPr="00DF70D8" w:rsidRDefault="00FF35CE" w:rsidP="00FF35CE">
      <w:pPr>
        <w:overflowPunct/>
        <w:autoSpaceDE/>
        <w:adjustRightInd/>
        <w:spacing w:after="0"/>
        <w:textAlignment w:val="center"/>
        <w:rPr>
          <w:rFonts w:cs="Calibri"/>
          <w:lang w:eastAsia="zh-TW"/>
        </w:rPr>
      </w:pPr>
      <w:r w:rsidRPr="00DF70D8">
        <w:rPr>
          <w:rFonts w:cs="Calibri"/>
          <w:lang w:eastAsia="zh-TW"/>
        </w:rPr>
        <w:t xml:space="preserve">For D2R control information, </w:t>
      </w:r>
      <w:r w:rsidRPr="00DF70D8">
        <w:rPr>
          <w:rFonts w:cs="Calibri"/>
        </w:rPr>
        <w:t>feedback information about the (un)successful reception of an R2D command at a device</w:t>
      </w:r>
      <w:r w:rsidRPr="00DF70D8">
        <w:rPr>
          <w:rFonts w:cs="Calibri"/>
          <w:lang w:eastAsia="zh-TW"/>
        </w:rPr>
        <w:t xml:space="preserve"> should be included. With ACK/NACK feedback, it improves </w:t>
      </w:r>
      <w:r w:rsidRPr="00DF70D8">
        <w:rPr>
          <w:rFonts w:cs="Calibri"/>
        </w:rPr>
        <w:t>transmission reliability. When a BS or an intermediate node sends R2D transmission to a device in the command procedure and if the device does not respond ACK/NACK, the BS or intermediate node cannot determine whether the transmission is successful.</w:t>
      </w:r>
    </w:p>
    <w:p w14:paraId="4967947F" w14:textId="3933662D" w:rsidR="00FF35CE" w:rsidRPr="00DF70D8" w:rsidRDefault="007A2AEB" w:rsidP="007A2AEB">
      <w:pPr>
        <w:pStyle w:val="Caption"/>
      </w:pPr>
      <w:bookmarkStart w:id="5" w:name="_Ref194117048"/>
      <w:r w:rsidRPr="00DF70D8">
        <w:t xml:space="preserve">Proposal </w:t>
      </w:r>
      <w:fldSimple w:instr=" SEQ Proposal \* ARABIC ">
        <w:r w:rsidR="004D1C73">
          <w:rPr>
            <w:noProof/>
          </w:rPr>
          <w:t>3</w:t>
        </w:r>
      </w:fldSimple>
      <w:r w:rsidRPr="00DF70D8">
        <w:t>: For D2R control information, support that devices send NACK/ACK to indicate un/successful reception of an R2D command.</w:t>
      </w:r>
      <w:bookmarkEnd w:id="5"/>
      <w:r w:rsidRPr="00DF70D8">
        <w:t xml:space="preserve">   </w:t>
      </w:r>
    </w:p>
    <w:p w14:paraId="0716EBF8" w14:textId="77777777" w:rsidR="007A2AEB" w:rsidRPr="00DF70D8" w:rsidRDefault="007A2AEB" w:rsidP="007A2AEB">
      <w:pPr>
        <w:rPr>
          <w:rFonts w:eastAsiaTheme="minorEastAsia"/>
        </w:rPr>
      </w:pPr>
    </w:p>
    <w:p w14:paraId="334F4CF0" w14:textId="719F807D" w:rsidR="007A2AEB" w:rsidRPr="00E57FB8" w:rsidRDefault="007A2AEB" w:rsidP="007A2AEB">
      <w:pPr>
        <w:rPr>
          <w:lang w:eastAsia="zh-TW"/>
        </w:rPr>
      </w:pPr>
      <w:r w:rsidRPr="00DF70D8">
        <w:rPr>
          <w:lang w:eastAsia="zh-TW"/>
        </w:rPr>
        <w:t xml:space="preserve">For D2R transmissions, when they are scheduled in a </w:t>
      </w:r>
      <w:proofErr w:type="spellStart"/>
      <w:r w:rsidRPr="00DF70D8">
        <w:rPr>
          <w:lang w:eastAsia="zh-TW"/>
        </w:rPr>
        <w:t>TDM’ed</w:t>
      </w:r>
      <w:proofErr w:type="spellEnd"/>
      <w:r w:rsidRPr="00DF70D8">
        <w:rPr>
          <w:lang w:eastAsia="zh-TW"/>
        </w:rPr>
        <w:t xml:space="preserve"> manner, a guard interval can be supported between two consecutive D2R transmissions from two different devices depending on the SFO values after clock calibration. When the D2R transmissions are scheduled in an </w:t>
      </w:r>
      <w:proofErr w:type="spellStart"/>
      <w:r w:rsidRPr="00DF70D8">
        <w:rPr>
          <w:lang w:eastAsia="zh-TW"/>
        </w:rPr>
        <w:t>FDM’ed</w:t>
      </w:r>
      <w:proofErr w:type="spellEnd"/>
      <w:r w:rsidRPr="00DF70D8">
        <w:rPr>
          <w:lang w:eastAsia="zh-TW"/>
        </w:rPr>
        <w:t xml:space="preserve"> and non-device specific manner, a device can select a resource randomly or based on a calculation aiming for distinguishing from other device(s) for selecting a frequency resource. </w:t>
      </w:r>
    </w:p>
    <w:p w14:paraId="148A95E4" w14:textId="595DC037" w:rsidR="007A2AEB" w:rsidRPr="00DF70D8" w:rsidRDefault="007A2AEB" w:rsidP="007A2AEB">
      <w:pPr>
        <w:pStyle w:val="Caption"/>
      </w:pPr>
      <w:bookmarkStart w:id="6" w:name="_Ref194117054"/>
      <w:r w:rsidRPr="00DF70D8">
        <w:t xml:space="preserve">Proposal </w:t>
      </w:r>
      <w:fldSimple w:instr=" SEQ Proposal \* ARABIC ">
        <w:r w:rsidR="004D1C73">
          <w:rPr>
            <w:noProof/>
          </w:rPr>
          <w:t>4</w:t>
        </w:r>
      </w:fldSimple>
      <w:r w:rsidRPr="00DF70D8">
        <w:t xml:space="preserve">: For </w:t>
      </w:r>
      <w:proofErr w:type="spellStart"/>
      <w:r w:rsidRPr="00DF70D8">
        <w:t>TDM’ed</w:t>
      </w:r>
      <w:proofErr w:type="spellEnd"/>
      <w:r w:rsidRPr="00DF70D8">
        <w:t xml:space="preserve"> D2R transmissions, support guard intervals between consecutive D2R transmissions from different devices. FFS: guard interval values</w:t>
      </w:r>
      <w:bookmarkEnd w:id="6"/>
    </w:p>
    <w:p w14:paraId="58857053" w14:textId="69A248EE" w:rsidR="007A2AEB" w:rsidRPr="00DF70D8" w:rsidRDefault="007A2AEB" w:rsidP="007A2AEB">
      <w:pPr>
        <w:pStyle w:val="Caption"/>
      </w:pPr>
      <w:bookmarkStart w:id="7" w:name="_Ref194117059"/>
      <w:r w:rsidRPr="00DF70D8">
        <w:t xml:space="preserve">Proposal </w:t>
      </w:r>
      <w:fldSimple w:instr=" SEQ Proposal \* ARABIC ">
        <w:r w:rsidR="004D1C73">
          <w:rPr>
            <w:noProof/>
          </w:rPr>
          <w:t>5</w:t>
        </w:r>
      </w:fldSimple>
      <w:r w:rsidRPr="00DF70D8">
        <w:t xml:space="preserve">: For </w:t>
      </w:r>
      <w:proofErr w:type="spellStart"/>
      <w:r w:rsidRPr="00DF70D8">
        <w:t>FDM’ed</w:t>
      </w:r>
      <w:proofErr w:type="spellEnd"/>
      <w:r w:rsidRPr="00DF70D8">
        <w:t xml:space="preserve"> D2R transmissions, support that devices can select frequency resources randomly or based on their calculation aiming for distinguishing from other devices.</w:t>
      </w:r>
      <w:bookmarkEnd w:id="7"/>
    </w:p>
    <w:p w14:paraId="0239258B" w14:textId="77777777" w:rsidR="007A2AEB" w:rsidRPr="007A2AEB" w:rsidRDefault="007A2AEB" w:rsidP="007A2AEB">
      <w:pPr>
        <w:rPr>
          <w:rFonts w:eastAsiaTheme="minorEastAsia"/>
        </w:rPr>
      </w:pPr>
    </w:p>
    <w:p w14:paraId="20FF9D74" w14:textId="77777777" w:rsidR="00A2132C" w:rsidRDefault="00A2132C" w:rsidP="00A2132C">
      <w:pPr>
        <w:pStyle w:val="Heading1"/>
        <w:jc w:val="both"/>
        <w:rPr>
          <w:lang w:val="en-US" w:eastAsia="zh-CN"/>
        </w:rPr>
      </w:pPr>
      <w:r>
        <w:rPr>
          <w:rFonts w:eastAsia="SimSun"/>
          <w:lang w:val="en-US" w:eastAsia="zh-CN"/>
        </w:rPr>
        <w:lastRenderedPageBreak/>
        <w:t xml:space="preserve">Conclusion </w:t>
      </w:r>
    </w:p>
    <w:p w14:paraId="603262A1" w14:textId="1BF81A2F" w:rsidR="00997849" w:rsidRDefault="00903425" w:rsidP="00867C59">
      <w:r w:rsidRPr="00903425">
        <w:t xml:space="preserve">In </w:t>
      </w:r>
      <w:r>
        <w:t xml:space="preserve">this contribution, we have the following proposals. </w:t>
      </w:r>
    </w:p>
    <w:p w14:paraId="697460E1" w14:textId="11528B66" w:rsidR="00903425" w:rsidRPr="00903425" w:rsidRDefault="00903425" w:rsidP="00867C59">
      <w:pPr>
        <w:rPr>
          <w:b/>
          <w:bCs/>
        </w:rPr>
      </w:pPr>
      <w:r w:rsidRPr="00903425">
        <w:rPr>
          <w:b/>
          <w:bCs/>
        </w:rPr>
        <w:fldChar w:fldCharType="begin"/>
      </w:r>
      <w:r w:rsidRPr="00903425">
        <w:rPr>
          <w:b/>
          <w:bCs/>
        </w:rPr>
        <w:instrText xml:space="preserve"> REF _Ref194117020 \h </w:instrText>
      </w:r>
      <w:r w:rsidRPr="00903425">
        <w:rPr>
          <w:b/>
          <w:bCs/>
        </w:rPr>
      </w:r>
      <w:r>
        <w:rPr>
          <w:b/>
          <w:bCs/>
        </w:rPr>
        <w:instrText xml:space="preserve"> \* MERGEFORMAT </w:instrText>
      </w:r>
      <w:r w:rsidRPr="00903425">
        <w:rPr>
          <w:b/>
          <w:bCs/>
        </w:rPr>
        <w:fldChar w:fldCharType="separate"/>
      </w:r>
      <w:r w:rsidRPr="00903425">
        <w:rPr>
          <w:b/>
          <w:bCs/>
        </w:rPr>
        <w:t xml:space="preserve">Proposal </w:t>
      </w:r>
      <w:r w:rsidRPr="00903425">
        <w:rPr>
          <w:b/>
          <w:bCs/>
          <w:noProof/>
        </w:rPr>
        <w:t>1</w:t>
      </w:r>
      <w:r w:rsidRPr="00903425">
        <w:rPr>
          <w:b/>
          <w:bCs/>
        </w:rPr>
        <w:t>: Support that one Msg2 can contain responses to multiple Msg1 transmissions from multiple devices. FFS: timeline restrictions</w:t>
      </w:r>
      <w:r w:rsidRPr="00903425">
        <w:rPr>
          <w:b/>
          <w:bCs/>
        </w:rPr>
        <w:fldChar w:fldCharType="end"/>
      </w:r>
    </w:p>
    <w:p w14:paraId="51B2D003" w14:textId="26BA7F21" w:rsidR="00903425" w:rsidRPr="00903425" w:rsidRDefault="00903425" w:rsidP="00867C59">
      <w:pPr>
        <w:rPr>
          <w:b/>
          <w:bCs/>
        </w:rPr>
      </w:pPr>
      <w:r w:rsidRPr="00903425">
        <w:rPr>
          <w:b/>
          <w:bCs/>
        </w:rPr>
        <w:fldChar w:fldCharType="begin"/>
      </w:r>
      <w:r w:rsidRPr="00903425">
        <w:rPr>
          <w:b/>
          <w:bCs/>
        </w:rPr>
        <w:instrText xml:space="preserve"> REF _Ref194117041 \h </w:instrText>
      </w:r>
      <w:r w:rsidRPr="00903425">
        <w:rPr>
          <w:b/>
          <w:bCs/>
        </w:rPr>
      </w:r>
      <w:r>
        <w:rPr>
          <w:b/>
          <w:bCs/>
        </w:rPr>
        <w:instrText xml:space="preserve"> \* MERGEFORMAT </w:instrText>
      </w:r>
      <w:r w:rsidRPr="00903425">
        <w:rPr>
          <w:b/>
          <w:bCs/>
        </w:rPr>
        <w:fldChar w:fldCharType="separate"/>
      </w:r>
      <w:r w:rsidRPr="00903425">
        <w:rPr>
          <w:b/>
          <w:bCs/>
        </w:rPr>
        <w:t xml:space="preserve">Proposal </w:t>
      </w:r>
      <w:r w:rsidRPr="00903425">
        <w:rPr>
          <w:b/>
          <w:bCs/>
          <w:noProof/>
        </w:rPr>
        <w:t>2</w:t>
      </w:r>
      <w:r w:rsidRPr="00903425">
        <w:rPr>
          <w:b/>
          <w:bCs/>
        </w:rPr>
        <w:t>: To determine or derive the end of PRDCH transmission, support TBS information via implicit/explicit R2D control information.</w:t>
      </w:r>
      <w:r w:rsidRPr="00903425">
        <w:rPr>
          <w:b/>
          <w:bCs/>
        </w:rPr>
        <w:fldChar w:fldCharType="end"/>
      </w:r>
    </w:p>
    <w:p w14:paraId="4BADE104" w14:textId="5BABDBDE" w:rsidR="00903425" w:rsidRPr="00903425" w:rsidRDefault="00903425" w:rsidP="00867C59">
      <w:pPr>
        <w:rPr>
          <w:b/>
          <w:bCs/>
        </w:rPr>
      </w:pPr>
      <w:r w:rsidRPr="00903425">
        <w:rPr>
          <w:b/>
          <w:bCs/>
        </w:rPr>
        <w:fldChar w:fldCharType="begin"/>
      </w:r>
      <w:r w:rsidRPr="00903425">
        <w:rPr>
          <w:b/>
          <w:bCs/>
        </w:rPr>
        <w:instrText xml:space="preserve"> REF _Ref194117048 \h </w:instrText>
      </w:r>
      <w:r w:rsidRPr="00903425">
        <w:rPr>
          <w:b/>
          <w:bCs/>
        </w:rPr>
      </w:r>
      <w:r>
        <w:rPr>
          <w:b/>
          <w:bCs/>
        </w:rPr>
        <w:instrText xml:space="preserve"> \* MERGEFORMAT </w:instrText>
      </w:r>
      <w:r w:rsidRPr="00903425">
        <w:rPr>
          <w:b/>
          <w:bCs/>
        </w:rPr>
        <w:fldChar w:fldCharType="separate"/>
      </w:r>
      <w:r w:rsidRPr="00903425">
        <w:rPr>
          <w:b/>
          <w:bCs/>
        </w:rPr>
        <w:t xml:space="preserve">Proposal </w:t>
      </w:r>
      <w:r w:rsidRPr="00903425">
        <w:rPr>
          <w:b/>
          <w:bCs/>
          <w:noProof/>
        </w:rPr>
        <w:t>3</w:t>
      </w:r>
      <w:r w:rsidRPr="00903425">
        <w:rPr>
          <w:b/>
          <w:bCs/>
        </w:rPr>
        <w:t>: For D2R control information, support that devices send NACK/ACK to indicate un/successful reception of an R2D command.</w:t>
      </w:r>
      <w:r w:rsidRPr="00903425">
        <w:rPr>
          <w:b/>
          <w:bCs/>
        </w:rPr>
        <w:fldChar w:fldCharType="end"/>
      </w:r>
    </w:p>
    <w:p w14:paraId="09B34E18" w14:textId="6B1ECD68" w:rsidR="00903425" w:rsidRPr="00903425" w:rsidRDefault="00903425" w:rsidP="00867C59">
      <w:pPr>
        <w:rPr>
          <w:b/>
          <w:bCs/>
        </w:rPr>
      </w:pPr>
      <w:r w:rsidRPr="00903425">
        <w:rPr>
          <w:b/>
          <w:bCs/>
        </w:rPr>
        <w:fldChar w:fldCharType="begin"/>
      </w:r>
      <w:r w:rsidRPr="00903425">
        <w:rPr>
          <w:b/>
          <w:bCs/>
        </w:rPr>
        <w:instrText xml:space="preserve"> REF _Ref194117054 \h </w:instrText>
      </w:r>
      <w:r w:rsidRPr="00903425">
        <w:rPr>
          <w:b/>
          <w:bCs/>
        </w:rPr>
      </w:r>
      <w:r>
        <w:rPr>
          <w:b/>
          <w:bCs/>
        </w:rPr>
        <w:instrText xml:space="preserve"> \* MERGEFORMAT </w:instrText>
      </w:r>
      <w:r w:rsidRPr="00903425">
        <w:rPr>
          <w:b/>
          <w:bCs/>
        </w:rPr>
        <w:fldChar w:fldCharType="separate"/>
      </w:r>
      <w:r w:rsidRPr="00903425">
        <w:rPr>
          <w:b/>
          <w:bCs/>
        </w:rPr>
        <w:t xml:space="preserve">Proposal </w:t>
      </w:r>
      <w:r w:rsidRPr="00903425">
        <w:rPr>
          <w:b/>
          <w:bCs/>
          <w:noProof/>
        </w:rPr>
        <w:t>4</w:t>
      </w:r>
      <w:r w:rsidRPr="00903425">
        <w:rPr>
          <w:b/>
          <w:bCs/>
        </w:rPr>
        <w:t xml:space="preserve">: For </w:t>
      </w:r>
      <w:proofErr w:type="spellStart"/>
      <w:r w:rsidRPr="00903425">
        <w:rPr>
          <w:b/>
          <w:bCs/>
        </w:rPr>
        <w:t>TDM’ed</w:t>
      </w:r>
      <w:proofErr w:type="spellEnd"/>
      <w:r w:rsidRPr="00903425">
        <w:rPr>
          <w:b/>
          <w:bCs/>
        </w:rPr>
        <w:t xml:space="preserve"> D2R transmissions, support guard intervals between consecutive D2R transmissions from different devices. FFS: guard interval values</w:t>
      </w:r>
      <w:r w:rsidRPr="00903425">
        <w:rPr>
          <w:b/>
          <w:bCs/>
        </w:rPr>
        <w:fldChar w:fldCharType="end"/>
      </w:r>
    </w:p>
    <w:p w14:paraId="07C967B2" w14:textId="17BAEEFE" w:rsidR="00616B67" w:rsidRPr="00903425" w:rsidRDefault="00903425" w:rsidP="00867C59">
      <w:pPr>
        <w:rPr>
          <w:b/>
          <w:bCs/>
        </w:rPr>
      </w:pPr>
      <w:r w:rsidRPr="00903425">
        <w:rPr>
          <w:b/>
          <w:bCs/>
        </w:rPr>
        <w:fldChar w:fldCharType="begin"/>
      </w:r>
      <w:r w:rsidRPr="00903425">
        <w:rPr>
          <w:b/>
          <w:bCs/>
        </w:rPr>
        <w:instrText xml:space="preserve"> REF _Ref194117059 \h </w:instrText>
      </w:r>
      <w:r w:rsidRPr="00903425">
        <w:rPr>
          <w:b/>
          <w:bCs/>
        </w:rPr>
      </w:r>
      <w:r>
        <w:rPr>
          <w:b/>
          <w:bCs/>
        </w:rPr>
        <w:instrText xml:space="preserve"> \* MERGEFORMAT </w:instrText>
      </w:r>
      <w:r w:rsidRPr="00903425">
        <w:rPr>
          <w:b/>
          <w:bCs/>
        </w:rPr>
        <w:fldChar w:fldCharType="separate"/>
      </w:r>
      <w:r w:rsidRPr="00903425">
        <w:rPr>
          <w:b/>
          <w:bCs/>
        </w:rPr>
        <w:t xml:space="preserve">Proposal </w:t>
      </w:r>
      <w:r w:rsidRPr="00903425">
        <w:rPr>
          <w:b/>
          <w:bCs/>
          <w:noProof/>
        </w:rPr>
        <w:t>5</w:t>
      </w:r>
      <w:r w:rsidRPr="00903425">
        <w:rPr>
          <w:b/>
          <w:bCs/>
        </w:rPr>
        <w:t xml:space="preserve">: For </w:t>
      </w:r>
      <w:proofErr w:type="spellStart"/>
      <w:r w:rsidRPr="00903425">
        <w:rPr>
          <w:b/>
          <w:bCs/>
        </w:rPr>
        <w:t>FDM’ed</w:t>
      </w:r>
      <w:proofErr w:type="spellEnd"/>
      <w:r w:rsidRPr="00903425">
        <w:rPr>
          <w:b/>
          <w:bCs/>
        </w:rPr>
        <w:t xml:space="preserve"> D2R transmissions, support that devices can select frequency resources randomly or based on their calculation aiming for distinguishing from other devices.</w:t>
      </w:r>
      <w:r w:rsidRPr="00903425">
        <w:rPr>
          <w:b/>
          <w:bCs/>
        </w:rPr>
        <w:fldChar w:fldCharType="end"/>
      </w:r>
    </w:p>
    <w:p w14:paraId="66EFD5C2" w14:textId="33E97EEF" w:rsidR="00623C18" w:rsidRDefault="00623C18" w:rsidP="00623C18">
      <w:pPr>
        <w:pStyle w:val="Heading1"/>
        <w:numPr>
          <w:ilvl w:val="0"/>
          <w:numId w:val="0"/>
        </w:numPr>
        <w:ind w:left="432" w:hanging="432"/>
        <w:jc w:val="both"/>
        <w:rPr>
          <w:lang w:val="en-US" w:eastAsia="zh-CN"/>
        </w:rPr>
      </w:pPr>
      <w:r>
        <w:rPr>
          <w:rFonts w:eastAsia="SimSun"/>
          <w:lang w:val="en-US" w:eastAsia="zh-CN"/>
        </w:rPr>
        <w:t>Reference</w:t>
      </w:r>
      <w:r w:rsidR="00862C57">
        <w:rPr>
          <w:rFonts w:eastAsia="SimSun"/>
          <w:lang w:val="en-US" w:eastAsia="zh-CN"/>
        </w:rPr>
        <w:t>s</w:t>
      </w:r>
      <w:r>
        <w:rPr>
          <w:rFonts w:eastAsia="SimSun"/>
          <w:lang w:val="en-US" w:eastAsia="zh-CN"/>
        </w:rPr>
        <w:t xml:space="preserve"> </w:t>
      </w:r>
    </w:p>
    <w:p w14:paraId="5E8F92D2" w14:textId="27743E3B" w:rsidR="00623C18" w:rsidRDefault="002E48AE">
      <w:pPr>
        <w:numPr>
          <w:ilvl w:val="0"/>
          <w:numId w:val="14"/>
        </w:numPr>
        <w:overflowPunct/>
        <w:autoSpaceDE/>
        <w:spacing w:after="120"/>
        <w:textAlignment w:val="auto"/>
        <w:rPr>
          <w:lang w:eastAsia="zh-CN"/>
        </w:rPr>
      </w:pPr>
      <w:bookmarkStart w:id="8" w:name="_Ref189662423"/>
      <w:bookmarkStart w:id="9" w:name="_Ref192147570"/>
      <w:bookmarkStart w:id="10" w:name="_Ref194089898"/>
      <w:bookmarkStart w:id="11" w:name="_Ref174135906"/>
      <w:bookmarkStart w:id="12" w:name="_Ref149935817"/>
      <w:bookmarkStart w:id="13" w:name="_Ref131794943"/>
      <w:bookmarkStart w:id="14" w:name="_Ref131684639"/>
      <w:bookmarkStart w:id="15" w:name="_Ref163135714"/>
      <w:r w:rsidRPr="002E48AE">
        <w:t>RP-250796</w:t>
      </w:r>
      <w:r w:rsidR="00623C18" w:rsidRPr="002E48AE">
        <w:t>, “</w:t>
      </w:r>
      <w:r w:rsidRPr="002E48AE">
        <w:t>New Work Item: Solutions for Ambient IoT (Internet of Things) in NR</w:t>
      </w:r>
      <w:r w:rsidR="00623C18" w:rsidRPr="002E48AE">
        <w:t xml:space="preserve">,” </w:t>
      </w:r>
      <w:bookmarkEnd w:id="8"/>
      <w:r w:rsidR="00623C18" w:rsidRPr="002E48AE">
        <w:t>3GPP RAN #10</w:t>
      </w:r>
      <w:r w:rsidRPr="002E48AE">
        <w:t>7</w:t>
      </w:r>
      <w:r w:rsidR="00623C18" w:rsidRPr="002E48AE">
        <w:t xml:space="preserve"> </w:t>
      </w:r>
      <w:r w:rsidR="00165F9E" w:rsidRPr="002E48AE">
        <w:t>M</w:t>
      </w:r>
      <w:r w:rsidR="00623C18" w:rsidRPr="002E48AE">
        <w:t xml:space="preserve">eeting, </w:t>
      </w:r>
      <w:bookmarkEnd w:id="9"/>
      <w:r w:rsidRPr="002E48AE">
        <w:t>March 2025</w:t>
      </w:r>
      <w:bookmarkEnd w:id="10"/>
    </w:p>
    <w:p w14:paraId="57B5661B" w14:textId="77777777" w:rsidR="00862C57" w:rsidRDefault="00DD5855">
      <w:pPr>
        <w:numPr>
          <w:ilvl w:val="0"/>
          <w:numId w:val="14"/>
        </w:numPr>
        <w:overflowPunct/>
        <w:autoSpaceDE/>
        <w:spacing w:after="120"/>
        <w:textAlignment w:val="auto"/>
        <w:rPr>
          <w:lang w:eastAsia="zh-CN"/>
        </w:rPr>
      </w:pPr>
      <w:bookmarkStart w:id="16" w:name="_Ref194088758"/>
      <w:r w:rsidRPr="00DD5855">
        <w:rPr>
          <w:lang w:eastAsia="zh-CN"/>
        </w:rPr>
        <w:t>R1-2501625</w:t>
      </w:r>
      <w:r>
        <w:rPr>
          <w:lang w:eastAsia="zh-CN"/>
        </w:rPr>
        <w:t>, “</w:t>
      </w:r>
      <w:r w:rsidRPr="00DD5855">
        <w:rPr>
          <w:lang w:eastAsia="zh-CN"/>
        </w:rPr>
        <w:t>Final FL summary on other aspects for Rel-19 Ambient IoT</w:t>
      </w:r>
      <w:r>
        <w:rPr>
          <w:lang w:eastAsia="zh-CN"/>
        </w:rPr>
        <w:t>,” 3GPP RAN1 #120 Meeting, Feb. 2025</w:t>
      </w:r>
      <w:bookmarkEnd w:id="16"/>
    </w:p>
    <w:p w14:paraId="3089D8B3" w14:textId="59F3C949" w:rsidR="00DD5855" w:rsidRPr="002E48AE" w:rsidRDefault="00862C57">
      <w:pPr>
        <w:numPr>
          <w:ilvl w:val="0"/>
          <w:numId w:val="14"/>
        </w:numPr>
        <w:overflowPunct/>
        <w:autoSpaceDE/>
        <w:spacing w:after="120"/>
        <w:textAlignment w:val="auto"/>
        <w:rPr>
          <w:lang w:eastAsia="zh-CN"/>
        </w:rPr>
      </w:pPr>
      <w:bookmarkStart w:id="17" w:name="_Ref194089046"/>
      <w:r w:rsidRPr="00862C57">
        <w:rPr>
          <w:lang w:eastAsia="zh-CN"/>
        </w:rPr>
        <w:t>R1-2502706</w:t>
      </w:r>
      <w:r>
        <w:rPr>
          <w:lang w:eastAsia="zh-CN"/>
        </w:rPr>
        <w:t>, “</w:t>
      </w:r>
      <w:r w:rsidRPr="00862C57">
        <w:rPr>
          <w:lang w:eastAsia="zh-CN"/>
        </w:rPr>
        <w:t>A-IoT - Timing acquisition and synchronization</w:t>
      </w:r>
      <w:r>
        <w:rPr>
          <w:lang w:eastAsia="zh-CN"/>
        </w:rPr>
        <w:t>,” 3GPP RAN1 #120bis Meeting, Feb. 2025</w:t>
      </w:r>
      <w:bookmarkEnd w:id="17"/>
    </w:p>
    <w:bookmarkEnd w:id="11"/>
    <w:bookmarkEnd w:id="12"/>
    <w:bookmarkEnd w:id="13"/>
    <w:bookmarkEnd w:id="14"/>
    <w:bookmarkEnd w:id="15"/>
    <w:p w14:paraId="3775F985" w14:textId="77777777" w:rsidR="00623C18" w:rsidRPr="00034FE1" w:rsidRDefault="00623C18" w:rsidP="00867C59"/>
    <w:sectPr w:rsidR="00623C18" w:rsidRPr="00034FE1"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2C446" w14:textId="77777777" w:rsidR="00402E08" w:rsidRDefault="00402E08">
      <w:r>
        <w:separator/>
      </w:r>
    </w:p>
  </w:endnote>
  <w:endnote w:type="continuationSeparator" w:id="0">
    <w:p w14:paraId="05C5BC7E" w14:textId="77777777" w:rsidR="00402E08" w:rsidRDefault="0040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C745" w14:textId="77777777" w:rsidR="00402E08" w:rsidRDefault="00402E08">
      <w:r>
        <w:separator/>
      </w:r>
    </w:p>
  </w:footnote>
  <w:footnote w:type="continuationSeparator" w:id="0">
    <w:p w14:paraId="3AD1F0FB" w14:textId="77777777" w:rsidR="00402E08" w:rsidRDefault="00402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60773D"/>
    <w:multiLevelType w:val="multilevel"/>
    <w:tmpl w:val="2260773D"/>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993586"/>
    <w:multiLevelType w:val="multilevel"/>
    <w:tmpl w:val="06FC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3"/>
  </w:num>
  <w:num w:numId="2" w16cid:durableId="1637754017">
    <w:abstractNumId w:val="2"/>
  </w:num>
  <w:num w:numId="3" w16cid:durableId="1589804495">
    <w:abstractNumId w:val="14"/>
  </w:num>
  <w:num w:numId="4" w16cid:durableId="552733674">
    <w:abstractNumId w:val="15"/>
  </w:num>
  <w:num w:numId="5" w16cid:durableId="1677728921">
    <w:abstractNumId w:val="0"/>
  </w:num>
  <w:num w:numId="6" w16cid:durableId="1137146001">
    <w:abstractNumId w:val="10"/>
  </w:num>
  <w:num w:numId="7" w16cid:durableId="1799103365">
    <w:abstractNumId w:val="11"/>
  </w:num>
  <w:num w:numId="8" w16cid:durableId="944925966">
    <w:abstractNumId w:val="1"/>
  </w:num>
  <w:num w:numId="9" w16cid:durableId="1573929314">
    <w:abstractNumId w:val="5"/>
  </w:num>
  <w:num w:numId="10" w16cid:durableId="1085147673">
    <w:abstractNumId w:val="9"/>
  </w:num>
  <w:num w:numId="11" w16cid:durableId="287592762">
    <w:abstractNumId w:val="7"/>
  </w:num>
  <w:num w:numId="12" w16cid:durableId="611472356">
    <w:abstractNumId w:val="13"/>
  </w:num>
  <w:num w:numId="13" w16cid:durableId="789014941">
    <w:abstractNumId w:val="4"/>
  </w:num>
  <w:num w:numId="14" w16cid:durableId="2062171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6627181">
    <w:abstractNumId w:val="8"/>
  </w:num>
  <w:num w:numId="16" w16cid:durableId="171103324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BF"/>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99D"/>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4BD"/>
    <w:rsid w:val="000335E0"/>
    <w:rsid w:val="00033639"/>
    <w:rsid w:val="00033ABF"/>
    <w:rsid w:val="00033D87"/>
    <w:rsid w:val="00033E0F"/>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E3A"/>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920"/>
    <w:rsid w:val="0008494A"/>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AE7"/>
    <w:rsid w:val="00104C41"/>
    <w:rsid w:val="00104CD8"/>
    <w:rsid w:val="00104CE9"/>
    <w:rsid w:val="00104D7D"/>
    <w:rsid w:val="00104EBC"/>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427"/>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45"/>
    <w:rsid w:val="0012785D"/>
    <w:rsid w:val="00127E80"/>
    <w:rsid w:val="0013006A"/>
    <w:rsid w:val="0013009B"/>
    <w:rsid w:val="0013068C"/>
    <w:rsid w:val="001308C3"/>
    <w:rsid w:val="0013091C"/>
    <w:rsid w:val="00130972"/>
    <w:rsid w:val="00130AD1"/>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5DD2"/>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93A"/>
    <w:rsid w:val="00150A58"/>
    <w:rsid w:val="00150BA1"/>
    <w:rsid w:val="00150DBA"/>
    <w:rsid w:val="00150E47"/>
    <w:rsid w:val="00150E94"/>
    <w:rsid w:val="00150EAD"/>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2184"/>
    <w:rsid w:val="00192228"/>
    <w:rsid w:val="0019227A"/>
    <w:rsid w:val="00192334"/>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8B"/>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1B"/>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26"/>
    <w:rsid w:val="001D4E82"/>
    <w:rsid w:val="001D4F87"/>
    <w:rsid w:val="001D4FA8"/>
    <w:rsid w:val="001D504E"/>
    <w:rsid w:val="001D5394"/>
    <w:rsid w:val="001D54F0"/>
    <w:rsid w:val="001D551D"/>
    <w:rsid w:val="001D577C"/>
    <w:rsid w:val="001D581A"/>
    <w:rsid w:val="001D5854"/>
    <w:rsid w:val="001D5A7E"/>
    <w:rsid w:val="001D5FC3"/>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0E"/>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1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0B0"/>
    <w:rsid w:val="00263163"/>
    <w:rsid w:val="0026318A"/>
    <w:rsid w:val="002631E7"/>
    <w:rsid w:val="0026321A"/>
    <w:rsid w:val="002634A8"/>
    <w:rsid w:val="0026374E"/>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5F9"/>
    <w:rsid w:val="002717B6"/>
    <w:rsid w:val="002723F2"/>
    <w:rsid w:val="0027262A"/>
    <w:rsid w:val="0027268B"/>
    <w:rsid w:val="00272719"/>
    <w:rsid w:val="00272A73"/>
    <w:rsid w:val="00272C49"/>
    <w:rsid w:val="00272DAD"/>
    <w:rsid w:val="00272E24"/>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9C"/>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98C"/>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8AE"/>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217"/>
    <w:rsid w:val="002F2261"/>
    <w:rsid w:val="002F272C"/>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C0C"/>
    <w:rsid w:val="00341D33"/>
    <w:rsid w:val="00341F1B"/>
    <w:rsid w:val="00341F70"/>
    <w:rsid w:val="00341F81"/>
    <w:rsid w:val="00341FA8"/>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8E"/>
    <w:rsid w:val="003811C1"/>
    <w:rsid w:val="0038143D"/>
    <w:rsid w:val="0038145F"/>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E08"/>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121"/>
    <w:rsid w:val="0041129A"/>
    <w:rsid w:val="00411ADF"/>
    <w:rsid w:val="00412030"/>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1C"/>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37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B9F"/>
    <w:rsid w:val="004D0C80"/>
    <w:rsid w:val="004D0EC3"/>
    <w:rsid w:val="004D0ED5"/>
    <w:rsid w:val="004D10A1"/>
    <w:rsid w:val="004D1493"/>
    <w:rsid w:val="004D14D6"/>
    <w:rsid w:val="004D1BEB"/>
    <w:rsid w:val="004D1C48"/>
    <w:rsid w:val="004D1C73"/>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807"/>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003"/>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AD"/>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70186"/>
    <w:rsid w:val="00570245"/>
    <w:rsid w:val="00570407"/>
    <w:rsid w:val="00570527"/>
    <w:rsid w:val="0057052B"/>
    <w:rsid w:val="00570646"/>
    <w:rsid w:val="00570736"/>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588"/>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B7FF7"/>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79"/>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FB"/>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B67"/>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49"/>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EBA"/>
    <w:rsid w:val="00676FDF"/>
    <w:rsid w:val="006770AA"/>
    <w:rsid w:val="00677212"/>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9BD"/>
    <w:rsid w:val="006C5C4A"/>
    <w:rsid w:val="006C5FA0"/>
    <w:rsid w:val="006C61CC"/>
    <w:rsid w:val="006C61FE"/>
    <w:rsid w:val="006C6208"/>
    <w:rsid w:val="006C62D0"/>
    <w:rsid w:val="006C63E2"/>
    <w:rsid w:val="006C6543"/>
    <w:rsid w:val="006C6657"/>
    <w:rsid w:val="006C6A55"/>
    <w:rsid w:val="006C6B65"/>
    <w:rsid w:val="006C6CE3"/>
    <w:rsid w:val="006C6E16"/>
    <w:rsid w:val="006C6E42"/>
    <w:rsid w:val="006C6FA9"/>
    <w:rsid w:val="006C7124"/>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F55"/>
    <w:rsid w:val="006D5FDC"/>
    <w:rsid w:val="006D610E"/>
    <w:rsid w:val="006D6149"/>
    <w:rsid w:val="006D62DA"/>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D9B"/>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6FD"/>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5000C"/>
    <w:rsid w:val="0075004D"/>
    <w:rsid w:val="007502CA"/>
    <w:rsid w:val="007503B9"/>
    <w:rsid w:val="007505AA"/>
    <w:rsid w:val="007506A6"/>
    <w:rsid w:val="007506E8"/>
    <w:rsid w:val="0075072D"/>
    <w:rsid w:val="007509BD"/>
    <w:rsid w:val="00750C73"/>
    <w:rsid w:val="00750D82"/>
    <w:rsid w:val="00750EDE"/>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3D58"/>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6C"/>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97F5A"/>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AEB"/>
    <w:rsid w:val="007A2D24"/>
    <w:rsid w:val="007A2DBA"/>
    <w:rsid w:val="007A2E36"/>
    <w:rsid w:val="007A2F3A"/>
    <w:rsid w:val="007A3317"/>
    <w:rsid w:val="007A3420"/>
    <w:rsid w:val="007A354E"/>
    <w:rsid w:val="007A35D5"/>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5E2"/>
    <w:rsid w:val="007A5A12"/>
    <w:rsid w:val="007A5A68"/>
    <w:rsid w:val="007A5B2B"/>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94"/>
    <w:rsid w:val="007B2EA7"/>
    <w:rsid w:val="007B2F71"/>
    <w:rsid w:val="007B3022"/>
    <w:rsid w:val="007B30C6"/>
    <w:rsid w:val="007B3116"/>
    <w:rsid w:val="007B32F9"/>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720"/>
    <w:rsid w:val="007B6722"/>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55D"/>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ACC"/>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57F"/>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4566"/>
    <w:rsid w:val="00845262"/>
    <w:rsid w:val="00845333"/>
    <w:rsid w:val="008458CE"/>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57"/>
    <w:rsid w:val="00862CCE"/>
    <w:rsid w:val="00863025"/>
    <w:rsid w:val="00863076"/>
    <w:rsid w:val="008630EB"/>
    <w:rsid w:val="008634B8"/>
    <w:rsid w:val="0086356A"/>
    <w:rsid w:val="0086373B"/>
    <w:rsid w:val="008638D8"/>
    <w:rsid w:val="00863A13"/>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527"/>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97F5E"/>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77"/>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3B8"/>
    <w:rsid w:val="008E1655"/>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018"/>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55"/>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25"/>
    <w:rsid w:val="009034D7"/>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17D9F"/>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C56"/>
    <w:rsid w:val="0092506E"/>
    <w:rsid w:val="0092516E"/>
    <w:rsid w:val="00925301"/>
    <w:rsid w:val="00925900"/>
    <w:rsid w:val="009259ED"/>
    <w:rsid w:val="00925A50"/>
    <w:rsid w:val="00925C2B"/>
    <w:rsid w:val="00925F9B"/>
    <w:rsid w:val="00925FE7"/>
    <w:rsid w:val="00926114"/>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A48"/>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1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5A9"/>
    <w:rsid w:val="009F7812"/>
    <w:rsid w:val="009F7AD6"/>
    <w:rsid w:val="009F7C05"/>
    <w:rsid w:val="009F7CDC"/>
    <w:rsid w:val="009F7F28"/>
    <w:rsid w:val="009F7F91"/>
    <w:rsid w:val="00A00535"/>
    <w:rsid w:val="00A0057C"/>
    <w:rsid w:val="00A0059D"/>
    <w:rsid w:val="00A007DD"/>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AD1"/>
    <w:rsid w:val="00A32F82"/>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996"/>
    <w:rsid w:val="00A45BA7"/>
    <w:rsid w:val="00A45E83"/>
    <w:rsid w:val="00A45EBE"/>
    <w:rsid w:val="00A4609C"/>
    <w:rsid w:val="00A463AA"/>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87FC3"/>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6C37"/>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281"/>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53"/>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289"/>
    <w:rsid w:val="00AF4318"/>
    <w:rsid w:val="00AF4334"/>
    <w:rsid w:val="00AF45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2C4"/>
    <w:rsid w:val="00B013FC"/>
    <w:rsid w:val="00B01440"/>
    <w:rsid w:val="00B014F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699"/>
    <w:rsid w:val="00B62A08"/>
    <w:rsid w:val="00B62C4F"/>
    <w:rsid w:val="00B62E2C"/>
    <w:rsid w:val="00B632D4"/>
    <w:rsid w:val="00B633D2"/>
    <w:rsid w:val="00B6345A"/>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FB"/>
    <w:rsid w:val="00B94DE3"/>
    <w:rsid w:val="00B94EE4"/>
    <w:rsid w:val="00B95054"/>
    <w:rsid w:val="00B95102"/>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0E"/>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3DAB"/>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2D2"/>
    <w:rsid w:val="00C0396A"/>
    <w:rsid w:val="00C03CD6"/>
    <w:rsid w:val="00C03F0F"/>
    <w:rsid w:val="00C0405C"/>
    <w:rsid w:val="00C04120"/>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590"/>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5F1"/>
    <w:rsid w:val="00C65853"/>
    <w:rsid w:val="00C65955"/>
    <w:rsid w:val="00C659B0"/>
    <w:rsid w:val="00C659BE"/>
    <w:rsid w:val="00C65E9D"/>
    <w:rsid w:val="00C6601E"/>
    <w:rsid w:val="00C66091"/>
    <w:rsid w:val="00C667B6"/>
    <w:rsid w:val="00C66997"/>
    <w:rsid w:val="00C66A4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6F"/>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2AC"/>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1"/>
    <w:rsid w:val="00CF2F19"/>
    <w:rsid w:val="00CF3137"/>
    <w:rsid w:val="00CF3220"/>
    <w:rsid w:val="00CF3472"/>
    <w:rsid w:val="00CF3606"/>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BB3"/>
    <w:rsid w:val="00D46C15"/>
    <w:rsid w:val="00D46D67"/>
    <w:rsid w:val="00D46F90"/>
    <w:rsid w:val="00D46FC8"/>
    <w:rsid w:val="00D4712B"/>
    <w:rsid w:val="00D47142"/>
    <w:rsid w:val="00D47829"/>
    <w:rsid w:val="00D47938"/>
    <w:rsid w:val="00D47AF9"/>
    <w:rsid w:val="00D47B5E"/>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44A"/>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571"/>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6F43"/>
    <w:rsid w:val="00D970FF"/>
    <w:rsid w:val="00D97429"/>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4F3"/>
    <w:rsid w:val="00DB5501"/>
    <w:rsid w:val="00DB5843"/>
    <w:rsid w:val="00DB586B"/>
    <w:rsid w:val="00DB5872"/>
    <w:rsid w:val="00DB592A"/>
    <w:rsid w:val="00DB596D"/>
    <w:rsid w:val="00DB5997"/>
    <w:rsid w:val="00DB5BC4"/>
    <w:rsid w:val="00DB5CF5"/>
    <w:rsid w:val="00DB5D5A"/>
    <w:rsid w:val="00DB5EA4"/>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36E"/>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855"/>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B86"/>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0D8"/>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79D"/>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752"/>
    <w:rsid w:val="00E15813"/>
    <w:rsid w:val="00E1589C"/>
    <w:rsid w:val="00E15952"/>
    <w:rsid w:val="00E1598C"/>
    <w:rsid w:val="00E159B2"/>
    <w:rsid w:val="00E15ABF"/>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46D"/>
    <w:rsid w:val="00E33533"/>
    <w:rsid w:val="00E33C58"/>
    <w:rsid w:val="00E33D3B"/>
    <w:rsid w:val="00E33EE7"/>
    <w:rsid w:val="00E33F00"/>
    <w:rsid w:val="00E3409B"/>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BBC"/>
    <w:rsid w:val="00E36F0D"/>
    <w:rsid w:val="00E36F12"/>
    <w:rsid w:val="00E37084"/>
    <w:rsid w:val="00E37099"/>
    <w:rsid w:val="00E37113"/>
    <w:rsid w:val="00E37269"/>
    <w:rsid w:val="00E3738C"/>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DC1"/>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57FB8"/>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82"/>
    <w:rsid w:val="00EB75D8"/>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D7C0A"/>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0F58"/>
    <w:rsid w:val="00F01080"/>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7A"/>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0F9"/>
    <w:rsid w:val="00F3270D"/>
    <w:rsid w:val="00F3275D"/>
    <w:rsid w:val="00F327C5"/>
    <w:rsid w:val="00F329A6"/>
    <w:rsid w:val="00F32A4B"/>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974"/>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3A7"/>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DB7"/>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834"/>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5CE"/>
    <w:rsid w:val="00FF3679"/>
    <w:rsid w:val="00FF36B4"/>
    <w:rsid w:val="00FF3A7C"/>
    <w:rsid w:val="00FF3B89"/>
    <w:rsid w:val="00FF3C45"/>
    <w:rsid w:val="00FF3DAD"/>
    <w:rsid w:val="00FF3F40"/>
    <w:rsid w:val="00FF4182"/>
    <w:rsid w:val="00FF4267"/>
    <w:rsid w:val="00FF42BC"/>
    <w:rsid w:val="00FF44F0"/>
    <w:rsid w:val="00FF4515"/>
    <w:rsid w:val="00FF52D9"/>
    <w:rsid w:val="00FF53D7"/>
    <w:rsid w:val="00FF54F1"/>
    <w:rsid w:val="00FF5516"/>
    <w:rsid w:val="00FF564B"/>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0101496">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32829841">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86099634">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40215780">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859829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53813792">
      <w:bodyDiv w:val="1"/>
      <w:marLeft w:val="0"/>
      <w:marRight w:val="0"/>
      <w:marTop w:val="0"/>
      <w:marBottom w:val="0"/>
      <w:divBdr>
        <w:top w:val="none" w:sz="0" w:space="0" w:color="auto"/>
        <w:left w:val="none" w:sz="0" w:space="0" w:color="auto"/>
        <w:bottom w:val="none" w:sz="0" w:space="0" w:color="auto"/>
        <w:right w:val="none" w:sz="0" w:space="0" w:color="auto"/>
      </w:divBdr>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322</TotalTime>
  <Pages>3</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143</cp:revision>
  <cp:lastPrinted>2017-10-02T09:51:00Z</cp:lastPrinted>
  <dcterms:created xsi:type="dcterms:W3CDTF">2025-03-28T03:04:00Z</dcterms:created>
  <dcterms:modified xsi:type="dcterms:W3CDTF">2025-03-28T21:04:00Z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