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D83" w:rsidRPr="00BA6D83" w:rsidRDefault="009E6572" w:rsidP="00BA6D83">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3B369A2A" wp14:editId="38C51DE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6094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80D1D">
        <w:rPr>
          <w:b/>
          <w:kern w:val="2"/>
          <w:lang w:eastAsia="zh-CN"/>
        </w:rPr>
        <w:t>3GPP TSG RAN WG1 Meeting #120</w:t>
      </w:r>
      <w:r w:rsidR="00746726">
        <w:rPr>
          <w:b/>
          <w:kern w:val="2"/>
          <w:lang w:eastAsia="zh-CN"/>
        </w:rPr>
        <w:t>bis</w:t>
      </w:r>
      <w:r>
        <w:rPr>
          <w:b/>
          <w:kern w:val="2"/>
          <w:lang w:eastAsia="zh-CN"/>
        </w:rPr>
        <w:tab/>
        <w:t xml:space="preserve">                                                                      </w:t>
      </w:r>
      <w:r w:rsidR="00525CF8" w:rsidRPr="00525CF8">
        <w:rPr>
          <w:b/>
          <w:kern w:val="2"/>
          <w:lang w:eastAsia="zh-CN"/>
        </w:rPr>
        <w:t>R1-2501843</w:t>
      </w:r>
    </w:p>
    <w:p w:rsidR="009E6572" w:rsidRDefault="00746726" w:rsidP="0060415F">
      <w:pPr>
        <w:autoSpaceDE/>
        <w:autoSpaceDN/>
        <w:adjustRightInd/>
        <w:snapToGrid/>
        <w:spacing w:after="0"/>
        <w:jc w:val="left"/>
        <w:rPr>
          <w:b/>
          <w:kern w:val="2"/>
          <w:lang w:eastAsia="zh-CN"/>
        </w:rPr>
      </w:pPr>
      <w:r>
        <w:rPr>
          <w:b/>
          <w:kern w:val="2"/>
          <w:lang w:eastAsia="zh-CN"/>
        </w:rPr>
        <w:t>Wuhan, China</w:t>
      </w:r>
      <w:r w:rsidR="009E6572" w:rsidRPr="00FA5628">
        <w:rPr>
          <w:b/>
          <w:kern w:val="2"/>
          <w:lang w:eastAsia="zh-CN"/>
        </w:rPr>
        <w:t xml:space="preserve">, </w:t>
      </w:r>
      <w:r>
        <w:rPr>
          <w:b/>
          <w:kern w:val="2"/>
          <w:lang w:eastAsia="zh-CN"/>
        </w:rPr>
        <w:t>April 7</w:t>
      </w:r>
      <w:r w:rsidRPr="00746726">
        <w:rPr>
          <w:b/>
          <w:kern w:val="2"/>
          <w:vertAlign w:val="superscript"/>
          <w:lang w:eastAsia="zh-CN"/>
        </w:rPr>
        <w:t>th</w:t>
      </w:r>
      <w:r w:rsidR="00C441D7">
        <w:rPr>
          <w:b/>
          <w:kern w:val="2"/>
          <w:vertAlign w:val="superscript"/>
          <w:lang w:eastAsia="zh-CN"/>
        </w:rPr>
        <w:t xml:space="preserve"> </w:t>
      </w:r>
      <w:r>
        <w:rPr>
          <w:b/>
          <w:kern w:val="2"/>
          <w:lang w:eastAsia="zh-CN"/>
        </w:rPr>
        <w:t>–April 11</w:t>
      </w:r>
      <w:r w:rsidRPr="00746726">
        <w:rPr>
          <w:b/>
          <w:kern w:val="2"/>
          <w:vertAlign w:val="superscript"/>
          <w:lang w:eastAsia="zh-CN"/>
        </w:rPr>
        <w:t>th</w:t>
      </w:r>
      <w:r>
        <w:rPr>
          <w:b/>
          <w:kern w:val="2"/>
          <w:lang w:eastAsia="zh-CN"/>
        </w:rPr>
        <w:t xml:space="preserve"> </w:t>
      </w:r>
      <w:r w:rsidR="00D37CFE">
        <w:rPr>
          <w:b/>
          <w:kern w:val="2"/>
          <w:lang w:eastAsia="zh-CN"/>
        </w:rPr>
        <w:t>2025</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Pr="003E1ED8" w:rsidRDefault="00F3458E">
      <w:pPr>
        <w:pStyle w:val="Heading1"/>
      </w:pPr>
      <w:bookmarkStart w:id="0" w:name="_Ref129681862"/>
      <w:bookmarkStart w:id="1" w:name="_Ref124589705"/>
      <w:r w:rsidRPr="003E1ED8">
        <w:t>Introduction</w:t>
      </w:r>
      <w:bookmarkEnd w:id="0"/>
      <w:bookmarkEnd w:id="1"/>
    </w:p>
    <w:p w:rsidR="00727F9F" w:rsidRPr="00187202" w:rsidRDefault="00A071F0" w:rsidP="00253CDC">
      <w:pPr>
        <w:rPr>
          <w:bCs/>
          <w:szCs w:val="28"/>
        </w:rPr>
      </w:pPr>
      <w:r>
        <w:rPr>
          <w:bCs/>
          <w:szCs w:val="28"/>
        </w:rPr>
        <w:t xml:space="preserve">In </w:t>
      </w:r>
      <w:r w:rsidR="008F3823">
        <w:rPr>
          <w:bCs/>
          <w:szCs w:val="28"/>
        </w:rPr>
        <w:t xml:space="preserve">3GPP RAN1#120 </w:t>
      </w:r>
      <w:r w:rsidR="00FD074F" w:rsidRPr="00FD074F">
        <w:rPr>
          <w:bCs/>
          <w:szCs w:val="28"/>
        </w:rPr>
        <w:t>meeting</w:t>
      </w:r>
      <w:r w:rsidR="008F3823">
        <w:rPr>
          <w:bCs/>
          <w:szCs w:val="28"/>
        </w:rPr>
        <w:t xml:space="preserve"> [3</w:t>
      </w:r>
      <w:r w:rsidR="00B417D7">
        <w:rPr>
          <w:bCs/>
          <w:szCs w:val="28"/>
        </w:rPr>
        <w:t>]</w:t>
      </w:r>
      <w:r w:rsidR="00FD074F" w:rsidRPr="00FD074F">
        <w:rPr>
          <w:bCs/>
          <w:szCs w:val="28"/>
        </w:rPr>
        <w:t>, several issues</w:t>
      </w:r>
      <w:r w:rsidR="00180CB7">
        <w:rPr>
          <w:bCs/>
          <w:szCs w:val="28"/>
        </w:rPr>
        <w:t xml:space="preserve"> related to</w:t>
      </w:r>
      <w:r w:rsidR="00FD074F" w:rsidRPr="00FD074F">
        <w:rPr>
          <w:bCs/>
          <w:szCs w:val="28"/>
        </w:rPr>
        <w:t xml:space="preserve"> </w:t>
      </w:r>
      <w:r w:rsidR="00180CB7">
        <w:rPr>
          <w:bCs/>
          <w:szCs w:val="28"/>
        </w:rPr>
        <w:t>the time and frequency resourc</w:t>
      </w:r>
      <w:r w:rsidR="00B71779">
        <w:rPr>
          <w:bCs/>
          <w:szCs w:val="28"/>
        </w:rPr>
        <w:t>es indication of SBFD subbands</w:t>
      </w:r>
      <w:r w:rsidR="00180CB7">
        <w:rPr>
          <w:bCs/>
          <w:szCs w:val="28"/>
        </w:rPr>
        <w:t xml:space="preserve">, separate FH </w:t>
      </w:r>
      <w:r>
        <w:rPr>
          <w:bCs/>
          <w:szCs w:val="28"/>
        </w:rPr>
        <w:t xml:space="preserve">for </w:t>
      </w:r>
      <w:r w:rsidR="00180CB7">
        <w:rPr>
          <w:bCs/>
          <w:szCs w:val="28"/>
        </w:rPr>
        <w:t xml:space="preserve">UL transmission, </w:t>
      </w:r>
      <w:r>
        <w:rPr>
          <w:bCs/>
          <w:szCs w:val="28"/>
        </w:rPr>
        <w:t xml:space="preserve">and </w:t>
      </w:r>
      <w:r w:rsidR="00180CB7">
        <w:rPr>
          <w:bCs/>
          <w:szCs w:val="28"/>
        </w:rPr>
        <w:t xml:space="preserve">separate UL power control for SRS, PUCCH and PUSCH were agreed. In </w:t>
      </w:r>
      <w:r w:rsidR="00FD074F" w:rsidRPr="00FD074F">
        <w:rPr>
          <w:bCs/>
          <w:szCs w:val="28"/>
        </w:rPr>
        <w:t xml:space="preserve">this contribution, we provide our views on the remaining issues </w:t>
      </w:r>
      <w:r w:rsidR="00AC49D9">
        <w:rPr>
          <w:bCs/>
          <w:szCs w:val="28"/>
        </w:rPr>
        <w:t xml:space="preserve">of </w:t>
      </w:r>
      <w:r w:rsidR="00FD074F" w:rsidRPr="00FD074F">
        <w:rPr>
          <w:bCs/>
          <w:szCs w:val="28"/>
        </w:rPr>
        <w:t>SBFD operation.</w:t>
      </w:r>
    </w:p>
    <w:p w:rsidR="001F6901" w:rsidRDefault="001F6901" w:rsidP="001F6901">
      <w:pPr>
        <w:pStyle w:val="Heading1"/>
        <w:rPr>
          <w:lang w:eastAsia="zh-CN"/>
        </w:rPr>
      </w:pPr>
      <w:r>
        <w:rPr>
          <w:lang w:eastAsia="zh-CN"/>
        </w:rPr>
        <w:t xml:space="preserve">SBFD subband Indication </w:t>
      </w:r>
    </w:p>
    <w:p w:rsidR="001F6901" w:rsidRDefault="00070F67" w:rsidP="001F6901">
      <w:pPr>
        <w:pStyle w:val="Heading2"/>
        <w:tabs>
          <w:tab w:val="clear" w:pos="666"/>
        </w:tabs>
      </w:pPr>
      <w:r>
        <w:t>UE specific time/frequency configuration of SBFD subbands</w:t>
      </w:r>
    </w:p>
    <w:p w:rsidR="00070F67" w:rsidRDefault="001B0EDA" w:rsidP="00070F67">
      <w:r w:rsidRPr="001B0EDA">
        <w:t>During the RAN1#120 meeting, an issue regarding the UE-specific frequency location of subbands, which had previously been discussed in the RAN1#116 meeting, was reconsidered.</w:t>
      </w:r>
    </w:p>
    <w:tbl>
      <w:tblPr>
        <w:tblStyle w:val="TableGrid"/>
        <w:tblW w:w="0" w:type="auto"/>
        <w:tblLook w:val="04A0" w:firstRow="1" w:lastRow="0" w:firstColumn="1" w:lastColumn="0" w:noHBand="0" w:noVBand="1"/>
      </w:tblPr>
      <w:tblGrid>
        <w:gridCol w:w="9307"/>
      </w:tblGrid>
      <w:tr w:rsidR="00070F67" w:rsidTr="00070F67">
        <w:tc>
          <w:tcPr>
            <w:tcW w:w="9307" w:type="dxa"/>
          </w:tcPr>
          <w:p w:rsidR="00070F67" w:rsidRDefault="00070F67" w:rsidP="00070F67">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hint="eastAsia"/>
                <w:b/>
                <w:highlight w:val="green"/>
                <w:lang w:val="en-GB" w:eastAsia="zh-CN"/>
              </w:rPr>
              <w:t xml:space="preserve"> </w:t>
            </w:r>
          </w:p>
          <w:p w:rsidR="00070F67" w:rsidRDefault="00070F67" w:rsidP="00070F67">
            <w:pPr>
              <w:tabs>
                <w:tab w:val="left" w:pos="0"/>
              </w:tabs>
              <w:spacing w:after="0"/>
              <w:rPr>
                <w:rFonts w:eastAsia="Malgun Gothic"/>
                <w:lang w:val="en-GB" w:eastAsia="zh-CN"/>
              </w:rPr>
            </w:pPr>
            <w:r>
              <w:rPr>
                <w:rFonts w:eastAsia="Malgun Gothic"/>
                <w:lang w:val="en-GB" w:eastAsia="zh-CN"/>
              </w:rPr>
              <w:t xml:space="preserve">For RRC connected mode UEs, at least cell-specific configuration on time </w:t>
            </w:r>
            <w:r>
              <w:rPr>
                <w:rFonts w:eastAsia="Malgun Gothic"/>
                <w:highlight w:val="darkYellow"/>
                <w:lang w:val="en-GB" w:eastAsia="zh-CN"/>
              </w:rPr>
              <w:t xml:space="preserve">and frequency(working assumption) </w:t>
            </w:r>
            <w:r>
              <w:rPr>
                <w:rFonts w:eastAsia="Malgun Gothic"/>
                <w:lang w:val="en-GB" w:eastAsia="zh-CN"/>
              </w:rPr>
              <w:t>location of SBFD subbands is supported within a TDD carrier.</w:t>
            </w:r>
          </w:p>
          <w:p w:rsidR="00070F67" w:rsidRDefault="00070F67" w:rsidP="00070F67">
            <w:pPr>
              <w:numPr>
                <w:ilvl w:val="0"/>
                <w:numId w:val="17"/>
              </w:numPr>
              <w:autoSpaceDE/>
              <w:autoSpaceDN/>
              <w:adjustRightInd/>
              <w:snapToGrid/>
              <w:spacing w:after="0"/>
              <w:rPr>
                <w:rFonts w:eastAsia="Malgun Gothic"/>
                <w:lang w:val="en-GB" w:eastAsia="zh-CN"/>
              </w:rPr>
            </w:pPr>
            <w:r>
              <w:rPr>
                <w:rFonts w:eastAsia="Malgun Gothic"/>
                <w:lang w:val="en-GB" w:eastAsia="zh-CN"/>
              </w:rPr>
              <w:t>FFS: Additional support of UE-specific configuration on time and/or frequency locations of SBFD subbands</w:t>
            </w:r>
          </w:p>
          <w:p w:rsidR="00070F67" w:rsidRPr="00070F67" w:rsidRDefault="00070F67" w:rsidP="00070F67">
            <w:pPr>
              <w:rPr>
                <w:lang w:val="en-GB"/>
              </w:rPr>
            </w:pPr>
          </w:p>
        </w:tc>
      </w:tr>
    </w:tbl>
    <w:p w:rsidR="00B71779" w:rsidRDefault="00B71779" w:rsidP="00070F67"/>
    <w:p w:rsidR="00070F67" w:rsidRDefault="00B71779" w:rsidP="00070F67">
      <w:r>
        <w:t>T</w:t>
      </w:r>
      <w:r w:rsidR="00070F67" w:rsidRPr="00070F67">
        <w:t>he</w:t>
      </w:r>
      <w:r>
        <w:t xml:space="preserve"> configuration of</w:t>
      </w:r>
      <w:r w:rsidR="00070F67" w:rsidRPr="00070F67">
        <w:t xml:space="preserve"> time and frequency locations of SBFD subbands on a per-UE basis would unnecessarily increase signaling overhead. If the frequency location of an SBFD subband is specified for UEs, it would require at least two </w:t>
      </w:r>
      <w:r w:rsidR="00BE3830">
        <w:t xml:space="preserve">separate configurations to </w:t>
      </w:r>
      <w:r>
        <w:t>determine</w:t>
      </w:r>
      <w:r w:rsidR="00070F67" w:rsidRPr="00070F67">
        <w:t xml:space="preserve"> the frequency location of the subband to the UEs. Similarly, specifying the time location of subbands on a per-UE basis would also contribute to </w:t>
      </w:r>
      <w:r w:rsidR="00BE3830" w:rsidRPr="00070F67">
        <w:t>increase</w:t>
      </w:r>
      <w:r w:rsidR="00070F67" w:rsidRPr="00070F67">
        <w:t xml:space="preserve"> signaling overhead. Therefore, we believe that supporting UE-specific configurations for the time and frequency locations of subbands is not a practical approach.</w:t>
      </w:r>
    </w:p>
    <w:p w:rsidR="00DB163C" w:rsidRPr="00DB163C" w:rsidRDefault="00DB163C" w:rsidP="00070F67">
      <w:pPr>
        <w:rPr>
          <w:b/>
          <w:i/>
        </w:rPr>
      </w:pPr>
      <w:r w:rsidRPr="00DB163C">
        <w:rPr>
          <w:b/>
          <w:i/>
        </w:rPr>
        <w:t>Observation</w:t>
      </w:r>
      <w:r w:rsidR="003E1ED8">
        <w:rPr>
          <w:b/>
          <w:i/>
        </w:rPr>
        <w:t xml:space="preserve"> 1</w:t>
      </w:r>
      <w:r w:rsidRPr="00DB163C">
        <w:rPr>
          <w:b/>
          <w:i/>
        </w:rPr>
        <w:t>: UE-specific configurations for the time and freque</w:t>
      </w:r>
      <w:r w:rsidR="00B71779">
        <w:rPr>
          <w:b/>
          <w:i/>
        </w:rPr>
        <w:t xml:space="preserve">ncy locations of SBFD subbands </w:t>
      </w:r>
      <w:r w:rsidRPr="00DB163C">
        <w:rPr>
          <w:b/>
          <w:i/>
        </w:rPr>
        <w:t xml:space="preserve">would unnecessarily increase signaling overhead. </w:t>
      </w:r>
    </w:p>
    <w:p w:rsidR="00070F67" w:rsidRPr="00DB163C" w:rsidRDefault="00DB163C" w:rsidP="00070F67">
      <w:pPr>
        <w:rPr>
          <w:b/>
        </w:rPr>
      </w:pPr>
      <w:r w:rsidRPr="00DB163C">
        <w:rPr>
          <w:b/>
          <w:bCs/>
        </w:rPr>
        <w:t>Proposal</w:t>
      </w:r>
      <w:r w:rsidR="003E1ED8">
        <w:rPr>
          <w:b/>
          <w:bCs/>
        </w:rPr>
        <w:t xml:space="preserve"> 1</w:t>
      </w:r>
      <w:r w:rsidRPr="00DB163C">
        <w:rPr>
          <w:b/>
          <w:bCs/>
        </w:rPr>
        <w:t>:</w:t>
      </w:r>
      <w:r>
        <w:rPr>
          <w:b/>
        </w:rPr>
        <w:t> UE</w:t>
      </w:r>
      <w:r w:rsidRPr="00DB163C">
        <w:rPr>
          <w:b/>
        </w:rPr>
        <w:t>-specific configurations for the time and frequency locations of SBFD subbands</w:t>
      </w:r>
      <w:r>
        <w:rPr>
          <w:b/>
        </w:rPr>
        <w:t xml:space="preserve"> is not supported</w:t>
      </w:r>
      <w:r w:rsidR="00FD4726">
        <w:rPr>
          <w:b/>
        </w:rPr>
        <w:t xml:space="preserve"> for Rel-19</w:t>
      </w:r>
      <w:r w:rsidRPr="00DB163C">
        <w:rPr>
          <w:b/>
        </w:rPr>
        <w:t>.</w:t>
      </w:r>
      <w:bookmarkStart w:id="2" w:name="_GoBack"/>
      <w:bookmarkEnd w:id="2"/>
    </w:p>
    <w:p w:rsidR="001F6901" w:rsidRPr="003E1ED8" w:rsidRDefault="001F6901" w:rsidP="001F6901">
      <w:pPr>
        <w:pStyle w:val="Heading2"/>
        <w:tabs>
          <w:tab w:val="clear" w:pos="666"/>
        </w:tabs>
      </w:pPr>
      <w:r w:rsidRPr="003E1ED8">
        <w:t xml:space="preserve">Guard period Configuration </w:t>
      </w:r>
    </w:p>
    <w:p w:rsidR="00F00D82" w:rsidRDefault="00F00D82" w:rsidP="005F5520">
      <w:r>
        <w:t xml:space="preserve">Regarding the guard period between SBFD and non-SBFD symbols the following RAN4 agreement were discussed during RAN1#120 meeting. </w:t>
      </w:r>
    </w:p>
    <w:tbl>
      <w:tblPr>
        <w:tblStyle w:val="TableGrid"/>
        <w:tblW w:w="0" w:type="auto"/>
        <w:tblLook w:val="04A0" w:firstRow="1" w:lastRow="0" w:firstColumn="1" w:lastColumn="0" w:noHBand="0" w:noVBand="1"/>
      </w:tblPr>
      <w:tblGrid>
        <w:gridCol w:w="9307"/>
      </w:tblGrid>
      <w:tr w:rsidR="00F00D82" w:rsidTr="00F00D82">
        <w:tc>
          <w:tcPr>
            <w:tcW w:w="9307" w:type="dxa"/>
          </w:tcPr>
          <w:p w:rsidR="00F00D82" w:rsidRDefault="00F00D82" w:rsidP="00F00D82">
            <w:pPr>
              <w:spacing w:after="0"/>
              <w:rPr>
                <w:highlight w:val="green"/>
              </w:rPr>
            </w:pPr>
            <w:r>
              <w:rPr>
                <w:highlight w:val="green"/>
              </w:rPr>
              <w:t xml:space="preserve">Agreement: </w:t>
            </w:r>
          </w:p>
          <w:p w:rsidR="00F00D82" w:rsidRPr="00F00D82" w:rsidRDefault="00F00D82" w:rsidP="00F00D82">
            <w:pPr>
              <w:pStyle w:val="ListParagraph"/>
              <w:numPr>
                <w:ilvl w:val="0"/>
                <w:numId w:val="36"/>
              </w:numPr>
              <w:jc w:val="both"/>
              <w:rPr>
                <w:rFonts w:ascii="Times New Roman" w:hAnsi="Times New Roman"/>
                <w:sz w:val="22"/>
                <w:szCs w:val="22"/>
              </w:rPr>
            </w:pPr>
            <w:r w:rsidRPr="00F00D82">
              <w:rPr>
                <w:rFonts w:ascii="Times New Roman" w:hAnsi="Times New Roman"/>
                <w:sz w:val="22"/>
                <w:szCs w:val="22"/>
              </w:rPr>
              <w:t xml:space="preserve">Transient period length between SBFD and non-SBFD: </w:t>
            </w:r>
          </w:p>
          <w:p w:rsidR="00F00D82" w:rsidRPr="00F00D82" w:rsidRDefault="00F00D82" w:rsidP="00F00D82">
            <w:pPr>
              <w:pStyle w:val="ListParagraph"/>
              <w:numPr>
                <w:ilvl w:val="1"/>
                <w:numId w:val="36"/>
              </w:numPr>
              <w:tabs>
                <w:tab w:val="left" w:pos="992"/>
              </w:tabs>
              <w:jc w:val="both"/>
              <w:rPr>
                <w:rFonts w:ascii="Times New Roman" w:hAnsi="Times New Roman"/>
                <w:sz w:val="22"/>
                <w:szCs w:val="22"/>
              </w:rPr>
            </w:pPr>
            <w:r w:rsidRPr="00F00D82">
              <w:rPr>
                <w:rFonts w:ascii="Times New Roman" w:hAnsi="Times New Roman"/>
                <w:sz w:val="22"/>
                <w:szCs w:val="22"/>
              </w:rPr>
              <w:t>The existing TDD BS transmitter transient period reused, i.e., 10us for FR1 and 3us for FR2-1.</w:t>
            </w:r>
          </w:p>
          <w:p w:rsidR="00F00D82" w:rsidRDefault="00F00D82" w:rsidP="00F00D82">
            <w:pPr>
              <w:spacing w:after="0"/>
              <w:rPr>
                <w:highlight w:val="green"/>
              </w:rPr>
            </w:pPr>
            <w:r>
              <w:rPr>
                <w:highlight w:val="green"/>
              </w:rPr>
              <w:t xml:space="preserve">Agreement: </w:t>
            </w:r>
          </w:p>
          <w:p w:rsidR="00F00D82" w:rsidRPr="00F00D82" w:rsidRDefault="00F00D82" w:rsidP="00F00D82">
            <w:pPr>
              <w:pStyle w:val="ListParagraph"/>
              <w:numPr>
                <w:ilvl w:val="0"/>
                <w:numId w:val="36"/>
              </w:numPr>
              <w:jc w:val="both"/>
              <w:rPr>
                <w:rFonts w:ascii="Times New Roman" w:hAnsi="Times New Roman"/>
                <w:sz w:val="22"/>
                <w:szCs w:val="22"/>
              </w:rPr>
            </w:pPr>
            <w:r w:rsidRPr="00F00D82">
              <w:rPr>
                <w:rFonts w:ascii="Times New Roman" w:hAnsi="Times New Roman"/>
                <w:sz w:val="22"/>
                <w:szCs w:val="22"/>
              </w:rPr>
              <w:t xml:space="preserve">Location of transient period between SBFD and non-SBFD in RAN4 RF requirement: </w:t>
            </w:r>
          </w:p>
          <w:p w:rsidR="00F00D82" w:rsidRDefault="00F00D82" w:rsidP="005F5520">
            <w:pPr>
              <w:pStyle w:val="ListParagraph"/>
              <w:numPr>
                <w:ilvl w:val="0"/>
                <w:numId w:val="36"/>
              </w:numPr>
              <w:jc w:val="both"/>
            </w:pPr>
            <w:r w:rsidRPr="00F00D82">
              <w:rPr>
                <w:rFonts w:ascii="Times New Roman" w:hAnsi="Times New Roman"/>
                <w:sz w:val="22"/>
                <w:szCs w:val="22"/>
              </w:rPr>
              <w:t>FFS the location of transient period between SBFD and non-SBFD shall be located within the SBFD slot/symbol if it needs to be decided.</w:t>
            </w:r>
          </w:p>
        </w:tc>
      </w:tr>
    </w:tbl>
    <w:p w:rsidR="00F00D82" w:rsidRDefault="00F00D82" w:rsidP="005F5520"/>
    <w:p w:rsidR="00F00D82" w:rsidRDefault="00F00D82" w:rsidP="005F5520"/>
    <w:p w:rsidR="005F5520" w:rsidRDefault="00F00D82" w:rsidP="005F5520">
      <w:pPr>
        <w:rPr>
          <w:szCs w:val="20"/>
          <w:lang w:eastAsia="x-none"/>
        </w:rPr>
      </w:pPr>
      <w:r>
        <w:rPr>
          <w:szCs w:val="20"/>
          <w:lang w:eastAsia="x-none"/>
        </w:rPr>
        <w:t>A guard period</w:t>
      </w:r>
      <w:r w:rsidR="005F5520" w:rsidRPr="00FF58B9">
        <w:rPr>
          <w:szCs w:val="20"/>
          <w:lang w:eastAsia="x-none"/>
        </w:rPr>
        <w:t xml:space="preserv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w:t>
      </w:r>
      <w:r w:rsidR="00AA0369">
        <w:rPr>
          <w:szCs w:val="20"/>
          <w:lang w:eastAsia="x-none"/>
        </w:rPr>
        <w:t>ching time needs to be considered as agreed in RAN4. However, in our view the issue of guard period can be handled by gNB implementation. For instance, the gNB can reserve</w:t>
      </w:r>
      <w:r w:rsidR="005F5520">
        <w:rPr>
          <w:szCs w:val="20"/>
          <w:lang w:eastAsia="x-none"/>
        </w:rPr>
        <w:t xml:space="preserve"> </w:t>
      </w:r>
      <w:r w:rsidR="005F5520" w:rsidRPr="00C4357D">
        <w:rPr>
          <w:szCs w:val="20"/>
          <w:lang w:eastAsia="x-none"/>
        </w:rPr>
        <w:t xml:space="preserve">a set of antenna ports/RF chains for Tx transmission and another set for Rx reception for a </w:t>
      </w:r>
      <w:r w:rsidR="00AA0369">
        <w:rPr>
          <w:szCs w:val="20"/>
          <w:lang w:eastAsia="x-none"/>
        </w:rPr>
        <w:t>SBFD time period</w:t>
      </w:r>
      <w:r w:rsidR="005F5520">
        <w:rPr>
          <w:szCs w:val="20"/>
          <w:lang w:eastAsia="x-none"/>
        </w:rPr>
        <w:t xml:space="preserve">. </w:t>
      </w:r>
      <w:r w:rsidR="005F5520" w:rsidRPr="00C4357D">
        <w:rPr>
          <w:szCs w:val="20"/>
          <w:lang w:eastAsia="x-none"/>
        </w:rPr>
        <w:t xml:space="preserve">This may eliminate the need for </w:t>
      </w:r>
      <w:r>
        <w:rPr>
          <w:szCs w:val="20"/>
          <w:lang w:eastAsia="x-none"/>
        </w:rPr>
        <w:t xml:space="preserve">(guard period) </w:t>
      </w:r>
      <w:r w:rsidR="005F5520" w:rsidRPr="00C4357D">
        <w:rPr>
          <w:szCs w:val="20"/>
          <w:lang w:eastAsia="x-none"/>
        </w:rPr>
        <w:t>transition time to switch between non-SBFD and SBFD operation</w:t>
      </w:r>
      <w:r w:rsidR="005F5520">
        <w:rPr>
          <w:szCs w:val="20"/>
          <w:lang w:eastAsia="x-none"/>
        </w:rPr>
        <w:t xml:space="preserve"> in both semi static SBFD and dynamic SBFD</w:t>
      </w:r>
      <w:r w:rsidR="005F5520" w:rsidRPr="00C4357D">
        <w:rPr>
          <w:szCs w:val="20"/>
          <w:lang w:eastAsia="x-none"/>
        </w:rPr>
        <w:t xml:space="preserve">. </w:t>
      </w:r>
      <w:r w:rsidR="005F5520" w:rsidRPr="00D05C09">
        <w:rPr>
          <w:szCs w:val="20"/>
          <w:lang w:eastAsia="x-none"/>
        </w:rPr>
        <w:t xml:space="preserve">An alternative solution could be to use the TA offset as a </w:t>
      </w:r>
      <w:r w:rsidR="00AA0369">
        <w:rPr>
          <w:szCs w:val="20"/>
          <w:lang w:eastAsia="x-none"/>
        </w:rPr>
        <w:t xml:space="preserve"> the guard period or </w:t>
      </w:r>
      <w:r w:rsidR="005F5520" w:rsidRPr="00D05C09">
        <w:rPr>
          <w:szCs w:val="20"/>
          <w:lang w:eastAsia="x-none"/>
        </w:rPr>
        <w:t>transition time between non-SBFD and SBFD operation and reuse the N_Tx-Rx time of</w:t>
      </w:r>
      <w:r w:rsidR="005F5520">
        <w:rPr>
          <w:szCs w:val="20"/>
          <w:lang w:eastAsia="x-none"/>
        </w:rPr>
        <w:t xml:space="preserve"> TS 38.211, as given in Table 1</w:t>
      </w:r>
      <w:r w:rsidR="005F5520" w:rsidRPr="00D05C09">
        <w:rPr>
          <w:szCs w:val="20"/>
          <w:lang w:eastAsia="x-none"/>
        </w:rPr>
        <w:t xml:space="preserve"> between SBFD and non-SBFD opera</w:t>
      </w:r>
      <w:r>
        <w:rPr>
          <w:szCs w:val="20"/>
          <w:lang w:eastAsia="x-none"/>
        </w:rPr>
        <w:t>tion, as illustrated in Figure 1</w:t>
      </w:r>
      <w:r w:rsidR="005F5520"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Pr>
          <w:szCs w:val="20"/>
          <w:lang w:eastAsia="x-none"/>
        </w:rPr>
        <w:t>e gNB side, as shown in Figure 2</w:t>
      </w:r>
      <w:r w:rsidR="005F5520" w:rsidRPr="00D05C09">
        <w:rPr>
          <w:szCs w:val="20"/>
          <w:lang w:eastAsia="x-none"/>
        </w:rPr>
        <w:t>.</w:t>
      </w:r>
    </w:p>
    <w:p w:rsidR="005F5520" w:rsidRDefault="005F5520" w:rsidP="005F5520">
      <w:pPr>
        <w:pStyle w:val="Caption"/>
      </w:pPr>
      <w:r>
        <w:t xml:space="preserve">Table 1 </w:t>
      </w:r>
      <w:r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F5520" w:rsidTr="00BA1A63">
        <w:trPr>
          <w:jc w:val="center"/>
        </w:trPr>
        <w:tc>
          <w:tcPr>
            <w:tcW w:w="2122" w:type="dxa"/>
          </w:tcPr>
          <w:p w:rsidR="005F5520" w:rsidRDefault="005F5520" w:rsidP="00BA1A63">
            <w:pPr>
              <w:keepNext/>
              <w:keepLines/>
              <w:jc w:val="center"/>
              <w:rPr>
                <w:rFonts w:ascii="Arial" w:hAnsi="Arial"/>
                <w:b/>
                <w:sz w:val="18"/>
              </w:rPr>
            </w:pPr>
            <w:r>
              <w:rPr>
                <w:rFonts w:ascii="Arial" w:hAnsi="Arial"/>
                <w:b/>
                <w:sz w:val="18"/>
              </w:rPr>
              <w:t>Transition time</w:t>
            </w:r>
          </w:p>
        </w:tc>
        <w:tc>
          <w:tcPr>
            <w:tcW w:w="1134" w:type="dxa"/>
          </w:tcPr>
          <w:p w:rsidR="005F5520" w:rsidRDefault="005F5520" w:rsidP="00BA1A63">
            <w:pPr>
              <w:keepNext/>
              <w:keepLines/>
              <w:jc w:val="center"/>
              <w:rPr>
                <w:rFonts w:ascii="Arial" w:hAnsi="Arial"/>
                <w:b/>
                <w:sz w:val="18"/>
              </w:rPr>
            </w:pPr>
            <w:r>
              <w:rPr>
                <w:rFonts w:ascii="Arial" w:hAnsi="Arial"/>
                <w:b/>
                <w:sz w:val="18"/>
              </w:rPr>
              <w:t>FR1</w:t>
            </w:r>
          </w:p>
        </w:tc>
        <w:tc>
          <w:tcPr>
            <w:tcW w:w="992" w:type="dxa"/>
          </w:tcPr>
          <w:p w:rsidR="005F5520" w:rsidRDefault="005F5520" w:rsidP="00BA1A63">
            <w:pPr>
              <w:keepNext/>
              <w:keepLines/>
              <w:jc w:val="center"/>
              <w:rPr>
                <w:rFonts w:ascii="Arial" w:hAnsi="Arial"/>
                <w:b/>
                <w:sz w:val="18"/>
              </w:rPr>
            </w:pPr>
            <w:r>
              <w:rPr>
                <w:rFonts w:ascii="Arial" w:hAnsi="Arial"/>
                <w:b/>
                <w:sz w:val="18"/>
              </w:rPr>
              <w:t>FR2</w:t>
            </w:r>
          </w:p>
        </w:tc>
      </w:tr>
      <w:tr w:rsidR="005F5520" w:rsidTr="00BA1A63">
        <w:trPr>
          <w:jc w:val="center"/>
        </w:trPr>
        <w:tc>
          <w:tcPr>
            <w:tcW w:w="2122" w:type="dxa"/>
          </w:tcPr>
          <w:p w:rsidR="005F5520" w:rsidRDefault="00DC5EB3" w:rsidP="00BA1A63">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F5520" w:rsidRDefault="005F5520" w:rsidP="00BA1A63">
            <w:pPr>
              <w:keepNext/>
              <w:keepLines/>
              <w:jc w:val="center"/>
              <w:rPr>
                <w:rFonts w:ascii="Arial" w:hAnsi="Arial"/>
                <w:sz w:val="18"/>
              </w:rPr>
            </w:pPr>
            <w:r>
              <w:rPr>
                <w:rFonts w:ascii="Arial" w:hAnsi="Arial"/>
                <w:sz w:val="18"/>
              </w:rPr>
              <w:t>25600</w:t>
            </w:r>
          </w:p>
        </w:tc>
        <w:tc>
          <w:tcPr>
            <w:tcW w:w="992" w:type="dxa"/>
          </w:tcPr>
          <w:p w:rsidR="005F5520" w:rsidRDefault="005F5520" w:rsidP="00BA1A63">
            <w:pPr>
              <w:keepNext/>
              <w:keepLines/>
              <w:jc w:val="center"/>
              <w:rPr>
                <w:rFonts w:ascii="Arial" w:hAnsi="Arial"/>
                <w:sz w:val="18"/>
              </w:rPr>
            </w:pPr>
            <w:r>
              <w:rPr>
                <w:rFonts w:ascii="Arial" w:hAnsi="Arial"/>
                <w:sz w:val="18"/>
              </w:rPr>
              <w:t>13792</w:t>
            </w:r>
          </w:p>
        </w:tc>
      </w:tr>
      <w:tr w:rsidR="005F5520" w:rsidTr="00BA1A63">
        <w:trPr>
          <w:jc w:val="center"/>
        </w:trPr>
        <w:tc>
          <w:tcPr>
            <w:tcW w:w="2122" w:type="dxa"/>
          </w:tcPr>
          <w:p w:rsidR="005F5520" w:rsidRDefault="00DC5EB3" w:rsidP="00BA1A63">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F5520" w:rsidRDefault="005F5520" w:rsidP="00BA1A63">
            <w:pPr>
              <w:keepNext/>
              <w:keepLines/>
              <w:jc w:val="center"/>
              <w:rPr>
                <w:rFonts w:ascii="Arial" w:hAnsi="Arial"/>
                <w:sz w:val="18"/>
              </w:rPr>
            </w:pPr>
            <w:r>
              <w:rPr>
                <w:rFonts w:ascii="Arial" w:hAnsi="Arial"/>
                <w:sz w:val="18"/>
              </w:rPr>
              <w:t>25600</w:t>
            </w:r>
          </w:p>
        </w:tc>
        <w:tc>
          <w:tcPr>
            <w:tcW w:w="992" w:type="dxa"/>
          </w:tcPr>
          <w:p w:rsidR="005F5520" w:rsidRDefault="005F5520" w:rsidP="00BA1A63">
            <w:pPr>
              <w:keepNext/>
              <w:keepLines/>
              <w:jc w:val="center"/>
              <w:rPr>
                <w:rFonts w:ascii="Arial" w:hAnsi="Arial"/>
                <w:sz w:val="18"/>
              </w:rPr>
            </w:pPr>
            <w:r>
              <w:rPr>
                <w:rFonts w:ascii="Arial" w:hAnsi="Arial"/>
                <w:sz w:val="18"/>
              </w:rPr>
              <w:t>13792</w:t>
            </w:r>
          </w:p>
        </w:tc>
      </w:tr>
    </w:tbl>
    <w:p w:rsidR="005F5520" w:rsidRPr="00C4357D" w:rsidRDefault="005F5520" w:rsidP="005F5520">
      <w:pPr>
        <w:rPr>
          <w:szCs w:val="20"/>
          <w:lang w:eastAsia="x-none"/>
        </w:rPr>
      </w:pPr>
    </w:p>
    <w:p w:rsidR="005F5520" w:rsidRDefault="00E4311B" w:rsidP="005F5520">
      <w:pPr>
        <w:keepNext/>
        <w:jc w:val="center"/>
      </w:pPr>
      <w:r>
        <w:object w:dxaOrig="614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3.5pt" o:ole="">
            <v:imagedata r:id="rId9" o:title=""/>
          </v:shape>
          <o:OLEObject Type="Embed" ProgID="Visio.Drawing.15" ShapeID="_x0000_i1025" DrawAspect="Content" ObjectID="_1804687875" r:id="rId10"/>
        </w:object>
      </w:r>
    </w:p>
    <w:p w:rsidR="005F5520" w:rsidRDefault="005F5520" w:rsidP="005F5520">
      <w:pPr>
        <w:pStyle w:val="Caption"/>
      </w:pPr>
      <w:r>
        <w:t xml:space="preserve">Figure </w:t>
      </w:r>
      <w:r w:rsidR="00F00D82">
        <w:t>1</w:t>
      </w:r>
      <w:r>
        <w:t xml:space="preserve"> TA offset and N_Tx-Rx based transition time between SBFD and non-SBFD operation </w:t>
      </w:r>
    </w:p>
    <w:p w:rsidR="005F5520" w:rsidRDefault="005F5520" w:rsidP="005F5520">
      <w:pPr>
        <w:jc w:val="center"/>
      </w:pPr>
    </w:p>
    <w:p w:rsidR="005F5520" w:rsidRDefault="00E4311B" w:rsidP="005F5520">
      <w:pPr>
        <w:keepNext/>
        <w:jc w:val="center"/>
      </w:pPr>
      <w:r>
        <w:object w:dxaOrig="5751" w:dyaOrig="3830">
          <v:shape id="_x0000_i1026" type="#_x0000_t75" style="width:279pt;height:186pt" o:ole="">
            <v:imagedata r:id="rId11" o:title=""/>
          </v:shape>
          <o:OLEObject Type="Embed" ProgID="Visio.Drawing.15" ShapeID="_x0000_i1026" DrawAspect="Content" ObjectID="_1804687876" r:id="rId12"/>
        </w:object>
      </w:r>
    </w:p>
    <w:p w:rsidR="005F5520" w:rsidRDefault="005F5520" w:rsidP="005F5520">
      <w:pPr>
        <w:pStyle w:val="Caption"/>
      </w:pPr>
      <w:r w:rsidRPr="0078421E">
        <w:t xml:space="preserve">Figure </w:t>
      </w:r>
      <w:r w:rsidR="00F00D82">
        <w:t>2</w:t>
      </w:r>
      <w:r>
        <w:t xml:space="preserve"> UL transmission delay used as transition time between non-SBFD and SBFD operation  </w:t>
      </w:r>
    </w:p>
    <w:p w:rsidR="006C789D" w:rsidRPr="006C789D" w:rsidRDefault="006C789D" w:rsidP="005F5520">
      <w:pPr>
        <w:rPr>
          <w:b/>
          <w:i/>
        </w:rPr>
      </w:pPr>
      <w:r w:rsidRPr="006C789D">
        <w:rPr>
          <w:b/>
          <w:i/>
        </w:rPr>
        <w:t>Observation 2: The transition time between SBFD and non-SBFD operations may only be necessary on the gNB side and can be handled through gNB implementation.</w:t>
      </w:r>
    </w:p>
    <w:p w:rsidR="006C789D" w:rsidRPr="00915157" w:rsidRDefault="006C789D" w:rsidP="00253CDC">
      <w:pPr>
        <w:rPr>
          <w:b/>
        </w:rPr>
      </w:pPr>
      <w:r w:rsidRPr="006C789D">
        <w:rPr>
          <w:b/>
        </w:rPr>
        <w:t xml:space="preserve">Proposal 2: The explicit configuration of a guard period between SBFD and non-SBFD symbols is </w:t>
      </w:r>
      <w:r w:rsidR="00B71779">
        <w:rPr>
          <w:b/>
        </w:rPr>
        <w:t>not necessary</w:t>
      </w:r>
      <w:r w:rsidRPr="006C789D">
        <w:rPr>
          <w:b/>
        </w:rPr>
        <w:t xml:space="preserve"> </w:t>
      </w:r>
      <w:r w:rsidR="00B71779">
        <w:rPr>
          <w:b/>
        </w:rPr>
        <w:t xml:space="preserve">to define </w:t>
      </w:r>
      <w:r w:rsidRPr="006C789D">
        <w:rPr>
          <w:b/>
        </w:rPr>
        <w:t xml:space="preserve">and </w:t>
      </w:r>
      <w:r w:rsidR="00B71779">
        <w:rPr>
          <w:b/>
        </w:rPr>
        <w:t xml:space="preserve">it </w:t>
      </w:r>
      <w:r w:rsidRPr="006C789D">
        <w:rPr>
          <w:b/>
        </w:rPr>
        <w:t>can be determined based on gNB implementation.</w:t>
      </w:r>
    </w:p>
    <w:p w:rsidR="00457518" w:rsidRPr="008D3250" w:rsidRDefault="00457518" w:rsidP="00641F8D">
      <w:pPr>
        <w:pStyle w:val="Heading1"/>
        <w:rPr>
          <w:lang w:eastAsia="zh-CN"/>
        </w:rPr>
      </w:pPr>
      <w:r w:rsidRPr="008D3250">
        <w:rPr>
          <w:lang w:eastAsia="zh-CN"/>
        </w:rPr>
        <w:t xml:space="preserve">TX/RX measurement procedure </w:t>
      </w:r>
    </w:p>
    <w:p w:rsidR="00E67315" w:rsidRPr="006C789D" w:rsidRDefault="00E67315" w:rsidP="008B3749">
      <w:pPr>
        <w:pStyle w:val="Heading2"/>
        <w:tabs>
          <w:tab w:val="clear" w:pos="666"/>
        </w:tabs>
      </w:pPr>
      <w:r w:rsidRPr="006C789D">
        <w:t>Link direction from UE perspective</w:t>
      </w:r>
    </w:p>
    <w:p w:rsidR="007D3315" w:rsidRPr="008D3250" w:rsidRDefault="007D3315" w:rsidP="007D3315">
      <w:pPr>
        <w:rPr>
          <w:rFonts w:eastAsiaTheme="minorEastAsia"/>
          <w:lang w:eastAsia="zh-CN"/>
        </w:rPr>
      </w:pPr>
      <w:r w:rsidRPr="008D3250">
        <w:rPr>
          <w:rFonts w:eastAsiaTheme="minorEastAsia"/>
          <w:lang w:eastAsia="zh-CN"/>
        </w:rPr>
        <w:t>For link direction in SBFD symbols, i.e. whether to transmit in UL subband or receive i</w:t>
      </w:r>
      <w:r w:rsidR="009403DF" w:rsidRPr="008D3250">
        <w:rPr>
          <w:rFonts w:eastAsiaTheme="minorEastAsia"/>
          <w:lang w:eastAsia="zh-CN"/>
        </w:rPr>
        <w:t xml:space="preserve">n DL subbands, an agreement </w:t>
      </w:r>
      <w:r w:rsidR="00915157">
        <w:rPr>
          <w:rFonts w:eastAsiaTheme="minorEastAsia"/>
          <w:lang w:eastAsia="zh-CN"/>
        </w:rPr>
        <w:t xml:space="preserve">the following conclusion were achieved in RAN1#120 meeting. </w:t>
      </w:r>
    </w:p>
    <w:tbl>
      <w:tblPr>
        <w:tblStyle w:val="TableGrid"/>
        <w:tblW w:w="0" w:type="auto"/>
        <w:tblLook w:val="04A0" w:firstRow="1" w:lastRow="0" w:firstColumn="1" w:lastColumn="0" w:noHBand="0" w:noVBand="1"/>
      </w:tblPr>
      <w:tblGrid>
        <w:gridCol w:w="9307"/>
      </w:tblGrid>
      <w:tr w:rsidR="007D3315" w:rsidTr="007D3315">
        <w:tc>
          <w:tcPr>
            <w:tcW w:w="9307" w:type="dxa"/>
          </w:tcPr>
          <w:p w:rsidR="00C67304" w:rsidRPr="00DA54FE" w:rsidRDefault="00C67304" w:rsidP="00C67304">
            <w:pPr>
              <w:rPr>
                <w:b/>
                <w:bCs/>
              </w:rPr>
            </w:pPr>
            <w:r w:rsidRPr="00DA54FE">
              <w:rPr>
                <w:rFonts w:eastAsia="Malgun Gothic"/>
                <w:b/>
                <w:bCs/>
                <w:iCs/>
                <w:lang w:eastAsia="ko-KR"/>
              </w:rPr>
              <w:t>Conclusion</w:t>
            </w:r>
          </w:p>
          <w:p w:rsidR="00C67304" w:rsidRPr="00C67304" w:rsidRDefault="00C67304" w:rsidP="00C67304">
            <w:pPr>
              <w:pStyle w:val="ListParagraph"/>
              <w:numPr>
                <w:ilvl w:val="0"/>
                <w:numId w:val="10"/>
              </w:numPr>
              <w:shd w:val="clear" w:color="auto" w:fill="FFFFFF"/>
              <w:tabs>
                <w:tab w:val="left" w:pos="0"/>
              </w:tabs>
              <w:rPr>
                <w:rFonts w:ascii="Times New Roman" w:eastAsia="Malgun Gothic" w:hAnsi="Times New Roman"/>
                <w:sz w:val="22"/>
                <w:szCs w:val="22"/>
                <w:lang w:eastAsia="zh-CN"/>
              </w:rPr>
            </w:pPr>
            <w:r w:rsidRPr="00C67304">
              <w:rPr>
                <w:rFonts w:ascii="Times New Roman" w:eastAsia="Malgun Gothic" w:hAnsi="Times New Roman"/>
                <w:sz w:val="22"/>
                <w:szCs w:val="22"/>
                <w:lang w:eastAsia="zh-CN"/>
              </w:rPr>
              <w:t>There is no RAN1 consensus to support semi-static link direction indication for SBFD aware UEs.</w:t>
            </w:r>
          </w:p>
          <w:p w:rsidR="00C67304" w:rsidRPr="00A91ADC" w:rsidRDefault="00C67304" w:rsidP="00C67304">
            <w:pPr>
              <w:numPr>
                <w:ilvl w:val="0"/>
                <w:numId w:val="10"/>
              </w:numPr>
              <w:shd w:val="clear" w:color="auto" w:fill="FFFFFF"/>
              <w:tabs>
                <w:tab w:val="left" w:pos="0"/>
              </w:tabs>
              <w:autoSpaceDE/>
              <w:autoSpaceDN/>
              <w:adjustRightInd/>
              <w:snapToGrid/>
              <w:spacing w:after="0"/>
              <w:jc w:val="left"/>
              <w:rPr>
                <w:rFonts w:eastAsia="Malgun Gothic"/>
                <w:iCs/>
                <w:lang w:eastAsia="ko-KR"/>
              </w:rPr>
            </w:pPr>
            <w:r w:rsidRPr="00DF27F9">
              <w:rPr>
                <w:rFonts w:eastAsia="Malgun Gothic" w:hint="eastAsia"/>
                <w:lang w:eastAsia="zh-CN"/>
              </w:rPr>
              <w:t>For a serving cell configured with SBFD subband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TDD-UL-DL-ConfigDedicated</w:t>
            </w:r>
            <w:r w:rsidRPr="00DF27F9">
              <w:rPr>
                <w:rFonts w:eastAsia="Malgun Gothic" w:hint="eastAsia"/>
                <w:lang w:eastAsia="zh-CN"/>
              </w:rPr>
              <w:t xml:space="preserve"> is only applicable to non-SBFD symbols but not applicable to SBFD symbols</w:t>
            </w:r>
          </w:p>
          <w:p w:rsidR="007D3315" w:rsidRPr="004B64F3" w:rsidRDefault="007D3315" w:rsidP="00E92EB5">
            <w:pPr>
              <w:rPr>
                <w:rFonts w:eastAsia="Malgun Gothic"/>
                <w:lang w:eastAsia="zh-CN"/>
              </w:rPr>
            </w:pPr>
          </w:p>
        </w:tc>
      </w:tr>
    </w:tbl>
    <w:p w:rsidR="00A4593C" w:rsidRDefault="00A4593C" w:rsidP="00E92EB5"/>
    <w:p w:rsidR="005261D0" w:rsidRDefault="00E95624" w:rsidP="00E92EB5">
      <w:r>
        <w:t>In our view, the</w:t>
      </w:r>
      <w:r w:rsidR="005261D0" w:rsidRPr="005261D0">
        <w:t xml:space="preserve"> link direction is already determined based on the gNB's scheduled transmissions/receptions. This offers the advantage of collision handling, as it is managed from the gNB side. Option 1 is also aligned with the c</w:t>
      </w:r>
      <w:r w:rsidR="00496219">
        <w:t>urrent specifications, and requires</w:t>
      </w:r>
      <w:r w:rsidR="005261D0" w:rsidRPr="005261D0">
        <w:t xml:space="preserve"> no additional specification work. On the other hand, option 2, where the link direction is explicitly indicated by the gNB, </w:t>
      </w:r>
      <w:r w:rsidR="00496219">
        <w:t>may provide several benefits, such as, w</w:t>
      </w:r>
      <w:r w:rsidR="005261D0" w:rsidRPr="005261D0">
        <w:t xml:space="preserve">ith explicit indication, the UE can easily determine whether to transmit or receive in the SBFD symbol. This eliminates </w:t>
      </w:r>
      <w:r w:rsidR="009403DF">
        <w:t xml:space="preserve">the </w:t>
      </w:r>
      <w:r w:rsidR="009403DF" w:rsidRPr="005261D0">
        <w:t>dependence</w:t>
      </w:r>
      <w:r w:rsidR="005261D0" w:rsidRPr="005261D0">
        <w:t xml:space="preserve"> on the UE's configured or sch</w:t>
      </w:r>
      <w:r w:rsidR="009403DF">
        <w:t>eduled transmissions/receptions</w:t>
      </w:r>
      <w:r w:rsidR="005261D0" w:rsidRPr="005261D0">
        <w:t>. However, option 2 introduces extra signaling for the link directio</w:t>
      </w:r>
      <w:r w:rsidR="00B26622">
        <w:t xml:space="preserve">n indication, which can be achieved </w:t>
      </w:r>
      <w:r w:rsidR="005261D0" w:rsidRPr="005261D0">
        <w:t>easily with option 1</w:t>
      </w:r>
      <w:r w:rsidR="00496219">
        <w:t>.</w:t>
      </w:r>
    </w:p>
    <w:p w:rsidR="005261D0" w:rsidRPr="005261D0" w:rsidRDefault="00E541D8" w:rsidP="00E92EB5">
      <w:pPr>
        <w:rPr>
          <w:b/>
        </w:rPr>
      </w:pPr>
      <w:r w:rsidRPr="00E541D8">
        <w:rPr>
          <w:b/>
          <w:i/>
        </w:rPr>
        <w:t>Observation</w:t>
      </w:r>
      <w:r w:rsidR="00771960">
        <w:rPr>
          <w:b/>
          <w:i/>
        </w:rPr>
        <w:t xml:space="preserve"> 3</w:t>
      </w:r>
      <w:r w:rsidR="00E95624">
        <w:rPr>
          <w:b/>
          <w:i/>
        </w:rPr>
        <w:t>: D</w:t>
      </w:r>
      <w:r w:rsidRPr="00E541D8">
        <w:rPr>
          <w:b/>
          <w:i/>
        </w:rPr>
        <w:t xml:space="preserve">etermining the link direction of SBFD-aware UE transmission/reception in SBFD symbols may introduce unnecessary signaling for </w:t>
      </w:r>
      <w:r>
        <w:rPr>
          <w:b/>
          <w:i/>
        </w:rPr>
        <w:t xml:space="preserve">link direction which </w:t>
      </w:r>
      <w:r w:rsidRPr="00E541D8">
        <w:rPr>
          <w:b/>
          <w:i/>
        </w:rPr>
        <w:t xml:space="preserve">can be </w:t>
      </w:r>
      <w:r w:rsidR="00B26622">
        <w:rPr>
          <w:b/>
          <w:i/>
        </w:rPr>
        <w:t xml:space="preserve">achieved </w:t>
      </w:r>
      <w:r w:rsidR="00B26622" w:rsidRPr="00E541D8">
        <w:rPr>
          <w:b/>
          <w:i/>
        </w:rPr>
        <w:t>without</w:t>
      </w:r>
      <w:r w:rsidRPr="00E541D8">
        <w:rPr>
          <w:b/>
          <w:i/>
        </w:rPr>
        <w:t xml:space="preserve"> signaling.</w:t>
      </w:r>
    </w:p>
    <w:p w:rsidR="008B3749" w:rsidRPr="00E541D8" w:rsidRDefault="008B3749" w:rsidP="002B1540">
      <w:pPr>
        <w:rPr>
          <w:b/>
        </w:rPr>
      </w:pPr>
    </w:p>
    <w:p w:rsidR="00FB4BE3" w:rsidRPr="004B64F3" w:rsidRDefault="003511B2" w:rsidP="00721AAA">
      <w:pPr>
        <w:pStyle w:val="Heading2"/>
        <w:tabs>
          <w:tab w:val="clear" w:pos="666"/>
        </w:tabs>
      </w:pPr>
      <w:r w:rsidRPr="004B64F3">
        <w:t>Physical channel/signal</w:t>
      </w:r>
      <w:r w:rsidR="00FB4BE3" w:rsidRPr="004B64F3">
        <w:t xml:space="preserve"> mapped to SBFD and non-SBFD symbols within a slot </w:t>
      </w:r>
      <w:r w:rsidR="008B3749">
        <w:t>(configuration 1)</w:t>
      </w:r>
    </w:p>
    <w:p w:rsidR="005C3E01" w:rsidRDefault="00E95624" w:rsidP="00FB4BE3">
      <w:r w:rsidRPr="00E95624">
        <w:t xml:space="preserve">During the RAN1#119 meeting, an agreement was reached regarding the mapping </w:t>
      </w:r>
      <w:r>
        <w:t xml:space="preserve">of PUSCH repetition type B in </w:t>
      </w:r>
      <w:r w:rsidRPr="00E95624">
        <w:t>SBFD and non-SBFD symbols within a slot. However, this issue was not discussed further in the RAN1#120 meeting.</w:t>
      </w:r>
    </w:p>
    <w:tbl>
      <w:tblPr>
        <w:tblStyle w:val="TableGrid"/>
        <w:tblW w:w="0" w:type="auto"/>
        <w:tblLook w:val="04A0" w:firstRow="1" w:lastRow="0" w:firstColumn="1" w:lastColumn="0" w:noHBand="0" w:noVBand="1"/>
      </w:tblPr>
      <w:tblGrid>
        <w:gridCol w:w="9307"/>
      </w:tblGrid>
      <w:tr w:rsidR="00967A44" w:rsidTr="00967A44">
        <w:tc>
          <w:tcPr>
            <w:tcW w:w="9307" w:type="dxa"/>
          </w:tcPr>
          <w:p w:rsidR="005C3E01" w:rsidRDefault="005C3E01" w:rsidP="005C3E01">
            <w:pPr>
              <w:rPr>
                <w:rFonts w:eastAsiaTheme="minorEastAsia"/>
                <w:b/>
                <w:lang w:eastAsia="zh-CN"/>
              </w:rPr>
            </w:pPr>
            <w:r w:rsidRPr="00E53042">
              <w:rPr>
                <w:rFonts w:eastAsiaTheme="minorEastAsia" w:hint="eastAsia"/>
                <w:b/>
                <w:highlight w:val="green"/>
                <w:lang w:eastAsia="zh-CN"/>
              </w:rPr>
              <w:t>Agreement</w:t>
            </w:r>
          </w:p>
          <w:p w:rsidR="005C3E01" w:rsidRPr="00F52F18" w:rsidRDefault="005C3E01" w:rsidP="005C3E01">
            <w:pPr>
              <w:tabs>
                <w:tab w:val="left" w:pos="0"/>
              </w:tabs>
              <w:rPr>
                <w:rFonts w:eastAsiaTheme="minorEastAsia"/>
                <w:lang w:eastAsia="zh-CN"/>
              </w:rPr>
            </w:pPr>
            <w:r w:rsidRPr="00F52F18">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hint="eastAsia"/>
                <w:lang w:eastAsia="zh-CN"/>
              </w:rPr>
              <w:t>, except</w:t>
            </w:r>
            <w:r w:rsidRPr="00F52F18">
              <w:rPr>
                <w:rFonts w:eastAsiaTheme="minorEastAsia" w:hint="eastAsia"/>
                <w:lang w:eastAsia="zh-CN"/>
              </w:rPr>
              <w:t xml:space="preserve"> </w:t>
            </w:r>
          </w:p>
          <w:p w:rsidR="005C3E01" w:rsidRPr="00F52F18" w:rsidRDefault="005C3E01" w:rsidP="005C3E01">
            <w:pPr>
              <w:numPr>
                <w:ilvl w:val="0"/>
                <w:numId w:val="17"/>
              </w:numPr>
              <w:autoSpaceDE/>
              <w:autoSpaceDN/>
              <w:adjustRightInd/>
              <w:snapToGrid/>
              <w:spacing w:after="0"/>
              <w:jc w:val="left"/>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rsidR="005C3E01" w:rsidRPr="00F52F18" w:rsidRDefault="005C3E01" w:rsidP="005C3E01">
            <w:pPr>
              <w:numPr>
                <w:ilvl w:val="0"/>
                <w:numId w:val="17"/>
              </w:numPr>
              <w:autoSpaceDE/>
              <w:autoSpaceDN/>
              <w:adjustRightInd/>
              <w:snapToGrid/>
              <w:spacing w:after="0"/>
              <w:jc w:val="left"/>
              <w:rPr>
                <w:rFonts w:eastAsia="Malgun Gothic" w:cs="Times"/>
                <w:lang w:eastAsia="zh-CN"/>
              </w:rPr>
            </w:pPr>
            <w:r w:rsidRPr="00F52F18">
              <w:rPr>
                <w:rFonts w:eastAsiaTheme="minorEastAsia" w:cs="Times" w:hint="eastAsia"/>
                <w:lang w:eastAsia="zh-CN"/>
              </w:rPr>
              <w:t>For PUSCH repetition type B, down-select from the following options.</w:t>
            </w:r>
          </w:p>
          <w:p w:rsidR="005C3E01" w:rsidRPr="00713A5D" w:rsidRDefault="005C3E01" w:rsidP="005C3E01">
            <w:pPr>
              <w:numPr>
                <w:ilvl w:val="1"/>
                <w:numId w:val="10"/>
              </w:numPr>
              <w:shd w:val="clear" w:color="auto" w:fill="FFFFFF"/>
              <w:tabs>
                <w:tab w:val="left" w:pos="0"/>
              </w:tabs>
              <w:autoSpaceDE/>
              <w:autoSpaceDN/>
              <w:adjustRightInd/>
              <w:snapToGrid/>
              <w:spacing w:after="0"/>
              <w:jc w:val="left"/>
              <w:rPr>
                <w:rFonts w:eastAsia="Malgun Gothic"/>
                <w:lang w:eastAsia="zh-CN"/>
              </w:rPr>
            </w:pPr>
            <w:r w:rsidRPr="00713A5D">
              <w:rPr>
                <w:rFonts w:eastAsia="Malgun Gothic" w:hint="eastAsia"/>
                <w:lang w:eastAsia="zh-CN"/>
              </w:rPr>
              <w:t>Option 1:</w:t>
            </w:r>
            <w:r w:rsidRPr="00713A5D">
              <w:rPr>
                <w:rFonts w:eastAsia="Malgun Gothic"/>
                <w:lang w:eastAsia="zh-CN"/>
              </w:rPr>
              <w:t xml:space="preserve"> </w:t>
            </w:r>
            <w:r w:rsidRPr="00713A5D">
              <w:rPr>
                <w:rFonts w:eastAsia="Malgun Gothic" w:hint="eastAsia"/>
                <w:lang w:eastAsia="zh-CN"/>
              </w:rPr>
              <w:t xml:space="preserve">A </w:t>
            </w:r>
            <w:r w:rsidRPr="00713A5D">
              <w:rPr>
                <w:rFonts w:eastAsia="Malgun Gothic"/>
                <w:lang w:eastAsia="zh-CN"/>
              </w:rPr>
              <w:t xml:space="preserve">nominal repetition </w:t>
            </w:r>
            <w:r w:rsidRPr="00713A5D">
              <w:rPr>
                <w:rFonts w:eastAsia="Malgun Gothic" w:hint="eastAsia"/>
                <w:lang w:eastAsia="zh-CN"/>
              </w:rPr>
              <w:t>is</w:t>
            </w:r>
            <w:r w:rsidRPr="00713A5D">
              <w:rPr>
                <w:rFonts w:eastAsia="Malgun Gothic"/>
                <w:lang w:eastAsia="zh-CN"/>
              </w:rPr>
              <w:t xml:space="preserve"> segmented into actual repetitions around boundary of SBFD symbols and non-SBFD symbols</w:t>
            </w:r>
            <w:r w:rsidRPr="00713A5D">
              <w:rPr>
                <w:rFonts w:eastAsia="Malgun Gothic" w:hint="eastAsia"/>
                <w:lang w:eastAsia="zh-CN"/>
              </w:rPr>
              <w:t xml:space="preserve">. </w:t>
            </w:r>
          </w:p>
          <w:p w:rsidR="00187202" w:rsidRPr="007226F8" w:rsidRDefault="005C3E01" w:rsidP="00187202">
            <w:pPr>
              <w:numPr>
                <w:ilvl w:val="1"/>
                <w:numId w:val="10"/>
              </w:numPr>
              <w:shd w:val="clear" w:color="auto" w:fill="FFFFFF"/>
              <w:tabs>
                <w:tab w:val="left" w:pos="0"/>
              </w:tabs>
              <w:autoSpaceDE/>
              <w:autoSpaceDN/>
              <w:adjustRightInd/>
              <w:snapToGrid/>
              <w:spacing w:after="0"/>
              <w:jc w:val="left"/>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eastAsia="zh-CN"/>
              </w:rPr>
              <w:t xml:space="preserve"> as </w:t>
            </w:r>
            <w:r w:rsidRPr="00F52F18">
              <w:rPr>
                <w:rFonts w:eastAsia="Malgun Gothic"/>
                <w:lang w:eastAsia="zh-CN"/>
              </w:rPr>
              <w:t xml:space="preserve">in </w:t>
            </w:r>
            <w:r w:rsidRPr="00F52F18">
              <w:rPr>
                <w:rFonts w:eastAsia="Malgun Gothic" w:hint="eastAsia"/>
                <w:lang w:eastAsia="zh-CN"/>
              </w:rPr>
              <w:t>legacy</w:t>
            </w:r>
            <w:r w:rsidRPr="00F52F18">
              <w:rPr>
                <w:rFonts w:eastAsia="Malgun Gothic"/>
                <w:lang w:eastAsia="zh-CN"/>
              </w:rPr>
              <w:t xml:space="preserve"> operation</w:t>
            </w:r>
            <w:r w:rsidRPr="00F52F18">
              <w:rPr>
                <w:rFonts w:eastAsia="Malgun Gothic" w:hint="eastAsia"/>
                <w:lang w:eastAsia="zh-CN"/>
              </w:rPr>
              <w:t xml:space="preserve">. An actual repetition mapped to both </w:t>
            </w:r>
            <w:r w:rsidRPr="00F52F18">
              <w:rPr>
                <w:rFonts w:eastAsia="Malgun Gothic"/>
                <w:lang w:eastAsia="zh-CN"/>
              </w:rPr>
              <w:t>SBFD and non-SBFD symbols</w:t>
            </w:r>
            <w:r w:rsidRPr="00F52F18">
              <w:rPr>
                <w:rFonts w:eastAsia="Malgun Gothic" w:hint="eastAsia"/>
                <w:lang w:eastAsia="zh-CN"/>
              </w:rPr>
              <w:t xml:space="preserve"> is dropped. </w:t>
            </w:r>
          </w:p>
        </w:tc>
      </w:tr>
    </w:tbl>
    <w:p w:rsidR="002C1BED" w:rsidRDefault="002C1BED" w:rsidP="007226F8">
      <w:pPr>
        <w:rPr>
          <w:rFonts w:eastAsiaTheme="minorEastAsia"/>
          <w:lang w:eastAsia="zh-CN"/>
        </w:rPr>
      </w:pPr>
    </w:p>
    <w:p w:rsidR="00C70871" w:rsidRPr="007226F8" w:rsidRDefault="0089139E" w:rsidP="007226F8">
      <w:pPr>
        <w:rPr>
          <w:rFonts w:eastAsiaTheme="minorEastAsia"/>
          <w:lang w:eastAsia="zh-CN"/>
        </w:rPr>
      </w:pPr>
      <w:r>
        <w:rPr>
          <w:rFonts w:eastAsiaTheme="minorEastAsia"/>
          <w:lang w:eastAsia="zh-CN"/>
        </w:rPr>
        <w:t xml:space="preserve">In the above agreement, </w:t>
      </w:r>
      <w:r w:rsidR="0034085E" w:rsidRPr="0034085E">
        <w:rPr>
          <w:rFonts w:eastAsiaTheme="minorEastAsia"/>
          <w:lang w:eastAsia="zh-CN"/>
        </w:rPr>
        <w:t xml:space="preserve">Option 1 </w:t>
      </w:r>
      <w:r w:rsidR="00AD606F">
        <w:rPr>
          <w:rFonts w:eastAsiaTheme="minorEastAsia"/>
          <w:lang w:eastAsia="zh-CN"/>
        </w:rPr>
        <w:t xml:space="preserve">for PUSCH </w:t>
      </w:r>
      <w:r w:rsidR="002C1BED" w:rsidRPr="00713A5D">
        <w:rPr>
          <w:rFonts w:eastAsia="Malgun Gothic"/>
          <w:lang w:eastAsia="zh-CN"/>
        </w:rPr>
        <w:t>repetition</w:t>
      </w:r>
      <w:r w:rsidR="0034085E">
        <w:rPr>
          <w:rFonts w:eastAsiaTheme="minorEastAsia"/>
          <w:lang w:eastAsia="zh-CN"/>
        </w:rPr>
        <w:t xml:space="preserve"> type B can improve the </w:t>
      </w:r>
      <w:r w:rsidR="0034085E" w:rsidRPr="0034085E">
        <w:rPr>
          <w:rFonts w:eastAsiaTheme="minorEastAsia"/>
          <w:lang w:eastAsia="zh-CN"/>
        </w:rPr>
        <w:t xml:space="preserve">resource utilization and reduces </w:t>
      </w:r>
      <w:r w:rsidR="0034085E">
        <w:rPr>
          <w:rFonts w:eastAsiaTheme="minorEastAsia"/>
          <w:lang w:eastAsia="zh-CN"/>
        </w:rPr>
        <w:t xml:space="preserve">the </w:t>
      </w:r>
      <w:r w:rsidR="0034085E" w:rsidRPr="0034085E">
        <w:rPr>
          <w:rFonts w:eastAsiaTheme="minorEastAsia"/>
          <w:lang w:eastAsia="zh-CN"/>
        </w:rPr>
        <w:t>latency. In this approach, a nominal repetition can be divided into actual repetitions across the boundary of SBFD symbols and non-SBFD symbols. This allows the UE to transmit the physical channel or signal within the same slot, as the repetitions in SBFD and non-SBFD symbols are not required to meet conditions like phase coherency, uninterrupted transitions, or identical transmission parameters.</w:t>
      </w:r>
    </w:p>
    <w:p w:rsidR="005D794E" w:rsidRDefault="003E1ED8" w:rsidP="009200CF">
      <w:pPr>
        <w:rPr>
          <w:rFonts w:eastAsiaTheme="minorEastAsia"/>
          <w:b/>
          <w:lang w:eastAsia="zh-CN"/>
        </w:rPr>
      </w:pPr>
      <w:r>
        <w:rPr>
          <w:rFonts w:eastAsiaTheme="minorEastAsia"/>
          <w:b/>
          <w:lang w:eastAsia="zh-CN"/>
        </w:rPr>
        <w:t>Proposal 3</w:t>
      </w:r>
      <w:r w:rsidR="00FB4BE3" w:rsidRPr="002976C0">
        <w:rPr>
          <w:rFonts w:eastAsiaTheme="minorEastAsia"/>
          <w:b/>
          <w:lang w:eastAsia="zh-CN"/>
        </w:rPr>
        <w:t xml:space="preserve">: </w:t>
      </w:r>
      <w:r w:rsidR="009200CF" w:rsidRPr="009200CF">
        <w:rPr>
          <w:rFonts w:eastAsiaTheme="minorEastAsia" w:hint="eastAsia"/>
          <w:b/>
          <w:lang w:eastAsia="zh-CN"/>
        </w:rPr>
        <w:t xml:space="preserve">For PUSCH repetition type B across </w:t>
      </w:r>
      <w:r w:rsidR="00FB4BE3" w:rsidRPr="009200CF">
        <w:rPr>
          <w:rFonts w:eastAsiaTheme="minorEastAsia" w:hint="eastAsia"/>
          <w:b/>
          <w:lang w:eastAsia="zh-CN"/>
        </w:rPr>
        <w:t>SBFD and non-SBFD symbols within a slot</w:t>
      </w:r>
      <w:r w:rsidR="00FB4BE3" w:rsidRPr="009200CF">
        <w:rPr>
          <w:rFonts w:eastAsiaTheme="minorEastAsia"/>
          <w:b/>
          <w:lang w:eastAsia="zh-CN"/>
        </w:rPr>
        <w:t xml:space="preserve">, </w:t>
      </w:r>
      <w:r w:rsidR="009200CF" w:rsidRPr="009200CF">
        <w:rPr>
          <w:rFonts w:eastAsiaTheme="minorEastAsia"/>
          <w:b/>
          <w:lang w:eastAsia="zh-CN"/>
        </w:rPr>
        <w:t>support option 1</w:t>
      </w:r>
      <w:r w:rsidR="00A11740">
        <w:rPr>
          <w:rFonts w:eastAsiaTheme="minorEastAsia"/>
          <w:b/>
          <w:lang w:eastAsia="zh-CN"/>
        </w:rPr>
        <w:t xml:space="preserve">: </w:t>
      </w:r>
      <w:r w:rsidR="00A11740" w:rsidRPr="00A11740">
        <w:rPr>
          <w:rFonts w:eastAsiaTheme="minorEastAsia" w:hint="eastAsia"/>
          <w:b/>
          <w:lang w:eastAsia="zh-CN"/>
        </w:rPr>
        <w:t xml:space="preserve">A </w:t>
      </w:r>
      <w:r w:rsidR="00A11740" w:rsidRPr="00A11740">
        <w:rPr>
          <w:rFonts w:eastAsiaTheme="minorEastAsia"/>
          <w:b/>
          <w:lang w:eastAsia="zh-CN"/>
        </w:rPr>
        <w:t xml:space="preserve">nominal repetition </w:t>
      </w:r>
      <w:r w:rsidR="00A11740" w:rsidRPr="00A11740">
        <w:rPr>
          <w:rFonts w:eastAsiaTheme="minorEastAsia" w:hint="eastAsia"/>
          <w:b/>
          <w:lang w:eastAsia="zh-CN"/>
        </w:rPr>
        <w:t>is</w:t>
      </w:r>
      <w:r w:rsidR="00A11740" w:rsidRPr="00A11740">
        <w:rPr>
          <w:rFonts w:eastAsiaTheme="minorEastAsia"/>
          <w:b/>
          <w:lang w:eastAsia="zh-CN"/>
        </w:rPr>
        <w:t xml:space="preserve"> segmented into actual repetitions around boundary of SBFD symbols and non-SBFD symbols</w:t>
      </w:r>
      <w:r w:rsidR="00A11740" w:rsidRPr="00A11740">
        <w:rPr>
          <w:rFonts w:eastAsiaTheme="minorEastAsia" w:hint="eastAsia"/>
          <w:b/>
          <w:lang w:eastAsia="zh-CN"/>
        </w:rPr>
        <w:t>.</w:t>
      </w:r>
    </w:p>
    <w:p w:rsidR="001F6901" w:rsidRDefault="001F6901" w:rsidP="009200CF">
      <w:pPr>
        <w:rPr>
          <w:rFonts w:eastAsiaTheme="minorEastAsia"/>
          <w:b/>
          <w:lang w:eastAsia="zh-CN"/>
        </w:rPr>
      </w:pPr>
    </w:p>
    <w:p w:rsidR="001F6901" w:rsidRDefault="001F6901" w:rsidP="001F6901">
      <w:pPr>
        <w:pStyle w:val="Heading1"/>
        <w:rPr>
          <w:lang w:eastAsia="zh-CN"/>
        </w:rPr>
      </w:pPr>
      <w:r>
        <w:rPr>
          <w:lang w:eastAsia="zh-CN"/>
        </w:rPr>
        <w:t xml:space="preserve">SSB symbols in SBFD subbands </w:t>
      </w:r>
    </w:p>
    <w:p w:rsidR="001F6901" w:rsidRDefault="001F6901" w:rsidP="001F6901">
      <w:pPr>
        <w:rPr>
          <w:lang w:eastAsia="zh-CN"/>
        </w:rPr>
      </w:pPr>
      <w:r>
        <w:rPr>
          <w:lang w:eastAsia="zh-CN"/>
        </w:rPr>
        <w:t>Regarding the transmission of SSB symbols in SBFD subbands, the following working assumption wa</w:t>
      </w:r>
      <w:r w:rsidR="00E95624">
        <w:rPr>
          <w:lang w:eastAsia="zh-CN"/>
        </w:rPr>
        <w:t>s achieved in RAN1#118 meeting.</w:t>
      </w:r>
    </w:p>
    <w:tbl>
      <w:tblPr>
        <w:tblStyle w:val="TableGrid"/>
        <w:tblW w:w="0" w:type="auto"/>
        <w:tblLook w:val="04A0" w:firstRow="1" w:lastRow="0" w:firstColumn="1" w:lastColumn="0" w:noHBand="0" w:noVBand="1"/>
      </w:tblPr>
      <w:tblGrid>
        <w:gridCol w:w="9307"/>
      </w:tblGrid>
      <w:tr w:rsidR="001F6901" w:rsidTr="00BA1A63">
        <w:tc>
          <w:tcPr>
            <w:tcW w:w="9307" w:type="dxa"/>
          </w:tcPr>
          <w:p w:rsidR="001F6901" w:rsidRPr="00911BFD" w:rsidRDefault="001F6901" w:rsidP="00BA1A63">
            <w:pPr>
              <w:rPr>
                <w:rFonts w:eastAsia="Malgun Gothic"/>
                <w:bCs/>
                <w:szCs w:val="20"/>
                <w:lang w:eastAsia="zh-CN"/>
              </w:rPr>
            </w:pPr>
            <w:r w:rsidRPr="00911BFD">
              <w:rPr>
                <w:rFonts w:eastAsia="Malgun Gothic"/>
                <w:bCs/>
                <w:szCs w:val="20"/>
                <w:highlight w:val="darkYellow"/>
                <w:lang w:eastAsia="zh-CN"/>
              </w:rPr>
              <w:t>Working Assumption</w:t>
            </w:r>
          </w:p>
          <w:p w:rsidR="001F6901" w:rsidRPr="00911BFD" w:rsidRDefault="001F6901" w:rsidP="00BA1A63">
            <w:pPr>
              <w:rPr>
                <w:rFonts w:eastAsia="Malgun Gothic"/>
                <w:bCs/>
                <w:szCs w:val="20"/>
                <w:lang w:eastAsia="zh-CN"/>
              </w:rPr>
            </w:pPr>
            <w:r w:rsidRPr="00911BFD">
              <w:rPr>
                <w:rFonts w:eastAsia="Malgun Gothic"/>
                <w:bCs/>
                <w:szCs w:val="20"/>
                <w:lang w:eastAsia="zh-CN"/>
              </w:rPr>
              <w:t xml:space="preserve">For SSB symbols configured with SBFD subbands, </w:t>
            </w:r>
          </w:p>
          <w:p w:rsidR="001F6901" w:rsidRPr="00911BFD" w:rsidRDefault="001F6901" w:rsidP="00BA1A63">
            <w:pPr>
              <w:numPr>
                <w:ilvl w:val="0"/>
                <w:numId w:val="19"/>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Option 1: The SSB symbols configured with SBFD subbands are SBFD symbols. Only DL receptions within DL usable PRBs are allowed for SBFD aware UEs.</w:t>
            </w:r>
          </w:p>
          <w:p w:rsidR="001F6901" w:rsidRPr="00964248" w:rsidRDefault="001F6901" w:rsidP="00BA1A63">
            <w:pPr>
              <w:numPr>
                <w:ilvl w:val="1"/>
                <w:numId w:val="19"/>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Note: The SSB block is assumed to be within DL subband</w:t>
            </w:r>
          </w:p>
        </w:tc>
      </w:tr>
    </w:tbl>
    <w:p w:rsidR="001F6901" w:rsidRDefault="001F6901" w:rsidP="001F6901">
      <w:pPr>
        <w:spacing w:beforeLines="50" w:before="120"/>
      </w:pPr>
      <w:r w:rsidRPr="003E1D5A">
        <w:t>In Rel-18 TR 38.858, it was studied whether the UL subband can be configured in an SSB symbol, and it was agreed that a</w:t>
      </w:r>
      <w:r>
        <w:t>n</w:t>
      </w:r>
      <w:r w:rsidRPr="003E1D5A">
        <w:t xml:space="preserve"> UL subband can indeed be configured in an SSB symbol. However, it was </w:t>
      </w:r>
      <w:r>
        <w:t xml:space="preserve">found </w:t>
      </w:r>
      <w:r w:rsidRPr="003E1D5A">
        <w:t>that if SBFD-aware UEs are allowed not to receive in the DL subband during the SSB symbol, the negative impact on SSB detection and measurement can be avoided, but UL performance may be degraded due to fewer UL opportunities. Furthermore, if an SBFD-aware UE is allowed to transmit in the SSB symbol, the UE may only transmit UL in a UL subband depending on gNB scheduling/configuration, UE measurement, or priority rules. There may be a negative impact on SSB detection and measurement if the SBFD-aware UE is requested to transmit in the SSB symbol.</w:t>
      </w:r>
      <w:r>
        <w:t xml:space="preserve"> In addition</w:t>
      </w:r>
      <w:r w:rsidRPr="003E1D5A">
        <w:t>, if DL receptions are allowed within DL usable PRBs in the SSB symbols, it will degrade the SSB detection and create new cas</w:t>
      </w:r>
      <w:r>
        <w:t>es of collision between SSB and other DL channels/signals</w:t>
      </w:r>
      <w:r w:rsidRPr="003E1D5A">
        <w:t>.</w:t>
      </w:r>
    </w:p>
    <w:p w:rsidR="001F6901" w:rsidRPr="00CE4C60" w:rsidRDefault="001F6901" w:rsidP="001F6901">
      <w:pPr>
        <w:spacing w:beforeLines="50" w:before="120"/>
        <w:rPr>
          <w:b/>
          <w:i/>
        </w:rPr>
      </w:pPr>
      <w:r w:rsidRPr="00CE4C60">
        <w:rPr>
          <w:b/>
          <w:i/>
        </w:rPr>
        <w:t>Observation</w:t>
      </w:r>
      <w:r w:rsidR="00142DF5">
        <w:rPr>
          <w:b/>
          <w:i/>
        </w:rPr>
        <w:t xml:space="preserve"> 4</w:t>
      </w:r>
      <w:r w:rsidRPr="00CE4C60">
        <w:rPr>
          <w:b/>
          <w:i/>
        </w:rPr>
        <w:t>: If DL receptions are allowed within DL usable PRBs in the SSB symbols, it will degrade the SSB detection and create new cases of collision between SSB and other DL channels/signals.</w:t>
      </w:r>
    </w:p>
    <w:p w:rsidR="001F6901" w:rsidRPr="009200CF" w:rsidRDefault="001F6901" w:rsidP="009200CF">
      <w:pPr>
        <w:rPr>
          <w:rFonts w:eastAsiaTheme="minorEastAsia"/>
          <w:b/>
          <w:lang w:eastAsia="zh-CN"/>
        </w:rPr>
      </w:pPr>
    </w:p>
    <w:p w:rsidR="002B1540" w:rsidRDefault="00786533" w:rsidP="00721AAA">
      <w:pPr>
        <w:pStyle w:val="Heading1"/>
        <w:rPr>
          <w:lang w:eastAsia="zh-CN"/>
        </w:rPr>
      </w:pPr>
      <w:r>
        <w:rPr>
          <w:lang w:eastAsia="zh-CN"/>
        </w:rPr>
        <w:t xml:space="preserve">Separate resources, FH, UL power control and beam relation in </w:t>
      </w:r>
      <w:r w:rsidR="002B1540">
        <w:rPr>
          <w:lang w:eastAsia="zh-CN"/>
        </w:rPr>
        <w:t>SBFD and non-SBFD symbols</w:t>
      </w:r>
    </w:p>
    <w:p w:rsidR="00E319F8" w:rsidRDefault="0004406E" w:rsidP="00E319F8">
      <w:pPr>
        <w:pStyle w:val="Heading3"/>
      </w:pPr>
      <w:r>
        <w:t xml:space="preserve">Configuration of </w:t>
      </w:r>
      <w:r w:rsidR="001132C4">
        <w:t xml:space="preserve">FH for PUSCH </w:t>
      </w:r>
      <w:r w:rsidR="00E319F8">
        <w:t xml:space="preserve">in SBFD and non-SBFD symbols </w:t>
      </w:r>
    </w:p>
    <w:p w:rsidR="004C6640" w:rsidRPr="000B771E" w:rsidRDefault="009407A6" w:rsidP="000B771E">
      <w:pPr>
        <w:suppressAutoHyphens/>
        <w:spacing w:after="50"/>
        <w:rPr>
          <w:rFonts w:eastAsiaTheme="minorEastAsia"/>
          <w:lang w:eastAsia="zh-CN"/>
        </w:rPr>
      </w:pPr>
      <w:r>
        <w:t>In RAN1#120</w:t>
      </w:r>
      <w:r w:rsidR="009661D8">
        <w:t xml:space="preserve"> meeting, regarding the configuration of FH offset list for PUSCH in SBFD symbols and non-SBFD the following </w:t>
      </w:r>
      <w:r>
        <w:t xml:space="preserve">agreement was reached. </w:t>
      </w:r>
    </w:p>
    <w:tbl>
      <w:tblPr>
        <w:tblStyle w:val="TableGrid"/>
        <w:tblW w:w="0" w:type="auto"/>
        <w:tblLook w:val="04A0" w:firstRow="1" w:lastRow="0" w:firstColumn="1" w:lastColumn="0" w:noHBand="0" w:noVBand="1"/>
      </w:tblPr>
      <w:tblGrid>
        <w:gridCol w:w="9307"/>
      </w:tblGrid>
      <w:tr w:rsidR="004C6640" w:rsidTr="004C6640">
        <w:tc>
          <w:tcPr>
            <w:tcW w:w="9307" w:type="dxa"/>
          </w:tcPr>
          <w:p w:rsidR="009407A6" w:rsidRDefault="009407A6" w:rsidP="009407A6">
            <w:pPr>
              <w:rPr>
                <w:rFonts w:eastAsiaTheme="minorEastAsia"/>
                <w:b/>
                <w:lang w:eastAsia="zh-CN"/>
              </w:rPr>
            </w:pPr>
            <w:r w:rsidRPr="00AA334F">
              <w:rPr>
                <w:rFonts w:eastAsiaTheme="minorEastAsia" w:hint="eastAsia"/>
                <w:b/>
                <w:highlight w:val="green"/>
                <w:lang w:eastAsia="zh-CN"/>
              </w:rPr>
              <w:t>Agreement</w:t>
            </w:r>
          </w:p>
          <w:p w:rsidR="009407A6" w:rsidRPr="009871BA" w:rsidRDefault="009407A6" w:rsidP="009407A6">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rsidR="009407A6" w:rsidRPr="009871BA" w:rsidRDefault="009407A6" w:rsidP="009407A6">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rsidR="00A52131" w:rsidRPr="00DE2C8A" w:rsidRDefault="00A52131" w:rsidP="00721AAA">
            <w:pPr>
              <w:overflowPunct w:val="0"/>
              <w:snapToGrid/>
              <w:spacing w:after="0"/>
              <w:contextualSpacing/>
              <w:textAlignment w:val="baseline"/>
              <w:rPr>
                <w:rFonts w:eastAsiaTheme="minorEastAsia"/>
                <w:lang w:eastAsia="zh-CN"/>
              </w:rPr>
            </w:pPr>
          </w:p>
        </w:tc>
      </w:tr>
    </w:tbl>
    <w:p w:rsidR="009661D8" w:rsidRDefault="009661D8" w:rsidP="009661D8">
      <w:pPr>
        <w:rPr>
          <w:rFonts w:eastAsiaTheme="minorEastAsia"/>
          <w:lang w:eastAsia="zh-CN"/>
        </w:rPr>
      </w:pPr>
    </w:p>
    <w:p w:rsidR="009661D8" w:rsidRPr="009661D8" w:rsidRDefault="009661D8" w:rsidP="009661D8">
      <w:pPr>
        <w:rPr>
          <w:rFonts w:eastAsiaTheme="minorEastAsia"/>
          <w:lang w:eastAsia="zh-CN"/>
        </w:rPr>
      </w:pPr>
      <w:r w:rsidRPr="009661D8">
        <w:rPr>
          <w:rFonts w:eastAsiaTheme="minorEastAsia"/>
          <w:lang w:eastAsia="zh-CN"/>
        </w:rPr>
        <w:t xml:space="preserve">In our view, the FH offset or FH offset list is typically configured separately for SBFD symbols and non-SBFD symbols. However, if an SBFD-aware UE is configured with an FH offset list for PUSCH in non-SBFD symbols but not for SBFD symbols, the UE would need to determine whether the PUSCH transmissions partially or entirely fall outside the UL usable </w:t>
      </w:r>
      <w:r w:rsidR="0089139E">
        <w:rPr>
          <w:rFonts w:eastAsiaTheme="minorEastAsia"/>
          <w:lang w:eastAsia="zh-CN"/>
        </w:rPr>
        <w:t>P</w:t>
      </w:r>
      <w:r w:rsidRPr="009661D8">
        <w:rPr>
          <w:rFonts w:eastAsiaTheme="minorEastAsia"/>
          <w:lang w:eastAsia="zh-CN"/>
        </w:rPr>
        <w:t xml:space="preserve">RBs in SBFD symbols, or whether they entirely fall within the UL usable </w:t>
      </w:r>
      <w:r w:rsidR="0089139E">
        <w:rPr>
          <w:rFonts w:eastAsiaTheme="minorEastAsia"/>
          <w:lang w:eastAsia="zh-CN"/>
        </w:rPr>
        <w:t>P</w:t>
      </w:r>
      <w:r w:rsidRPr="009661D8">
        <w:rPr>
          <w:rFonts w:eastAsiaTheme="minorEastAsia"/>
          <w:lang w:eastAsia="zh-CN"/>
        </w:rPr>
        <w:t>RBs in SBFD symbols. This adds complexity to the UE's behavior. To simplify, in such cases, FH is disabled for PUSCH transmissions in SBFD symbols.</w:t>
      </w:r>
    </w:p>
    <w:p w:rsidR="009661D8" w:rsidRPr="00175864" w:rsidRDefault="00175864" w:rsidP="00175864">
      <w:pPr>
        <w:rPr>
          <w:rFonts w:eastAsiaTheme="minorEastAsia"/>
          <w:b/>
          <w:i/>
          <w:lang w:eastAsia="zh-CN"/>
        </w:rPr>
      </w:pPr>
      <w:r w:rsidRPr="00175864">
        <w:rPr>
          <w:rFonts w:eastAsiaTheme="minorEastAsia"/>
          <w:b/>
          <w:i/>
          <w:lang w:eastAsia="zh-CN"/>
        </w:rPr>
        <w:t>Observation</w:t>
      </w:r>
      <w:r w:rsidR="00142DF5">
        <w:rPr>
          <w:rFonts w:eastAsiaTheme="minorEastAsia"/>
          <w:b/>
          <w:i/>
          <w:lang w:eastAsia="zh-CN"/>
        </w:rPr>
        <w:t xml:space="preserve"> 5</w:t>
      </w:r>
      <w:r w:rsidRPr="00175864">
        <w:rPr>
          <w:rFonts w:eastAsiaTheme="minorEastAsia"/>
          <w:b/>
          <w:i/>
          <w:lang w:eastAsia="zh-CN"/>
        </w:rPr>
        <w:t xml:space="preserve">: </w:t>
      </w:r>
      <w:r w:rsidR="009661D8" w:rsidRPr="00175864">
        <w:rPr>
          <w:rFonts w:eastAsiaTheme="minorEastAsia" w:hint="eastAsia"/>
          <w:b/>
          <w:i/>
          <w:lang w:eastAsia="zh-CN"/>
        </w:rPr>
        <w:t xml:space="preserve">If an SBFD aware UE is configured </w:t>
      </w:r>
      <w:r w:rsidR="009661D8" w:rsidRPr="00175864">
        <w:rPr>
          <w:rFonts w:eastAsiaTheme="minorEastAsia"/>
          <w:b/>
          <w:i/>
          <w:lang w:eastAsia="zh-CN"/>
        </w:rPr>
        <w:t>with</w:t>
      </w:r>
      <w:r w:rsidR="009661D8" w:rsidRPr="00175864">
        <w:rPr>
          <w:rFonts w:eastAsiaTheme="minorEastAsia" w:hint="eastAsia"/>
          <w:b/>
          <w:i/>
          <w:lang w:eastAsia="zh-CN"/>
        </w:rPr>
        <w:t xml:space="preserve"> FH offset list for PUSCH for non-SBFD symbols but not configured </w:t>
      </w:r>
      <w:r w:rsidR="009661D8" w:rsidRPr="00175864">
        <w:rPr>
          <w:rFonts w:eastAsiaTheme="minorEastAsia"/>
          <w:b/>
          <w:i/>
          <w:lang w:eastAsia="zh-CN"/>
        </w:rPr>
        <w:t>with</w:t>
      </w:r>
      <w:r w:rsidR="009661D8" w:rsidRPr="00175864">
        <w:rPr>
          <w:rFonts w:eastAsiaTheme="minorEastAsia" w:hint="eastAsia"/>
          <w:b/>
          <w:i/>
          <w:lang w:eastAsia="zh-CN"/>
        </w:rPr>
        <w:t xml:space="preserve"> FH offset list for PUSCH for SBFD symbols, FH is disabled for PUSCH </w:t>
      </w:r>
      <w:r w:rsidR="009661D8" w:rsidRPr="00175864">
        <w:rPr>
          <w:rFonts w:eastAsiaTheme="minorEastAsia"/>
          <w:b/>
          <w:i/>
          <w:lang w:eastAsia="zh-CN"/>
        </w:rPr>
        <w:t>transmissions</w:t>
      </w:r>
      <w:r w:rsidR="009661D8" w:rsidRPr="00175864">
        <w:rPr>
          <w:rFonts w:eastAsiaTheme="minorEastAsia" w:hint="eastAsia"/>
          <w:b/>
          <w:i/>
          <w:lang w:eastAsia="zh-CN"/>
        </w:rPr>
        <w:t xml:space="preserve"> in SBFD symbols.</w:t>
      </w:r>
    </w:p>
    <w:p w:rsidR="005D5ED3" w:rsidRPr="009661D8" w:rsidRDefault="005D5ED3" w:rsidP="00D817D5">
      <w:pPr>
        <w:overflowPunct w:val="0"/>
        <w:snapToGrid/>
        <w:spacing w:after="0"/>
        <w:contextualSpacing/>
        <w:textAlignment w:val="baseline"/>
        <w:rPr>
          <w:rFonts w:eastAsia="Malgun Gothic"/>
          <w:lang w:eastAsia="ko-KR"/>
        </w:rPr>
      </w:pPr>
    </w:p>
    <w:p w:rsidR="00491F1E" w:rsidRPr="00491F1E" w:rsidRDefault="00E319F8" w:rsidP="00491F1E">
      <w:pPr>
        <w:pStyle w:val="Heading3"/>
        <w:tabs>
          <w:tab w:val="clear" w:pos="900"/>
        </w:tabs>
        <w:ind w:left="720"/>
        <w:rPr>
          <w:b w:val="0"/>
        </w:rPr>
      </w:pPr>
      <w:r>
        <w:t xml:space="preserve">Separate </w:t>
      </w:r>
      <w:r w:rsidR="00B15E75">
        <w:t>FH for PUC</w:t>
      </w:r>
      <w:r w:rsidR="001132C4">
        <w:t xml:space="preserve">CH in SBFD and non-SBFD symbols </w:t>
      </w:r>
    </w:p>
    <w:p w:rsidR="00491F1E" w:rsidRPr="00491F1E" w:rsidRDefault="00175864" w:rsidP="00631EFD">
      <w:pPr>
        <w:suppressAutoHyphens/>
        <w:spacing w:after="50"/>
      </w:pPr>
      <w:r>
        <w:t>In the RAN1#120</w:t>
      </w:r>
      <w:r w:rsidR="00491F1E" w:rsidRPr="00491F1E">
        <w:t xml:space="preserve"> meet</w:t>
      </w:r>
      <w:r>
        <w:t>ing, the following</w:t>
      </w:r>
      <w:r w:rsidR="00491F1E" w:rsidRPr="00491F1E">
        <w:t xml:space="preserve"> agreement was reached regarding the FH offset for PUCCH in SBFD and non-SBFD symbols. </w:t>
      </w:r>
    </w:p>
    <w:tbl>
      <w:tblPr>
        <w:tblStyle w:val="TableGrid"/>
        <w:tblW w:w="0" w:type="auto"/>
        <w:tblLook w:val="04A0" w:firstRow="1" w:lastRow="0" w:firstColumn="1" w:lastColumn="0" w:noHBand="0" w:noVBand="1"/>
      </w:tblPr>
      <w:tblGrid>
        <w:gridCol w:w="9307"/>
      </w:tblGrid>
      <w:tr w:rsidR="00631EFD" w:rsidTr="00631EFD">
        <w:tc>
          <w:tcPr>
            <w:tcW w:w="9307" w:type="dxa"/>
          </w:tcPr>
          <w:p w:rsidR="00175864" w:rsidRDefault="00175864" w:rsidP="00175864">
            <w:pPr>
              <w:rPr>
                <w:rFonts w:eastAsiaTheme="minorEastAsia"/>
                <w:b/>
                <w:lang w:eastAsia="zh-CN"/>
              </w:rPr>
            </w:pPr>
            <w:r w:rsidRPr="00D04258">
              <w:rPr>
                <w:rFonts w:eastAsiaTheme="minorEastAsia" w:hint="eastAsia"/>
                <w:b/>
                <w:highlight w:val="green"/>
                <w:lang w:eastAsia="zh-CN"/>
              </w:rPr>
              <w:t>Agreement</w:t>
            </w:r>
          </w:p>
          <w:p w:rsidR="00721AAA" w:rsidRPr="00175864" w:rsidRDefault="00175864" w:rsidP="00175864">
            <w:pPr>
              <w:tabs>
                <w:tab w:val="left" w:pos="0"/>
              </w:tabs>
            </w:pPr>
            <w:r>
              <w:t xml:space="preserve">The one configuration of </w:t>
            </w:r>
            <w:r w:rsidRPr="00414070">
              <w:rPr>
                <w:rFonts w:eastAsia="Malgun Gothic" w:hint="eastAsia"/>
                <w:i/>
              </w:rPr>
              <w:t>intraSlotFrequencyHopping</w:t>
            </w:r>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r w:rsidRPr="00414070">
              <w:rPr>
                <w:i/>
              </w:rPr>
              <w:t>pucch-ResourceId</w:t>
            </w:r>
            <w:r w:rsidRPr="00414070">
              <w:rPr>
                <w:rFonts w:eastAsia="Malgun Gothic"/>
                <w:iCs/>
              </w:rPr>
              <w:t>.</w:t>
            </w:r>
          </w:p>
        </w:tc>
      </w:tr>
    </w:tbl>
    <w:p w:rsidR="0024412B" w:rsidRDefault="0024412B" w:rsidP="001132C4">
      <w:pPr>
        <w:rPr>
          <w:rFonts w:eastAsia="Malgun Gothic"/>
          <w:bCs/>
          <w:szCs w:val="20"/>
        </w:rPr>
      </w:pPr>
    </w:p>
    <w:p w:rsidR="001132C4" w:rsidRPr="00975E57" w:rsidRDefault="00975E57" w:rsidP="001132C4">
      <w:pPr>
        <w:rPr>
          <w:rFonts w:eastAsia="Malgun Gothic"/>
        </w:rPr>
      </w:pPr>
      <w:r>
        <w:rPr>
          <w:rFonts w:eastAsia="Malgun Gothic"/>
        </w:rPr>
        <w:t>For PUCCH in configuration 1, PUCCH transmission</w:t>
      </w:r>
      <w:r w:rsidRPr="00975E57">
        <w:rPr>
          <w:rFonts w:eastAsia="Malgun Gothic"/>
        </w:rPr>
        <w:t xml:space="preserve"> are restricted to either SBFD symbols or non-SBFD symbols, removing the need for intra-slo</w:t>
      </w:r>
      <w:r>
        <w:rPr>
          <w:rFonts w:eastAsia="Malgun Gothic"/>
        </w:rPr>
        <w:t>t frequency hopping. In</w:t>
      </w:r>
      <w:r w:rsidRPr="00975E57">
        <w:rPr>
          <w:rFonts w:eastAsia="Malgun Gothic"/>
        </w:rPr>
        <w:t xml:space="preserve"> configuration 2, a single IntraSlotFrequencyHopping can </w:t>
      </w:r>
      <w:r>
        <w:rPr>
          <w:rFonts w:eastAsia="Malgun Gothic"/>
        </w:rPr>
        <w:t>enable</w:t>
      </w:r>
      <w:r w:rsidRPr="00975E57">
        <w:rPr>
          <w:rFonts w:eastAsia="Malgun Gothic"/>
        </w:rPr>
        <w:t xml:space="preserve"> frequency hopping for PUCCH across SBFD and non-SBFD symbols. </w:t>
      </w:r>
      <w:r w:rsidR="00386325">
        <w:rPr>
          <w:rFonts w:eastAsia="Malgun Gothic"/>
        </w:rPr>
        <w:t>However, in configuration 2, for</w:t>
      </w:r>
      <w:r w:rsidRPr="00975E57">
        <w:rPr>
          <w:rFonts w:eastAsia="Malgun Gothic"/>
        </w:rPr>
        <w:t xml:space="preserve"> a PUCCH-resourceSetId, the StartingPRB and secondHopPRB for PUCCH in non-SBFD symbols </w:t>
      </w:r>
      <w:r w:rsidR="00386325">
        <w:rPr>
          <w:rFonts w:eastAsia="Malgun Gothic"/>
        </w:rPr>
        <w:t>is different</w:t>
      </w:r>
      <w:r w:rsidRPr="00975E57">
        <w:rPr>
          <w:rFonts w:eastAsia="Malgun Gothic"/>
        </w:rPr>
        <w:t xml:space="preserve"> from those in SBFD symbols. If a single StartingPRB and secondHopPRB are applied to PUCCH in both SBFD and non-SBFD symbols, it could result in the first and second hops of PUCCH falling outside the usable PRBs of the UL subband. Therefore, it is </w:t>
      </w:r>
      <w:r w:rsidR="00386325">
        <w:rPr>
          <w:rFonts w:eastAsia="Malgun Gothic"/>
        </w:rPr>
        <w:t>essential to consider separate s</w:t>
      </w:r>
      <w:r w:rsidRPr="00975E57">
        <w:rPr>
          <w:rFonts w:eastAsia="Malgun Gothic"/>
        </w:rPr>
        <w:t>tartingPRB and secondHopPRB configurations within a PUCCH resource</w:t>
      </w:r>
      <w:r w:rsidR="00B372D2">
        <w:rPr>
          <w:rFonts w:eastAsia="Malgun Gothic"/>
        </w:rPr>
        <w:t xml:space="preserve">Id </w:t>
      </w:r>
      <w:r w:rsidRPr="00975E57">
        <w:rPr>
          <w:rFonts w:eastAsia="Malgun Gothic"/>
        </w:rPr>
        <w:t xml:space="preserve"> for SBFD and non-SBFD symbols.</w:t>
      </w:r>
      <w:r>
        <w:rPr>
          <w:rFonts w:eastAsia="Malgun Gothic"/>
        </w:rPr>
        <w:t xml:space="preserve"> </w:t>
      </w:r>
    </w:p>
    <w:p w:rsidR="00F74972" w:rsidRDefault="00B15E75" w:rsidP="00631EFD">
      <w:pPr>
        <w:rPr>
          <w:rFonts w:eastAsia="Malgun Gothic"/>
          <w:bCs/>
          <w:szCs w:val="20"/>
        </w:rPr>
      </w:pPr>
      <w:r>
        <w:rPr>
          <w:rFonts w:eastAsia="Times New Roman"/>
          <w:b/>
          <w:color w:val="000000"/>
        </w:rPr>
        <w:t>Proposal</w:t>
      </w:r>
      <w:r w:rsidR="00A1121C">
        <w:rPr>
          <w:rFonts w:eastAsia="Times New Roman"/>
          <w:b/>
          <w:color w:val="000000"/>
        </w:rPr>
        <w:t xml:space="preserve"> 4</w:t>
      </w:r>
      <w:r w:rsidR="00386325">
        <w:rPr>
          <w:rFonts w:eastAsia="Times New Roman"/>
          <w:b/>
          <w:color w:val="000000"/>
        </w:rPr>
        <w:t>: Consider separate</w:t>
      </w:r>
      <w:r>
        <w:rPr>
          <w:rFonts w:eastAsia="Times New Roman"/>
          <w:b/>
          <w:color w:val="000000"/>
        </w:rPr>
        <w:t xml:space="preserve"> </w:t>
      </w:r>
      <w:r w:rsidR="00386325" w:rsidRPr="00B372D2">
        <w:rPr>
          <w:rFonts w:eastAsia="Times New Roman"/>
          <w:b/>
          <w:i/>
          <w:color w:val="000000"/>
        </w:rPr>
        <w:t>startingPRB</w:t>
      </w:r>
      <w:r w:rsidR="00386325">
        <w:rPr>
          <w:rFonts w:eastAsia="Times New Roman"/>
          <w:b/>
          <w:color w:val="000000"/>
        </w:rPr>
        <w:t xml:space="preserve"> and </w:t>
      </w:r>
      <w:r w:rsidR="00386325" w:rsidRPr="00B372D2">
        <w:rPr>
          <w:rFonts w:eastAsia="Times New Roman"/>
          <w:b/>
          <w:i/>
          <w:color w:val="000000"/>
        </w:rPr>
        <w:t>secondHopPRB</w:t>
      </w:r>
      <w:r w:rsidR="00386325">
        <w:rPr>
          <w:rFonts w:eastAsia="Times New Roman"/>
          <w:b/>
          <w:color w:val="000000"/>
        </w:rPr>
        <w:t xml:space="preserve"> within a </w:t>
      </w:r>
      <w:r w:rsidR="00386325" w:rsidRPr="00B372D2">
        <w:rPr>
          <w:rFonts w:eastAsia="Times New Roman"/>
          <w:b/>
          <w:i/>
          <w:color w:val="000000"/>
        </w:rPr>
        <w:t>PUCCH-resoruceId</w:t>
      </w:r>
      <w:r w:rsidR="00386325">
        <w:rPr>
          <w:rFonts w:eastAsia="Times New Roman"/>
          <w:b/>
          <w:color w:val="000000"/>
        </w:rPr>
        <w:t xml:space="preserve"> for PUCCH FH in SBFD and non-SBFD symbols. </w:t>
      </w:r>
      <w:r>
        <w:rPr>
          <w:rFonts w:eastAsia="Malgun Gothic"/>
          <w:bCs/>
          <w:szCs w:val="20"/>
        </w:rPr>
        <w:t xml:space="preserve"> </w:t>
      </w:r>
    </w:p>
    <w:p w:rsidR="00386325" w:rsidRPr="00A1121C" w:rsidRDefault="00386325" w:rsidP="00631EFD">
      <w:pPr>
        <w:rPr>
          <w:rFonts w:eastAsia="Malgun Gothic"/>
          <w:bCs/>
          <w:szCs w:val="20"/>
        </w:rPr>
      </w:pPr>
    </w:p>
    <w:p w:rsidR="00E319F8" w:rsidRDefault="00E319F8" w:rsidP="00E319F8">
      <w:pPr>
        <w:pStyle w:val="Heading3"/>
      </w:pPr>
      <w:r>
        <w:t xml:space="preserve">Separate </w:t>
      </w:r>
      <w:r w:rsidR="007F3A1F">
        <w:t xml:space="preserve">UL </w:t>
      </w:r>
      <w:r>
        <w:t>power control</w:t>
      </w:r>
      <w:r w:rsidR="00544C2B">
        <w:t xml:space="preserve"> in unified TCI frame work for</w:t>
      </w:r>
      <w:r>
        <w:t xml:space="preserve"> SRS, PUCCH and PUSCH</w:t>
      </w:r>
      <w:r w:rsidR="00544C2B">
        <w:t xml:space="preserve"> in SBFD and non-SBFD symbols</w:t>
      </w:r>
    </w:p>
    <w:p w:rsidR="00544C2B" w:rsidRDefault="00544C2B" w:rsidP="004D6F1A">
      <w:pPr>
        <w:suppressAutoHyphens/>
        <w:spacing w:after="50"/>
        <w:rPr>
          <w:rFonts w:eastAsiaTheme="minorEastAsia"/>
          <w:lang w:eastAsia="zh-CN"/>
        </w:rPr>
      </w:pPr>
      <w:r>
        <w:t>In RAN1#</w:t>
      </w:r>
      <w:r w:rsidR="009F1481">
        <w:t>119 meeting</w:t>
      </w:r>
      <w:r w:rsidR="004618E4">
        <w:t xml:space="preserve"> [2</w:t>
      </w:r>
      <w:r>
        <w:t>], for</w:t>
      </w:r>
      <w:r w:rsidR="004D6F1A">
        <w:t xml:space="preserve"> </w:t>
      </w:r>
      <w:r>
        <w:rPr>
          <w:rFonts w:eastAsiaTheme="minorEastAsia"/>
          <w:lang w:eastAsia="zh-CN"/>
        </w:rPr>
        <w:t>separate UL power control of</w:t>
      </w:r>
      <w:r w:rsidR="004D6F1A">
        <w:rPr>
          <w:rFonts w:eastAsiaTheme="minorEastAsia"/>
          <w:lang w:eastAsia="zh-CN"/>
        </w:rPr>
        <w:t xml:space="preserve"> PUSCH, PUCCH, and SRS</w:t>
      </w:r>
      <w:r>
        <w:rPr>
          <w:rFonts w:eastAsiaTheme="minorEastAsia"/>
          <w:lang w:eastAsia="zh-CN"/>
        </w:rPr>
        <w:t xml:space="preserve"> in SBFD and non-SBFD symbols, </w:t>
      </w:r>
      <w:r w:rsidR="009F1481">
        <w:rPr>
          <w:rFonts w:eastAsiaTheme="minorEastAsia"/>
          <w:lang w:eastAsia="zh-CN"/>
        </w:rPr>
        <w:t xml:space="preserve">option 2 were agreed as given below. </w:t>
      </w:r>
    </w:p>
    <w:tbl>
      <w:tblPr>
        <w:tblStyle w:val="TableGrid"/>
        <w:tblW w:w="0" w:type="auto"/>
        <w:tblLook w:val="04A0" w:firstRow="1" w:lastRow="0" w:firstColumn="1" w:lastColumn="0" w:noHBand="0" w:noVBand="1"/>
      </w:tblPr>
      <w:tblGrid>
        <w:gridCol w:w="9307"/>
      </w:tblGrid>
      <w:tr w:rsidR="004D6F1A" w:rsidTr="00107D8A">
        <w:tc>
          <w:tcPr>
            <w:tcW w:w="9307" w:type="dxa"/>
          </w:tcPr>
          <w:p w:rsidR="00721AAA" w:rsidRDefault="00721AAA" w:rsidP="00721AAA">
            <w:pPr>
              <w:rPr>
                <w:rFonts w:eastAsiaTheme="minorEastAsia"/>
                <w:b/>
                <w:lang w:eastAsia="zh-CN"/>
              </w:rPr>
            </w:pPr>
            <w:r w:rsidRPr="009662C9">
              <w:rPr>
                <w:rFonts w:eastAsiaTheme="minorEastAsia" w:hint="eastAsia"/>
                <w:b/>
                <w:highlight w:val="green"/>
                <w:lang w:eastAsia="zh-CN"/>
              </w:rPr>
              <w:t>Agreement</w:t>
            </w:r>
          </w:p>
          <w:p w:rsidR="00721AAA" w:rsidRPr="009F1481" w:rsidRDefault="00721AAA" w:rsidP="00721AAA">
            <w:pPr>
              <w:rPr>
                <w:rFonts w:eastAsiaTheme="minorEastAsia"/>
                <w:lang w:eastAsia="zh-CN"/>
              </w:rPr>
            </w:pPr>
            <w:r w:rsidRPr="009F1481">
              <w:rPr>
                <w:rFonts w:eastAsiaTheme="minorEastAsia" w:hint="eastAsia"/>
                <w:lang w:eastAsia="zh-CN"/>
              </w:rPr>
              <w:t xml:space="preserve">For a single TRP scenario, </w:t>
            </w:r>
            <w:r w:rsidRPr="009F1481">
              <w:rPr>
                <w:rFonts w:eastAsia="Malgun Gothic" w:hint="eastAsia"/>
              </w:rPr>
              <w:t>for separate UL power control for PUSCH/PUCCH/SRS transmissions in SBFD symbols and non-SBFD symbols based on unified TCI state framework</w:t>
            </w:r>
            <w:r w:rsidRPr="009F1481">
              <w:rPr>
                <w:rFonts w:eastAsiaTheme="minorEastAsia" w:hint="eastAsia"/>
                <w:lang w:eastAsia="zh-CN"/>
              </w:rPr>
              <w:t xml:space="preserve">, </w:t>
            </w:r>
          </w:p>
          <w:p w:rsidR="00721AAA" w:rsidRPr="009F1481" w:rsidRDefault="00721AAA" w:rsidP="00721AAA">
            <w:pPr>
              <w:pStyle w:val="ListParagraph"/>
              <w:numPr>
                <w:ilvl w:val="0"/>
                <w:numId w:val="10"/>
              </w:numPr>
              <w:tabs>
                <w:tab w:val="left" w:pos="0"/>
              </w:tabs>
              <w:jc w:val="both"/>
              <w:rPr>
                <w:rFonts w:ascii="Times New Roman" w:eastAsiaTheme="minorEastAsia" w:hAnsi="Times New Roman"/>
                <w:sz w:val="22"/>
                <w:szCs w:val="22"/>
                <w:lang w:eastAsia="zh-CN"/>
              </w:rPr>
            </w:pPr>
            <w:r w:rsidRPr="009F1481">
              <w:rPr>
                <w:rFonts w:ascii="Times New Roman" w:eastAsiaTheme="minorEastAsia" w:hAnsi="Times New Roman" w:hint="eastAsia"/>
                <w:sz w:val="22"/>
                <w:szCs w:val="22"/>
                <w:lang w:eastAsia="zh-CN"/>
              </w:rPr>
              <w:t xml:space="preserve">Option 2: </w:t>
            </w:r>
            <w:r w:rsidRPr="009F1481">
              <w:rPr>
                <w:rFonts w:ascii="Times New Roman" w:eastAsiaTheme="minorEastAsia" w:hAnsi="Times New Roman"/>
                <w:sz w:val="22"/>
                <w:szCs w:val="22"/>
                <w:lang w:eastAsia="zh-CN"/>
              </w:rPr>
              <w:t>Same unified TCI state is associated with separate UL power control parameters for SBFD symbols and non-SBFD symbols</w:t>
            </w:r>
          </w:p>
          <w:p w:rsidR="00721AAA" w:rsidRPr="009F1481" w:rsidRDefault="00721AAA" w:rsidP="00721AAA">
            <w:pPr>
              <w:numPr>
                <w:ilvl w:val="1"/>
                <w:numId w:val="17"/>
              </w:numPr>
              <w:autoSpaceDE/>
              <w:autoSpaceDN/>
              <w:adjustRightInd/>
              <w:snapToGrid/>
              <w:spacing w:after="0"/>
              <w:jc w:val="left"/>
              <w:rPr>
                <w:rFonts w:eastAsiaTheme="minorEastAsia"/>
                <w:lang w:eastAsia="zh-CN"/>
              </w:rPr>
            </w:pPr>
            <w:r w:rsidRPr="009F1481">
              <w:rPr>
                <w:rFonts w:eastAsiaTheme="minorEastAsia" w:hint="eastAsia"/>
                <w:lang w:eastAsia="zh-CN"/>
              </w:rPr>
              <w:t>New P0AlphaSets are introduced in Uplink-powerControl for SBFD symbols for PUSCH, PUCCH and SRS respectively</w:t>
            </w:r>
          </w:p>
          <w:p w:rsidR="004D6F1A" w:rsidRPr="00544C2B" w:rsidRDefault="004D6F1A" w:rsidP="00107D8A">
            <w:pPr>
              <w:rPr>
                <w:rFonts w:eastAsia="Malgun Gothic"/>
                <w:bCs/>
                <w:lang w:eastAsia="zh-CN"/>
              </w:rPr>
            </w:pPr>
          </w:p>
        </w:tc>
      </w:tr>
    </w:tbl>
    <w:p w:rsidR="00B678FD" w:rsidRDefault="00B678FD" w:rsidP="001818C1">
      <w:pPr>
        <w:rPr>
          <w:b/>
          <w:bCs/>
        </w:rPr>
      </w:pPr>
    </w:p>
    <w:p w:rsidR="00063D53" w:rsidRPr="003026E7" w:rsidRDefault="000A52C1" w:rsidP="003026E7">
      <w:r>
        <w:t xml:space="preserve">For Option 2, </w:t>
      </w:r>
      <w:r w:rsidR="00F3238D">
        <w:t>a unified TCI state</w:t>
      </w:r>
      <w:r w:rsidR="004330EA" w:rsidRPr="004330EA">
        <w:t xml:space="preserve"> enabling separate </w:t>
      </w:r>
      <w:r>
        <w:t>UL</w:t>
      </w:r>
      <w:r w:rsidR="004330EA" w:rsidRPr="004330EA">
        <w:t xml:space="preserve"> power control parameters for </w:t>
      </w:r>
      <w:r>
        <w:t xml:space="preserve">SRS, PUCCH and PUSCH in </w:t>
      </w:r>
      <w:r w:rsidR="004330EA" w:rsidRPr="004330EA">
        <w:t xml:space="preserve">SBFD and non-SBFD symbols. This approach provides flexibility in </w:t>
      </w:r>
      <w:r w:rsidR="00F3238D">
        <w:t xml:space="preserve">UL </w:t>
      </w:r>
      <w:r w:rsidR="004330EA" w:rsidRPr="004330EA">
        <w:t>power control without the need f</w:t>
      </w:r>
      <w:r w:rsidR="00F3238D">
        <w:t>or entirely separate TCI states</w:t>
      </w:r>
      <w:r w:rsidR="004330EA" w:rsidRPr="004330EA">
        <w:t xml:space="preserve">. By potentially introducing a new Uplink-powerControlId or new P0AlphaSets for SBFD symbols, </w:t>
      </w:r>
      <w:r>
        <w:t xml:space="preserve">the option 2 is able to provide separate UL power control </w:t>
      </w:r>
      <w:r w:rsidR="004330EA" w:rsidRPr="004330EA">
        <w:t>for PUSCH, PUCCH, and SRS transmissions</w:t>
      </w:r>
      <w:r>
        <w:t xml:space="preserve"> in SBFD symbols. </w:t>
      </w:r>
    </w:p>
    <w:p w:rsidR="007F3A1F" w:rsidRPr="00A11740" w:rsidRDefault="00713A5D" w:rsidP="00B678FD">
      <w:pPr>
        <w:rPr>
          <w:b/>
          <w:bCs/>
          <w:i/>
        </w:rPr>
      </w:pPr>
      <w:r w:rsidRPr="00713A5D">
        <w:rPr>
          <w:b/>
          <w:bCs/>
          <w:i/>
        </w:rPr>
        <w:t>Observation</w:t>
      </w:r>
      <w:r w:rsidR="00142DF5">
        <w:rPr>
          <w:b/>
          <w:bCs/>
          <w:i/>
        </w:rPr>
        <w:t xml:space="preserve"> 6</w:t>
      </w:r>
      <w:r w:rsidRPr="00713A5D">
        <w:rPr>
          <w:b/>
          <w:bCs/>
          <w:i/>
        </w:rPr>
        <w:t>: Option 2 is straightforward, as it uses a unified TCI state to enable separate UL power control for SBFD and non-SBFD symbols without requiring entirely separate TCI states.</w:t>
      </w:r>
    </w:p>
    <w:p w:rsidR="00544C2B" w:rsidRPr="00C72606" w:rsidRDefault="00544C2B" w:rsidP="00C72606">
      <w:pPr>
        <w:pStyle w:val="Heading3"/>
      </w:pPr>
      <w:r>
        <w:t>Beam Indication in unified TCI frame work for SRS, PUCCH and PUSCH in SBFD and non-SBFD symbols</w:t>
      </w:r>
    </w:p>
    <w:p w:rsidR="00544C2B" w:rsidRPr="000A13D1" w:rsidRDefault="00364268" w:rsidP="00544C2B">
      <w:r>
        <w:t>Beam measurement</w:t>
      </w:r>
      <w:r w:rsidR="00544C2B">
        <w:t>, remains unaffected by different interference levels and antenna configura</w:t>
      </w:r>
      <w:r w:rsidR="00C72606">
        <w:t>tions. Thus, it can be mea</w:t>
      </w:r>
      <w:r>
        <w:t xml:space="preserve">sured </w:t>
      </w:r>
      <w:r w:rsidR="00544C2B">
        <w:t xml:space="preserve"> in either SBFD or no</w:t>
      </w:r>
      <w:r w:rsidR="00805634">
        <w:t xml:space="preserve">n-SBFD symbols. In </w:t>
      </w:r>
      <w:r w:rsidR="00544C2B">
        <w:t>TDD, DL and UL transmissions are directly linked to their respective symbols, with TCI states associated accordingly. However, in SBFD operation, separate beam indication for DL/UL transmission in SBFD and non-SBFD symbols may require different TCI states, where the associated TCI indicates the DL/UL transmission in SBFD and non-SBFD symbols. However the legacy mechanism of unified TCI framework may not be</w:t>
      </w:r>
      <w:r w:rsidR="00C72606">
        <w:t xml:space="preserve"> able to indicate the association</w:t>
      </w:r>
      <w:r w:rsidR="00544C2B">
        <w:t xml:space="preserve"> between the TCI states and the DL/UL transmission in SBFD and non-SBFD symbols. </w:t>
      </w:r>
      <w:r w:rsidR="00544C2B" w:rsidRPr="000A13D1">
        <w:t xml:space="preserve">Therefore, the gNB should inform the UE about the association between TCI states and </w:t>
      </w:r>
      <w:r w:rsidR="00544C2B">
        <w:t xml:space="preserve">DL/UL transmissions for both </w:t>
      </w:r>
      <w:r w:rsidR="00544C2B" w:rsidRPr="000A13D1">
        <w:t xml:space="preserve">SBFD and </w:t>
      </w:r>
      <w:r w:rsidR="00544C2B">
        <w:t>non-</w:t>
      </w:r>
      <w:r w:rsidR="00544C2B" w:rsidRPr="000A13D1">
        <w:t xml:space="preserve">SBFD symbols. </w:t>
      </w:r>
      <w:r w:rsidR="00544C2B">
        <w:t>In our view, the following alternatives can be considered to indicate the association of TCI states and DL/UL transmission in SBFD and non-SBFD symbols:</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Alt1: RRC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2: MAC CE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3: A field in DCI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4: Pre-define a rule about the association.</w:t>
      </w:r>
    </w:p>
    <w:p w:rsidR="00364268" w:rsidRDefault="00364268" w:rsidP="003026E7">
      <w:pPr>
        <w:rPr>
          <w:rFonts w:cs="Calibri"/>
          <w:b/>
          <w:bCs/>
        </w:rPr>
      </w:pPr>
    </w:p>
    <w:p w:rsidR="00544C2B" w:rsidRDefault="00544C2B" w:rsidP="00544C2B">
      <w:pPr>
        <w:rPr>
          <w:b/>
          <w:i/>
        </w:rPr>
      </w:pPr>
      <w:r w:rsidRPr="00B678FD">
        <w:rPr>
          <w:b/>
          <w:i/>
        </w:rPr>
        <w:t>Observation</w:t>
      </w:r>
      <w:r w:rsidR="00142DF5">
        <w:rPr>
          <w:b/>
          <w:i/>
        </w:rPr>
        <w:t xml:space="preserve"> 7</w:t>
      </w:r>
      <w:r w:rsidRPr="00B678FD">
        <w:rPr>
          <w:b/>
          <w:i/>
        </w:rPr>
        <w:t>: The legacy mechanism of the unified TCI framework may not be able to indicate the association between the TCI states and the DL/UL transmission in SBFD and non-SBFD symbols.</w:t>
      </w:r>
    </w:p>
    <w:p w:rsidR="0068443C" w:rsidRPr="0068443C" w:rsidRDefault="0068443C" w:rsidP="00544C2B">
      <w:pPr>
        <w:rPr>
          <w:rFonts w:cs="Calibri"/>
          <w:b/>
          <w:bCs/>
        </w:rPr>
      </w:pPr>
      <w:r w:rsidRPr="003026E7">
        <w:rPr>
          <w:rFonts w:cs="Calibri" w:hint="eastAsia"/>
          <w:b/>
          <w:bCs/>
        </w:rPr>
        <w:t>Proposal</w:t>
      </w:r>
      <w:r w:rsidR="00A1121C">
        <w:rPr>
          <w:rFonts w:cs="Calibri"/>
          <w:b/>
          <w:bCs/>
        </w:rPr>
        <w:t xml:space="preserve"> 5</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544C2B" w:rsidRDefault="00544C2B" w:rsidP="00544C2B">
      <w:pPr>
        <w:rPr>
          <w:rFonts w:cs="Calibri"/>
          <w:b/>
          <w:bCs/>
        </w:rPr>
      </w:pPr>
      <w:r>
        <w:rPr>
          <w:rFonts w:cs="Calibri" w:hint="eastAsia"/>
          <w:b/>
          <w:bCs/>
        </w:rPr>
        <w:t>Proposal</w:t>
      </w:r>
      <w:r w:rsidR="00A1121C">
        <w:rPr>
          <w:rFonts w:cs="Calibri"/>
          <w:b/>
          <w:bCs/>
        </w:rPr>
        <w:t xml:space="preserve"> 6</w:t>
      </w:r>
      <w:r>
        <w:rPr>
          <w:rFonts w:cs="Calibri" w:hint="eastAsia"/>
          <w:b/>
          <w:bCs/>
        </w:rPr>
        <w:t>:</w:t>
      </w:r>
      <w:r>
        <w:rPr>
          <w:rFonts w:cs="Calibri"/>
          <w:b/>
          <w:bCs/>
        </w:rPr>
        <w:t xml:space="preserve"> For the association between TCI states and DL/UL transmission in SBFD and non-SBFD symbols, consider the following alternatives: </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A9061D" w:rsidRDefault="00A9061D" w:rsidP="006A12F0">
      <w:pPr>
        <w:rPr>
          <w:b/>
        </w:rPr>
      </w:pPr>
    </w:p>
    <w:p w:rsidR="00205820" w:rsidRDefault="00205820" w:rsidP="00205820">
      <w:pPr>
        <w:pStyle w:val="Heading1"/>
      </w:pPr>
      <w:r>
        <w:t>Conclusion</w:t>
      </w:r>
    </w:p>
    <w:p w:rsidR="003E1ED8" w:rsidRPr="00142DF5" w:rsidRDefault="00A033ED">
      <w:pPr>
        <w:rPr>
          <w:color w:val="000000" w:themeColor="text1"/>
        </w:rPr>
      </w:pPr>
      <w:r w:rsidRPr="002976C0">
        <w:rPr>
          <w:color w:val="000000" w:themeColor="text1"/>
        </w:rPr>
        <w:t xml:space="preserve">In </w:t>
      </w:r>
      <w:r w:rsidR="00012F35" w:rsidRPr="00012F35">
        <w:rPr>
          <w:color w:val="000000" w:themeColor="text1"/>
        </w:rPr>
        <w:t>this contribution, we discussed</w:t>
      </w:r>
      <w:r w:rsidR="00A1121C">
        <w:rPr>
          <w:color w:val="000000" w:themeColor="text1"/>
        </w:rPr>
        <w:t xml:space="preserve"> separate</w:t>
      </w:r>
      <w:r w:rsidR="00012F35" w:rsidRPr="00012F35">
        <w:rPr>
          <w:color w:val="000000" w:themeColor="text1"/>
        </w:rPr>
        <w:t>, FH and UL power control parameters for SRS, PUCCH, and PUSCH in SBFD and non-SBFD symbols, and physical channel mapping to SBFD and non-SBFD symbols within a slot or in different slots. We made the following observations and proposals.</w:t>
      </w:r>
    </w:p>
    <w:p w:rsidR="003E1ED8" w:rsidRDefault="00142DF5">
      <w:pPr>
        <w:rPr>
          <w:b/>
          <w:i/>
        </w:rPr>
      </w:pPr>
      <w:r w:rsidRPr="00DB163C">
        <w:rPr>
          <w:b/>
          <w:i/>
        </w:rPr>
        <w:t>Observation</w:t>
      </w:r>
      <w:r>
        <w:rPr>
          <w:b/>
          <w:i/>
        </w:rPr>
        <w:t xml:space="preserve"> 1</w:t>
      </w:r>
      <w:r w:rsidRPr="00DB163C">
        <w:rPr>
          <w:b/>
          <w:i/>
        </w:rPr>
        <w:t>: UE-specific configurations for the time and freque</w:t>
      </w:r>
      <w:r>
        <w:rPr>
          <w:b/>
          <w:i/>
        </w:rPr>
        <w:t xml:space="preserve">ncy locations of SBFD subbands </w:t>
      </w:r>
      <w:r w:rsidRPr="00DB163C">
        <w:rPr>
          <w:b/>
          <w:i/>
        </w:rPr>
        <w:t xml:space="preserve">would unnecessarily increase signaling overhead. </w:t>
      </w:r>
    </w:p>
    <w:p w:rsidR="003E1ED8" w:rsidRDefault="00142DF5">
      <w:pPr>
        <w:rPr>
          <w:b/>
          <w:i/>
        </w:rPr>
      </w:pPr>
      <w:r w:rsidRPr="006C789D">
        <w:rPr>
          <w:b/>
          <w:i/>
        </w:rPr>
        <w:t>Observation 2: The transition time between SBFD and non-SBFD operations may only be necessary on the gNB side and can be handled through gNB implementation.</w:t>
      </w:r>
    </w:p>
    <w:p w:rsidR="00142DF5" w:rsidRPr="005261D0" w:rsidRDefault="00142DF5" w:rsidP="00142DF5">
      <w:pPr>
        <w:rPr>
          <w:b/>
        </w:rPr>
      </w:pPr>
      <w:r w:rsidRPr="00E541D8">
        <w:rPr>
          <w:b/>
          <w:i/>
        </w:rPr>
        <w:t>Observation</w:t>
      </w:r>
      <w:r>
        <w:rPr>
          <w:b/>
          <w:i/>
        </w:rPr>
        <w:t xml:space="preserve"> 3: D</w:t>
      </w:r>
      <w:r w:rsidRPr="00E541D8">
        <w:rPr>
          <w:b/>
          <w:i/>
        </w:rPr>
        <w:t xml:space="preserve">etermining the link direction of SBFD-aware UE transmission/reception in SBFD symbols may introduce unnecessary signaling for </w:t>
      </w:r>
      <w:r>
        <w:rPr>
          <w:b/>
          <w:i/>
        </w:rPr>
        <w:t xml:space="preserve">link direction which </w:t>
      </w:r>
      <w:r w:rsidRPr="00E541D8">
        <w:rPr>
          <w:b/>
          <w:i/>
        </w:rPr>
        <w:t xml:space="preserve">can be </w:t>
      </w:r>
      <w:r>
        <w:rPr>
          <w:b/>
          <w:i/>
        </w:rPr>
        <w:t xml:space="preserve">achieved </w:t>
      </w:r>
      <w:r w:rsidRPr="00E541D8">
        <w:rPr>
          <w:b/>
          <w:i/>
        </w:rPr>
        <w:t>without signaling.</w:t>
      </w:r>
    </w:p>
    <w:p w:rsidR="00142DF5" w:rsidRDefault="00142DF5" w:rsidP="00142DF5">
      <w:pPr>
        <w:spacing w:beforeLines="50" w:before="120"/>
        <w:rPr>
          <w:b/>
          <w:i/>
        </w:rPr>
      </w:pPr>
      <w:r w:rsidRPr="00CE4C60">
        <w:rPr>
          <w:b/>
          <w:i/>
        </w:rPr>
        <w:t>Observation</w:t>
      </w:r>
      <w:r>
        <w:rPr>
          <w:b/>
          <w:i/>
        </w:rPr>
        <w:t xml:space="preserve"> 4</w:t>
      </w:r>
      <w:r w:rsidRPr="00CE4C60">
        <w:rPr>
          <w:b/>
          <w:i/>
        </w:rPr>
        <w:t>: If DL receptions are allowed within DL usable PRBs in the SSB symbols, it will degrade the SSB detection and create new cases of collision between SSB and other DL channels/signals.</w:t>
      </w:r>
    </w:p>
    <w:p w:rsidR="00142DF5" w:rsidRPr="00142DF5" w:rsidRDefault="00142DF5" w:rsidP="00142DF5">
      <w:pPr>
        <w:rPr>
          <w:rFonts w:eastAsiaTheme="minorEastAsia"/>
          <w:b/>
          <w:i/>
          <w:lang w:eastAsia="zh-CN"/>
        </w:rPr>
      </w:pPr>
      <w:r w:rsidRPr="00175864">
        <w:rPr>
          <w:rFonts w:eastAsiaTheme="minorEastAsia"/>
          <w:b/>
          <w:i/>
          <w:lang w:eastAsia="zh-CN"/>
        </w:rPr>
        <w:t>Observation</w:t>
      </w:r>
      <w:r>
        <w:rPr>
          <w:rFonts w:eastAsiaTheme="minorEastAsia"/>
          <w:b/>
          <w:i/>
          <w:lang w:eastAsia="zh-CN"/>
        </w:rPr>
        <w:t xml:space="preserve"> 5</w:t>
      </w:r>
      <w:r w:rsidRPr="00175864">
        <w:rPr>
          <w:rFonts w:eastAsiaTheme="minorEastAsia"/>
          <w:b/>
          <w:i/>
          <w:lang w:eastAsia="zh-CN"/>
        </w:rPr>
        <w:t xml:space="preserve">: </w:t>
      </w:r>
      <w:r w:rsidRPr="00175864">
        <w:rPr>
          <w:rFonts w:eastAsiaTheme="minorEastAsia" w:hint="eastAsia"/>
          <w:b/>
          <w:i/>
          <w:lang w:eastAsia="zh-CN"/>
        </w:rPr>
        <w:t xml:space="preserve">If an SBFD aware UE is configured </w:t>
      </w:r>
      <w:r w:rsidRPr="00175864">
        <w:rPr>
          <w:rFonts w:eastAsiaTheme="minorEastAsia"/>
          <w:b/>
          <w:i/>
          <w:lang w:eastAsia="zh-CN"/>
        </w:rPr>
        <w:t>with</w:t>
      </w:r>
      <w:r w:rsidRPr="00175864">
        <w:rPr>
          <w:rFonts w:eastAsiaTheme="minorEastAsia" w:hint="eastAsia"/>
          <w:b/>
          <w:i/>
          <w:lang w:eastAsia="zh-CN"/>
        </w:rPr>
        <w:t xml:space="preserve"> FH offset list for PUSCH for non-SBFD symbols but not configured </w:t>
      </w:r>
      <w:r w:rsidRPr="00175864">
        <w:rPr>
          <w:rFonts w:eastAsiaTheme="minorEastAsia"/>
          <w:b/>
          <w:i/>
          <w:lang w:eastAsia="zh-CN"/>
        </w:rPr>
        <w:t>with</w:t>
      </w:r>
      <w:r w:rsidRPr="00175864">
        <w:rPr>
          <w:rFonts w:eastAsiaTheme="minorEastAsia" w:hint="eastAsia"/>
          <w:b/>
          <w:i/>
          <w:lang w:eastAsia="zh-CN"/>
        </w:rPr>
        <w:t xml:space="preserve"> FH offset list for PUSCH for SBFD symbols, FH is disabled for PUSCH </w:t>
      </w:r>
      <w:r w:rsidRPr="00175864">
        <w:rPr>
          <w:rFonts w:eastAsiaTheme="minorEastAsia"/>
          <w:b/>
          <w:i/>
          <w:lang w:eastAsia="zh-CN"/>
        </w:rPr>
        <w:t>transmissions</w:t>
      </w:r>
      <w:r w:rsidRPr="00175864">
        <w:rPr>
          <w:rFonts w:eastAsiaTheme="minorEastAsia" w:hint="eastAsia"/>
          <w:b/>
          <w:i/>
          <w:lang w:eastAsia="zh-CN"/>
        </w:rPr>
        <w:t xml:space="preserve"> in SBFD symbols.</w:t>
      </w:r>
    </w:p>
    <w:p w:rsidR="00142DF5" w:rsidRPr="00A11740" w:rsidRDefault="00142DF5" w:rsidP="00142DF5">
      <w:pPr>
        <w:rPr>
          <w:b/>
          <w:bCs/>
          <w:i/>
        </w:rPr>
      </w:pPr>
      <w:r w:rsidRPr="00713A5D">
        <w:rPr>
          <w:b/>
          <w:bCs/>
          <w:i/>
        </w:rPr>
        <w:t>Observation</w:t>
      </w:r>
      <w:r>
        <w:rPr>
          <w:b/>
          <w:bCs/>
          <w:i/>
        </w:rPr>
        <w:t xml:space="preserve"> 6</w:t>
      </w:r>
      <w:r w:rsidRPr="00713A5D">
        <w:rPr>
          <w:b/>
          <w:bCs/>
          <w:i/>
        </w:rPr>
        <w:t>: Option 2 is straightforward, as it uses a unified TCI state to enable separate UL power control for SBFD and non-SBFD symbols without requiring entirely separate TCI states.</w:t>
      </w:r>
    </w:p>
    <w:p w:rsidR="00142DF5" w:rsidRDefault="00142DF5" w:rsidP="00142DF5">
      <w:pPr>
        <w:rPr>
          <w:b/>
          <w:i/>
        </w:rPr>
      </w:pPr>
      <w:r w:rsidRPr="00B678FD">
        <w:rPr>
          <w:b/>
          <w:i/>
        </w:rPr>
        <w:t>Observation</w:t>
      </w:r>
      <w:r>
        <w:rPr>
          <w:b/>
          <w:i/>
        </w:rPr>
        <w:t xml:space="preserve"> 7</w:t>
      </w:r>
      <w:r w:rsidRPr="00B678FD">
        <w:rPr>
          <w:b/>
          <w:i/>
        </w:rPr>
        <w:t>: The legacy mechanism of the unified TCI framework may not be able to indicate the association between the TCI states and the DL/UL transmission in SBFD and non-SBFD symbols.</w:t>
      </w:r>
    </w:p>
    <w:p w:rsidR="003E1ED8" w:rsidRDefault="003E1ED8">
      <w:pPr>
        <w:rPr>
          <w:b/>
          <w:i/>
          <w:lang w:eastAsia="zh-CN"/>
        </w:rPr>
      </w:pPr>
    </w:p>
    <w:p w:rsidR="00142DF5" w:rsidRPr="00DB163C" w:rsidRDefault="00142DF5" w:rsidP="00142DF5">
      <w:pPr>
        <w:rPr>
          <w:b/>
        </w:rPr>
      </w:pPr>
      <w:r w:rsidRPr="00DB163C">
        <w:rPr>
          <w:b/>
          <w:bCs/>
        </w:rPr>
        <w:t>Proposal</w:t>
      </w:r>
      <w:r>
        <w:rPr>
          <w:b/>
          <w:bCs/>
        </w:rPr>
        <w:t xml:space="preserve"> 1</w:t>
      </w:r>
      <w:r w:rsidRPr="00DB163C">
        <w:rPr>
          <w:b/>
          <w:bCs/>
        </w:rPr>
        <w:t>:</w:t>
      </w:r>
      <w:r>
        <w:rPr>
          <w:b/>
        </w:rPr>
        <w:t> UE</w:t>
      </w:r>
      <w:r w:rsidRPr="00DB163C">
        <w:rPr>
          <w:b/>
        </w:rPr>
        <w:t>-specific configurations for the time and frequency locations of SBFD subbands</w:t>
      </w:r>
      <w:r>
        <w:rPr>
          <w:b/>
        </w:rPr>
        <w:t xml:space="preserve"> is not supported</w:t>
      </w:r>
      <w:r w:rsidRPr="00DB163C">
        <w:rPr>
          <w:b/>
        </w:rPr>
        <w:t>.</w:t>
      </w:r>
    </w:p>
    <w:p w:rsidR="003E1ED8" w:rsidRPr="00142DF5" w:rsidRDefault="00142DF5">
      <w:pPr>
        <w:rPr>
          <w:b/>
        </w:rPr>
      </w:pPr>
      <w:r w:rsidRPr="006C789D">
        <w:rPr>
          <w:b/>
        </w:rPr>
        <w:t xml:space="preserve">Proposal 2: The explicit configuration of a guard period between SBFD and non-SBFD symbols is </w:t>
      </w:r>
      <w:r>
        <w:rPr>
          <w:b/>
        </w:rPr>
        <w:t>not necessary</w:t>
      </w:r>
      <w:r w:rsidRPr="006C789D">
        <w:rPr>
          <w:b/>
        </w:rPr>
        <w:t xml:space="preserve"> </w:t>
      </w:r>
      <w:r>
        <w:rPr>
          <w:b/>
        </w:rPr>
        <w:t xml:space="preserve">to define </w:t>
      </w:r>
      <w:r w:rsidRPr="006C789D">
        <w:rPr>
          <w:b/>
        </w:rPr>
        <w:t xml:space="preserve">and </w:t>
      </w:r>
      <w:r>
        <w:rPr>
          <w:b/>
        </w:rPr>
        <w:t xml:space="preserve">it </w:t>
      </w:r>
      <w:r w:rsidRPr="006C789D">
        <w:rPr>
          <w:b/>
        </w:rPr>
        <w:t>can be determined based on gNB implementation.</w:t>
      </w:r>
    </w:p>
    <w:p w:rsidR="00142DF5" w:rsidRDefault="00142DF5" w:rsidP="00142DF5">
      <w:pPr>
        <w:rPr>
          <w:rFonts w:eastAsiaTheme="minorEastAsia"/>
          <w:b/>
          <w:lang w:eastAsia="zh-CN"/>
        </w:rPr>
      </w:pPr>
      <w:r>
        <w:rPr>
          <w:rFonts w:eastAsiaTheme="minorEastAsia"/>
          <w:b/>
          <w:lang w:eastAsia="zh-CN"/>
        </w:rPr>
        <w:t>Proposal 3</w:t>
      </w:r>
      <w:r w:rsidRPr="002976C0">
        <w:rPr>
          <w:rFonts w:eastAsiaTheme="minorEastAsia"/>
          <w:b/>
          <w:lang w:eastAsia="zh-CN"/>
        </w:rPr>
        <w:t xml:space="preserve">: </w:t>
      </w:r>
      <w:r w:rsidRPr="009200CF">
        <w:rPr>
          <w:rFonts w:eastAsiaTheme="minorEastAsia" w:hint="eastAsia"/>
          <w:b/>
          <w:lang w:eastAsia="zh-CN"/>
        </w:rPr>
        <w:t>For PUSCH repetition type B across SBFD and non-SBFD symbols within a slot</w:t>
      </w:r>
      <w:r w:rsidRPr="009200CF">
        <w:rPr>
          <w:rFonts w:eastAsiaTheme="minorEastAsia"/>
          <w:b/>
          <w:lang w:eastAsia="zh-CN"/>
        </w:rPr>
        <w:t>, support option 1</w:t>
      </w:r>
      <w:r>
        <w:rPr>
          <w:rFonts w:eastAsiaTheme="minorEastAsia"/>
          <w:b/>
          <w:lang w:eastAsia="zh-CN"/>
        </w:rPr>
        <w:t xml:space="preserve">: </w:t>
      </w:r>
      <w:r w:rsidRPr="00A11740">
        <w:rPr>
          <w:rFonts w:eastAsiaTheme="minorEastAsia" w:hint="eastAsia"/>
          <w:b/>
          <w:lang w:eastAsia="zh-CN"/>
        </w:rPr>
        <w:t xml:space="preserve">A </w:t>
      </w:r>
      <w:r w:rsidRPr="00A11740">
        <w:rPr>
          <w:rFonts w:eastAsiaTheme="minorEastAsia"/>
          <w:b/>
          <w:lang w:eastAsia="zh-CN"/>
        </w:rPr>
        <w:t xml:space="preserve">nominal repetition </w:t>
      </w:r>
      <w:r w:rsidRPr="00A11740">
        <w:rPr>
          <w:rFonts w:eastAsiaTheme="minorEastAsia" w:hint="eastAsia"/>
          <w:b/>
          <w:lang w:eastAsia="zh-CN"/>
        </w:rPr>
        <w:t>is</w:t>
      </w:r>
      <w:r w:rsidRPr="00A11740">
        <w:rPr>
          <w:rFonts w:eastAsiaTheme="minorEastAsia"/>
          <w:b/>
          <w:lang w:eastAsia="zh-CN"/>
        </w:rPr>
        <w:t xml:space="preserve"> segmented into actual repetitions around boundary of SBFD symbols and non-SBFD symbols</w:t>
      </w:r>
      <w:r w:rsidRPr="00A11740">
        <w:rPr>
          <w:rFonts w:eastAsiaTheme="minorEastAsia" w:hint="eastAsia"/>
          <w:b/>
          <w:lang w:eastAsia="zh-CN"/>
        </w:rPr>
        <w:t>.</w:t>
      </w:r>
    </w:p>
    <w:p w:rsidR="00142DF5" w:rsidRDefault="00142DF5" w:rsidP="00142DF5">
      <w:pPr>
        <w:rPr>
          <w:rFonts w:eastAsia="Malgun Gothic"/>
          <w:bCs/>
          <w:szCs w:val="20"/>
        </w:rPr>
      </w:pPr>
      <w:r>
        <w:rPr>
          <w:rFonts w:eastAsia="Times New Roman"/>
          <w:b/>
          <w:color w:val="000000"/>
        </w:rPr>
        <w:t xml:space="preserve">Proposal 4: Consider separate </w:t>
      </w:r>
      <w:r w:rsidRPr="00B372D2">
        <w:rPr>
          <w:rFonts w:eastAsia="Times New Roman"/>
          <w:b/>
          <w:i/>
          <w:color w:val="000000"/>
        </w:rPr>
        <w:t>startingPRB</w:t>
      </w:r>
      <w:r>
        <w:rPr>
          <w:rFonts w:eastAsia="Times New Roman"/>
          <w:b/>
          <w:color w:val="000000"/>
        </w:rPr>
        <w:t xml:space="preserve"> and </w:t>
      </w:r>
      <w:r w:rsidRPr="00B372D2">
        <w:rPr>
          <w:rFonts w:eastAsia="Times New Roman"/>
          <w:b/>
          <w:i/>
          <w:color w:val="000000"/>
        </w:rPr>
        <w:t>secondHopPRB</w:t>
      </w:r>
      <w:r>
        <w:rPr>
          <w:rFonts w:eastAsia="Times New Roman"/>
          <w:b/>
          <w:color w:val="000000"/>
        </w:rPr>
        <w:t xml:space="preserve"> within a </w:t>
      </w:r>
      <w:r w:rsidRPr="00B372D2">
        <w:rPr>
          <w:rFonts w:eastAsia="Times New Roman"/>
          <w:b/>
          <w:i/>
          <w:color w:val="000000"/>
        </w:rPr>
        <w:t>PUCCH-resoruceId</w:t>
      </w:r>
      <w:r>
        <w:rPr>
          <w:rFonts w:eastAsia="Times New Roman"/>
          <w:b/>
          <w:color w:val="000000"/>
        </w:rPr>
        <w:t xml:space="preserve"> for PUCCH FH in SBFD and non-SBFD symbols. </w:t>
      </w:r>
      <w:r>
        <w:rPr>
          <w:rFonts w:eastAsia="Malgun Gothic"/>
          <w:bCs/>
          <w:szCs w:val="20"/>
        </w:rPr>
        <w:t xml:space="preserve"> </w:t>
      </w:r>
    </w:p>
    <w:p w:rsidR="00142DF5" w:rsidRPr="0068443C" w:rsidRDefault="00142DF5" w:rsidP="00142DF5">
      <w:pPr>
        <w:rPr>
          <w:rFonts w:cs="Calibri"/>
          <w:b/>
          <w:bCs/>
        </w:rPr>
      </w:pPr>
      <w:r w:rsidRPr="003026E7">
        <w:rPr>
          <w:rFonts w:cs="Calibri" w:hint="eastAsia"/>
          <w:b/>
          <w:bCs/>
        </w:rPr>
        <w:t>Proposal</w:t>
      </w:r>
      <w:r>
        <w:rPr>
          <w:rFonts w:cs="Calibri"/>
          <w:b/>
          <w:bCs/>
        </w:rPr>
        <w:t xml:space="preserve"> 5</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142DF5" w:rsidRDefault="00142DF5" w:rsidP="00142DF5">
      <w:pPr>
        <w:rPr>
          <w:rFonts w:cs="Calibri"/>
          <w:b/>
          <w:bCs/>
        </w:rPr>
      </w:pPr>
      <w:r>
        <w:rPr>
          <w:rFonts w:cs="Calibri" w:hint="eastAsia"/>
          <w:b/>
          <w:bCs/>
        </w:rPr>
        <w:t>Proposal</w:t>
      </w:r>
      <w:r>
        <w:rPr>
          <w:rFonts w:cs="Calibri"/>
          <w:b/>
          <w:bCs/>
        </w:rPr>
        <w:t xml:space="preserve"> 6</w:t>
      </w:r>
      <w:r>
        <w:rPr>
          <w:rFonts w:cs="Calibri" w:hint="eastAsia"/>
          <w:b/>
          <w:bCs/>
        </w:rPr>
        <w:t>:</w:t>
      </w:r>
      <w:r>
        <w:rPr>
          <w:rFonts w:cs="Calibri"/>
          <w:b/>
          <w:bCs/>
        </w:rPr>
        <w:t xml:space="preserve"> For the association between TCI states and DL/UL transmission in SBFD and non-SBFD symbols, consider the following alternatives: </w:t>
      </w:r>
    </w:p>
    <w:p w:rsidR="00142DF5" w:rsidRPr="00115EF4" w:rsidRDefault="00142DF5" w:rsidP="00142DF5">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142DF5" w:rsidRPr="00115EF4" w:rsidRDefault="00142DF5" w:rsidP="00142DF5">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142DF5" w:rsidRPr="00115EF4" w:rsidRDefault="00142DF5" w:rsidP="00142DF5">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142DF5" w:rsidRPr="00115EF4" w:rsidRDefault="00142DF5" w:rsidP="00142DF5">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3E1ED8" w:rsidRDefault="003E1ED8">
      <w:pPr>
        <w:rPr>
          <w:b/>
          <w:i/>
          <w:lang w:eastAsia="zh-CN"/>
        </w:rPr>
      </w:pPr>
    </w:p>
    <w:p w:rsidR="003E1ED8" w:rsidRDefault="003E1ED8">
      <w:pPr>
        <w:rPr>
          <w:b/>
          <w:i/>
          <w:lang w:eastAsia="zh-CN"/>
        </w:rPr>
      </w:pPr>
    </w:p>
    <w:p w:rsidR="00142DF5" w:rsidRDefault="00142DF5">
      <w:pPr>
        <w:rPr>
          <w:b/>
          <w:i/>
          <w:lang w:eastAsia="zh-CN"/>
        </w:rPr>
      </w:pPr>
    </w:p>
    <w:p w:rsidR="00142DF5" w:rsidRDefault="00142DF5">
      <w:pPr>
        <w:rPr>
          <w:b/>
          <w:i/>
          <w:lang w:eastAsia="zh-CN"/>
        </w:rPr>
      </w:pPr>
    </w:p>
    <w:p w:rsidR="00142DF5" w:rsidRDefault="00142DF5">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54723" w:rsidRDefault="00E654DA" w:rsidP="00180CB7">
      <w:pPr>
        <w:pStyle w:val="References"/>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w:t>
      </w:r>
      <w:r>
        <w:t xml:space="preserve">Study on Evolution of NR Duplex Operation”. </w:t>
      </w:r>
    </w:p>
    <w:p w:rsidR="00540436" w:rsidRPr="00540436" w:rsidRDefault="00180CB7" w:rsidP="00540436">
      <w:pPr>
        <w:pStyle w:val="References"/>
        <w:rPr>
          <w:lang w:eastAsia="zh-CN"/>
        </w:rPr>
      </w:pPr>
      <w:r>
        <w:rPr>
          <w:lang w:eastAsia="zh-CN"/>
        </w:rPr>
        <w:t xml:space="preserve">Chairman notes, </w:t>
      </w:r>
      <w:bookmarkStart w:id="10" w:name="_Hlk145670493"/>
      <w:r w:rsidR="00540436" w:rsidRPr="00540436">
        <w:rPr>
          <w:lang w:eastAsia="zh-CN"/>
        </w:rPr>
        <w:t>3GPP TSG RAN WG1 #120</w:t>
      </w:r>
      <w:r w:rsidR="00540436">
        <w:rPr>
          <w:lang w:eastAsia="zh-CN"/>
        </w:rPr>
        <w:t xml:space="preserve"> </w:t>
      </w:r>
      <w:r w:rsidR="00540436" w:rsidRPr="00540436">
        <w:rPr>
          <w:lang w:eastAsia="zh-CN"/>
        </w:rPr>
        <w:t>Athens, Greece, February 17</w:t>
      </w:r>
      <w:r w:rsidR="00540436" w:rsidRPr="00540436">
        <w:rPr>
          <w:rFonts w:hint="eastAsia"/>
          <w:lang w:eastAsia="zh-CN"/>
        </w:rPr>
        <w:t>th</w:t>
      </w:r>
      <w:r w:rsidR="00540436" w:rsidRPr="00540436">
        <w:rPr>
          <w:lang w:eastAsia="zh-CN"/>
        </w:rPr>
        <w:t xml:space="preserve"> – 21st, 2025</w:t>
      </w:r>
    </w:p>
    <w:bookmarkEnd w:id="10"/>
    <w:p w:rsidR="00540436" w:rsidRPr="00540436" w:rsidRDefault="00540436" w:rsidP="00540436">
      <w:pPr>
        <w:pStyle w:val="References"/>
        <w:rPr>
          <w:rFonts w:eastAsiaTheme="minorEastAsia"/>
          <w:bCs/>
          <w:lang w:eastAsia="zh-CN"/>
        </w:rPr>
      </w:pPr>
      <w:r>
        <w:t xml:space="preserve"> </w:t>
      </w:r>
      <w:r w:rsidRPr="00DC4C14">
        <w:t>R1-</w:t>
      </w:r>
      <w:r w:rsidRPr="00DC4C14">
        <w:rPr>
          <w:bCs/>
        </w:rPr>
        <w:t>2</w:t>
      </w:r>
      <w:r w:rsidRPr="00DC4C14">
        <w:rPr>
          <w:rFonts w:eastAsiaTheme="minorEastAsia"/>
          <w:bCs/>
          <w:lang w:eastAsia="zh-CN"/>
        </w:rPr>
        <w:t>501340</w:t>
      </w:r>
      <w:r>
        <w:rPr>
          <w:rFonts w:eastAsiaTheme="minorEastAsia"/>
          <w:bCs/>
          <w:lang w:eastAsia="zh-CN"/>
        </w:rPr>
        <w:t xml:space="preserve">, FL summary </w:t>
      </w:r>
      <w:r>
        <w:t xml:space="preserve">3GPP TSG RAN WG1 </w:t>
      </w:r>
      <w:r>
        <w:rPr>
          <w:bCs/>
        </w:rPr>
        <w:t>#1</w:t>
      </w:r>
      <w:r>
        <w:rPr>
          <w:rFonts w:eastAsiaTheme="minorEastAsia"/>
          <w:bCs/>
          <w:lang w:eastAsia="zh-CN"/>
        </w:rPr>
        <w:t xml:space="preserve">20, </w:t>
      </w:r>
      <w:r>
        <w:rPr>
          <w:lang w:eastAsia="zh-CN"/>
        </w:rPr>
        <w:t>Athens, Greece</w:t>
      </w:r>
      <w:r>
        <w:rPr>
          <w:rFonts w:hint="eastAsia"/>
          <w:lang w:eastAsia="zh-CN"/>
        </w:rPr>
        <w:t xml:space="preserve">, </w:t>
      </w:r>
      <w:r w:rsidRPr="00540436">
        <w:rPr>
          <w:lang w:val="en-GB" w:eastAsia="zh-CN"/>
        </w:rPr>
        <w:t>February 17</w:t>
      </w:r>
      <w:r w:rsidRPr="00540436">
        <w:rPr>
          <w:rFonts w:hint="eastAsia"/>
          <w:vertAlign w:val="superscript"/>
          <w:lang w:val="en-GB" w:eastAsia="zh-CN"/>
        </w:rPr>
        <w:t>th</w:t>
      </w:r>
      <w:r w:rsidRPr="00540436">
        <w:rPr>
          <w:lang w:val="en-GB" w:eastAsia="zh-CN"/>
        </w:rPr>
        <w:t xml:space="preserve"> – 21</w:t>
      </w:r>
      <w:r w:rsidRPr="00540436">
        <w:rPr>
          <w:vertAlign w:val="superscript"/>
          <w:lang w:val="en-GB" w:eastAsia="zh-CN"/>
        </w:rPr>
        <w:t>st</w:t>
      </w:r>
      <w:r>
        <w:rPr>
          <w:lang w:eastAsia="zh-CN"/>
        </w:rPr>
        <w:t>, 2025</w:t>
      </w:r>
    </w:p>
    <w:p w:rsidR="00180CB7" w:rsidRDefault="00180CB7" w:rsidP="00540436">
      <w:pPr>
        <w:pStyle w:val="References"/>
        <w:numPr>
          <w:ilvl w:val="0"/>
          <w:numId w:val="0"/>
        </w:numPr>
      </w:pPr>
    </w:p>
    <w:p w:rsidR="00CB72FA" w:rsidRDefault="00CB72FA" w:rsidP="00CB72FA">
      <w:pPr>
        <w:pStyle w:val="References"/>
        <w:numPr>
          <w:ilvl w:val="0"/>
          <w:numId w:val="0"/>
        </w:numPr>
        <w:tabs>
          <w:tab w:val="left" w:pos="1778"/>
        </w:tabs>
        <w:ind w:left="360"/>
      </w:pPr>
    </w:p>
    <w:sectPr w:rsidR="00CB72FA" w:rsidSect="0083389B">
      <w:footerReference w:type="default" r:id="rId13"/>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EB3" w:rsidRDefault="00DC5EB3">
      <w:pPr>
        <w:spacing w:after="0"/>
      </w:pPr>
      <w:r>
        <w:separator/>
      </w:r>
    </w:p>
  </w:endnote>
  <w:endnote w:type="continuationSeparator" w:id="0">
    <w:p w:rsidR="00DC5EB3" w:rsidRDefault="00DC5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187202" w:rsidRDefault="00187202">
        <w:pPr>
          <w:pStyle w:val="Footer"/>
          <w:jc w:val="center"/>
        </w:pPr>
        <w:r>
          <w:fldChar w:fldCharType="begin"/>
        </w:r>
        <w:r>
          <w:instrText xml:space="preserve"> PAGE   \* MERGEFORMAT </w:instrText>
        </w:r>
        <w:r>
          <w:fldChar w:fldCharType="separate"/>
        </w:r>
        <w:r w:rsidR="00DC5EB3">
          <w:rPr>
            <w:noProof/>
          </w:rPr>
          <w:t>1</w:t>
        </w:r>
        <w:r>
          <w:fldChar w:fldCharType="end"/>
        </w:r>
      </w:p>
    </w:sdtContent>
  </w:sdt>
  <w:p w:rsidR="00187202" w:rsidRDefault="00187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EB3" w:rsidRDefault="00DC5EB3">
      <w:pPr>
        <w:spacing w:after="0"/>
      </w:pPr>
      <w:r>
        <w:separator/>
      </w:r>
    </w:p>
  </w:footnote>
  <w:footnote w:type="continuationSeparator" w:id="0">
    <w:p w:rsidR="00DC5EB3" w:rsidRDefault="00DC5E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85A0D92"/>
    <w:multiLevelType w:val="hybridMultilevel"/>
    <w:tmpl w:val="FD9A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rFonts w:hint="default"/>
        <w:b/>
        <w:color w:val="auto"/>
        <w:sz w:val="21"/>
        <w:szCs w:val="21"/>
        <w:highlight w:val="none"/>
        <w:u w:val="none"/>
      </w:rPr>
    </w:lvl>
    <w:lvl w:ilvl="4">
      <w:start w:val="1"/>
      <w:numFmt w:val="decimal"/>
      <w:lvlText w:val="%1.%2.%3.%4.%5"/>
      <w:lvlJc w:val="left"/>
      <w:pPr>
        <w:ind w:left="1008" w:hanging="1008"/>
      </w:pPr>
    </w:lvl>
    <w:lvl w:ilvl="5">
      <w:start w:val="1"/>
      <w:numFmt w:val="decimal"/>
      <w:lvlText w:val="%1.%2.%3.%4.%5.%6"/>
      <w:lvlJc w:val="left"/>
      <w:pPr>
        <w:ind w:left="1152" w:hanging="1152"/>
      </w:pPr>
      <w:rPr>
        <w:rFonts w:ascii="Arial" w:hAnsi="Arial" w:cs="Arial" w:hint="default"/>
        <w:b/>
        <w:color w:val="auto"/>
        <w:sz w:val="21"/>
        <w:szCs w:val="21"/>
        <w:u w:val="no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3842A9E"/>
    <w:multiLevelType w:val="multilevel"/>
    <w:tmpl w:val="3538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0152DD"/>
    <w:multiLevelType w:val="hybridMultilevel"/>
    <w:tmpl w:val="4E4C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4CD5750"/>
    <w:multiLevelType w:val="hybridMultilevel"/>
    <w:tmpl w:val="B3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AC069E"/>
    <w:multiLevelType w:val="hybridMultilevel"/>
    <w:tmpl w:val="FDEE2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20"/>
  </w:num>
  <w:num w:numId="4">
    <w:abstractNumId w:val="0"/>
  </w:num>
  <w:num w:numId="5">
    <w:abstractNumId w:val="29"/>
  </w:num>
  <w:num w:numId="6">
    <w:abstractNumId w:val="5"/>
  </w:num>
  <w:num w:numId="7">
    <w:abstractNumId w:val="1"/>
  </w:num>
  <w:num w:numId="8">
    <w:abstractNumId w:val="3"/>
  </w:num>
  <w:num w:numId="9">
    <w:abstractNumId w:val="9"/>
  </w:num>
  <w:num w:numId="10">
    <w:abstractNumId w:val="11"/>
  </w:num>
  <w:num w:numId="11">
    <w:abstractNumId w:val="27"/>
  </w:num>
  <w:num w:numId="12">
    <w:abstractNumId w:val="10"/>
  </w:num>
  <w:num w:numId="13">
    <w:abstractNumId w:val="6"/>
  </w:num>
  <w:num w:numId="14">
    <w:abstractNumId w:val="12"/>
  </w:num>
  <w:num w:numId="15">
    <w:abstractNumId w:val="26"/>
  </w:num>
  <w:num w:numId="16">
    <w:abstractNumId w:val="14"/>
  </w:num>
  <w:num w:numId="17">
    <w:abstractNumId w:val="21"/>
  </w:num>
  <w:num w:numId="18">
    <w:abstractNumId w:val="16"/>
  </w:num>
  <w:num w:numId="19">
    <w:abstractNumId w:val="22"/>
  </w:num>
  <w:num w:numId="20">
    <w:abstractNumId w:val="18"/>
  </w:num>
  <w:num w:numId="21">
    <w:abstractNumId w:val="24"/>
  </w:num>
  <w:num w:numId="22">
    <w:abstractNumId w:val="2"/>
  </w:num>
  <w:num w:numId="23">
    <w:abstractNumId w:val="28"/>
  </w:num>
  <w:num w:numId="24">
    <w:abstractNumId w:val="25"/>
  </w:num>
  <w:num w:numId="25">
    <w:abstractNumId w:val="19"/>
  </w:num>
  <w:num w:numId="26">
    <w:abstractNumId w:val="13"/>
  </w:num>
  <w:num w:numId="27">
    <w:abstractNumId w:val="13"/>
  </w:num>
  <w:num w:numId="28">
    <w:abstractNumId w:val="13"/>
  </w:num>
  <w:num w:numId="29">
    <w:abstractNumId w:val="13"/>
  </w:num>
  <w:num w:numId="30">
    <w:abstractNumId w:val="13"/>
  </w:num>
  <w:num w:numId="31">
    <w:abstractNumId w:val="4"/>
  </w:num>
  <w:num w:numId="32">
    <w:abstractNumId w:val="7"/>
  </w:num>
  <w:num w:numId="33">
    <w:abstractNumId w:val="8"/>
  </w:num>
  <w:num w:numId="34">
    <w:abstractNumId w:val="15"/>
  </w:num>
  <w:num w:numId="35">
    <w:abstractNumId w:val="17"/>
  </w:num>
  <w:num w:numId="36">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35"/>
    <w:rsid w:val="000C1D1A"/>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9B5"/>
    <w:rsid w:val="00112BE6"/>
    <w:rsid w:val="001132C4"/>
    <w:rsid w:val="00113B94"/>
    <w:rsid w:val="00113CD4"/>
    <w:rsid w:val="001141E3"/>
    <w:rsid w:val="001144DF"/>
    <w:rsid w:val="001154E5"/>
    <w:rsid w:val="0011557B"/>
    <w:rsid w:val="00115C89"/>
    <w:rsid w:val="00115EF4"/>
    <w:rsid w:val="00116739"/>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6F"/>
    <w:rsid w:val="001A1BAC"/>
    <w:rsid w:val="001A23CE"/>
    <w:rsid w:val="001A2C89"/>
    <w:rsid w:val="001A33BB"/>
    <w:rsid w:val="001A350C"/>
    <w:rsid w:val="001A3889"/>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9E5"/>
    <w:rsid w:val="00224DD2"/>
    <w:rsid w:val="00224FB1"/>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455"/>
    <w:rsid w:val="002B6BDC"/>
    <w:rsid w:val="002B6CCC"/>
    <w:rsid w:val="002B6DB8"/>
    <w:rsid w:val="002B75B0"/>
    <w:rsid w:val="002B7EAF"/>
    <w:rsid w:val="002C015E"/>
    <w:rsid w:val="002C099C"/>
    <w:rsid w:val="002C0B74"/>
    <w:rsid w:val="002C0C8B"/>
    <w:rsid w:val="002C0CBB"/>
    <w:rsid w:val="002C10FD"/>
    <w:rsid w:val="002C1201"/>
    <w:rsid w:val="002C1460"/>
    <w:rsid w:val="002C1A67"/>
    <w:rsid w:val="002C1BED"/>
    <w:rsid w:val="002C20F2"/>
    <w:rsid w:val="002C2545"/>
    <w:rsid w:val="002C2988"/>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05F1"/>
    <w:rsid w:val="002E1606"/>
    <w:rsid w:val="002E179B"/>
    <w:rsid w:val="002E17CD"/>
    <w:rsid w:val="002E1C9E"/>
    <w:rsid w:val="002E257B"/>
    <w:rsid w:val="002E3180"/>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479D"/>
    <w:rsid w:val="002F570D"/>
    <w:rsid w:val="002F5937"/>
    <w:rsid w:val="002F5DD6"/>
    <w:rsid w:val="002F5FEA"/>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3A8"/>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CF6"/>
    <w:rsid w:val="003D0FC3"/>
    <w:rsid w:val="003D23D6"/>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7D8"/>
    <w:rsid w:val="00420DAE"/>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2F7E"/>
    <w:rsid w:val="004F32B5"/>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E65"/>
    <w:rsid w:val="005255BF"/>
    <w:rsid w:val="005257DE"/>
    <w:rsid w:val="00525CF8"/>
    <w:rsid w:val="00525E29"/>
    <w:rsid w:val="005261D0"/>
    <w:rsid w:val="00527200"/>
    <w:rsid w:val="00530157"/>
    <w:rsid w:val="005318F0"/>
    <w:rsid w:val="00531EBE"/>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5ED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019"/>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912"/>
    <w:rsid w:val="006D5DBB"/>
    <w:rsid w:val="006D62BC"/>
    <w:rsid w:val="006D6450"/>
    <w:rsid w:val="006D6939"/>
    <w:rsid w:val="006D7EB0"/>
    <w:rsid w:val="006E0138"/>
    <w:rsid w:val="006E017F"/>
    <w:rsid w:val="006E0BB0"/>
    <w:rsid w:val="006E10BE"/>
    <w:rsid w:val="006E12C3"/>
    <w:rsid w:val="006E222C"/>
    <w:rsid w:val="006E2529"/>
    <w:rsid w:val="006E2595"/>
    <w:rsid w:val="006E35B7"/>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6B8"/>
    <w:rsid w:val="00767755"/>
    <w:rsid w:val="00770127"/>
    <w:rsid w:val="00770633"/>
    <w:rsid w:val="0077175C"/>
    <w:rsid w:val="00771870"/>
    <w:rsid w:val="00771960"/>
    <w:rsid w:val="00771BF9"/>
    <w:rsid w:val="00772F8A"/>
    <w:rsid w:val="0077302F"/>
    <w:rsid w:val="007739C6"/>
    <w:rsid w:val="0077479B"/>
    <w:rsid w:val="00774889"/>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6C32"/>
    <w:rsid w:val="008376F6"/>
    <w:rsid w:val="00837D5B"/>
    <w:rsid w:val="00840607"/>
    <w:rsid w:val="0084091A"/>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764E8"/>
    <w:rsid w:val="00880F30"/>
    <w:rsid w:val="00881CD6"/>
    <w:rsid w:val="008827DA"/>
    <w:rsid w:val="00882A6D"/>
    <w:rsid w:val="00882F73"/>
    <w:rsid w:val="008833C1"/>
    <w:rsid w:val="008833E8"/>
    <w:rsid w:val="00883484"/>
    <w:rsid w:val="00883F48"/>
    <w:rsid w:val="00884879"/>
    <w:rsid w:val="008850A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749"/>
    <w:rsid w:val="008B389D"/>
    <w:rsid w:val="008B3C5C"/>
    <w:rsid w:val="008B3FA3"/>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C46"/>
    <w:rsid w:val="008C6184"/>
    <w:rsid w:val="008C635F"/>
    <w:rsid w:val="008C64CD"/>
    <w:rsid w:val="008C785E"/>
    <w:rsid w:val="008D0ACD"/>
    <w:rsid w:val="008D0AFB"/>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885"/>
    <w:rsid w:val="00900FA9"/>
    <w:rsid w:val="00901CA9"/>
    <w:rsid w:val="00902140"/>
    <w:rsid w:val="00902F51"/>
    <w:rsid w:val="009038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354D"/>
    <w:rsid w:val="009639CF"/>
    <w:rsid w:val="00964054"/>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954"/>
    <w:rsid w:val="009E058F"/>
    <w:rsid w:val="009E0A9E"/>
    <w:rsid w:val="009E19A2"/>
    <w:rsid w:val="009E38AC"/>
    <w:rsid w:val="009E3AFD"/>
    <w:rsid w:val="009E3CDD"/>
    <w:rsid w:val="009E3D6C"/>
    <w:rsid w:val="009E4B16"/>
    <w:rsid w:val="009E4D97"/>
    <w:rsid w:val="009E545F"/>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11FF"/>
    <w:rsid w:val="00A51E30"/>
    <w:rsid w:val="00A52131"/>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4694"/>
    <w:rsid w:val="00B05CE3"/>
    <w:rsid w:val="00B1000C"/>
    <w:rsid w:val="00B1029D"/>
    <w:rsid w:val="00B10558"/>
    <w:rsid w:val="00B10B8D"/>
    <w:rsid w:val="00B112F0"/>
    <w:rsid w:val="00B11F2F"/>
    <w:rsid w:val="00B11FF3"/>
    <w:rsid w:val="00B12CD0"/>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61BE2"/>
    <w:rsid w:val="00B6258D"/>
    <w:rsid w:val="00B6266F"/>
    <w:rsid w:val="00B62E0B"/>
    <w:rsid w:val="00B63C32"/>
    <w:rsid w:val="00B6427F"/>
    <w:rsid w:val="00B64318"/>
    <w:rsid w:val="00B643B6"/>
    <w:rsid w:val="00B64434"/>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54A"/>
    <w:rsid w:val="00C376BA"/>
    <w:rsid w:val="00C40373"/>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A7"/>
    <w:rsid w:val="00D05132"/>
    <w:rsid w:val="00D05785"/>
    <w:rsid w:val="00D05C09"/>
    <w:rsid w:val="00D05CF7"/>
    <w:rsid w:val="00D05EA9"/>
    <w:rsid w:val="00D071F8"/>
    <w:rsid w:val="00D07252"/>
    <w:rsid w:val="00D074F4"/>
    <w:rsid w:val="00D07A65"/>
    <w:rsid w:val="00D07CE1"/>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665"/>
    <w:rsid w:val="00D62C97"/>
    <w:rsid w:val="00D62CB8"/>
    <w:rsid w:val="00D62F63"/>
    <w:rsid w:val="00D63517"/>
    <w:rsid w:val="00D63B75"/>
    <w:rsid w:val="00D64CA0"/>
    <w:rsid w:val="00D6584E"/>
    <w:rsid w:val="00D659B1"/>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AE"/>
    <w:rsid w:val="00D777D7"/>
    <w:rsid w:val="00D7784F"/>
    <w:rsid w:val="00D77F41"/>
    <w:rsid w:val="00D80AB8"/>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3A4"/>
    <w:rsid w:val="00DA7571"/>
    <w:rsid w:val="00DA76F6"/>
    <w:rsid w:val="00DA790C"/>
    <w:rsid w:val="00DA7F8A"/>
    <w:rsid w:val="00DB0176"/>
    <w:rsid w:val="00DB0404"/>
    <w:rsid w:val="00DB0AF7"/>
    <w:rsid w:val="00DB0E3D"/>
    <w:rsid w:val="00DB11F8"/>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FA"/>
    <w:rsid w:val="00DF7B3B"/>
    <w:rsid w:val="00DF7B42"/>
    <w:rsid w:val="00DF7C11"/>
    <w:rsid w:val="00E002F1"/>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715B"/>
    <w:rsid w:val="00E30348"/>
    <w:rsid w:val="00E319F8"/>
    <w:rsid w:val="00E31FD9"/>
    <w:rsid w:val="00E321BF"/>
    <w:rsid w:val="00E325DE"/>
    <w:rsid w:val="00E32832"/>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70B0"/>
    <w:rsid w:val="00EB7633"/>
    <w:rsid w:val="00EB7736"/>
    <w:rsid w:val="00EC0454"/>
    <w:rsid w:val="00EC167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49E"/>
    <w:rsid w:val="00EE16FA"/>
    <w:rsid w:val="00EE1870"/>
    <w:rsid w:val="00EE1A2D"/>
    <w:rsid w:val="00EE2477"/>
    <w:rsid w:val="00EE3B02"/>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67E"/>
    <w:rsid w:val="00FC3CD3"/>
    <w:rsid w:val="00FC4729"/>
    <w:rsid w:val="00FC4A8C"/>
    <w:rsid w:val="00FC50E1"/>
    <w:rsid w:val="00FC53DB"/>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7FB1FE"/>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 w:type="character" w:styleId="Strong">
    <w:name w:val="Strong"/>
    <w:basedOn w:val="DefaultParagraphFont"/>
    <w:uiPriority w:val="22"/>
    <w:qFormat/>
    <w:rsid w:val="00561285"/>
    <w:rPr>
      <w:b/>
      <w:bCs/>
    </w:rPr>
  </w:style>
  <w:style w:type="character" w:styleId="HTMLCode">
    <w:name w:val="HTML Code"/>
    <w:basedOn w:val="DefaultParagraphFont"/>
    <w:uiPriority w:val="99"/>
    <w:semiHidden/>
    <w:unhideWhenUsed/>
    <w:rsid w:val="00FB0EC7"/>
    <w:rPr>
      <w:rFonts w:ascii="Courier New" w:eastAsia="Times New Roman" w:hAnsi="Courier New" w:cs="Courier New"/>
      <w:sz w:val="20"/>
      <w:szCs w:val="20"/>
    </w:rPr>
  </w:style>
  <w:style w:type="character" w:customStyle="1" w:styleId="katex-mathml">
    <w:name w:val="katex-mathml"/>
    <w:basedOn w:val="DefaultParagraphFont"/>
    <w:rsid w:val="006038CE"/>
  </w:style>
  <w:style w:type="character" w:customStyle="1" w:styleId="mopen">
    <w:name w:val="mopen"/>
    <w:basedOn w:val="DefaultParagraphFont"/>
    <w:rsid w:val="006038CE"/>
  </w:style>
  <w:style w:type="character" w:customStyle="1" w:styleId="mord">
    <w:name w:val="mord"/>
    <w:basedOn w:val="DefaultParagraphFont"/>
    <w:rsid w:val="006038CE"/>
  </w:style>
  <w:style w:type="character" w:customStyle="1" w:styleId="vlist-s">
    <w:name w:val="vlist-s"/>
    <w:basedOn w:val="DefaultParagraphFont"/>
    <w:rsid w:val="006038CE"/>
  </w:style>
  <w:style w:type="character" w:customStyle="1" w:styleId="mclose">
    <w:name w:val="mclose"/>
    <w:basedOn w:val="DefaultParagraphFont"/>
    <w:rsid w:val="006038CE"/>
  </w:style>
  <w:style w:type="character" w:customStyle="1" w:styleId="mrel">
    <w:name w:val="mrel"/>
    <w:basedOn w:val="DefaultParagraphFont"/>
    <w:rsid w:val="00742062"/>
  </w:style>
  <w:style w:type="character" w:customStyle="1" w:styleId="mbin">
    <w:name w:val="mbin"/>
    <w:basedOn w:val="DefaultParagraphFont"/>
    <w:rsid w:val="00742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92214272">
      <w:bodyDiv w:val="1"/>
      <w:marLeft w:val="0"/>
      <w:marRight w:val="0"/>
      <w:marTop w:val="0"/>
      <w:marBottom w:val="0"/>
      <w:divBdr>
        <w:top w:val="none" w:sz="0" w:space="0" w:color="auto"/>
        <w:left w:val="none" w:sz="0" w:space="0" w:color="auto"/>
        <w:bottom w:val="none" w:sz="0" w:space="0" w:color="auto"/>
        <w:right w:val="none" w:sz="0" w:space="0" w:color="auto"/>
      </w:divBdr>
      <w:divsChild>
        <w:div w:id="836534006">
          <w:marLeft w:val="0"/>
          <w:marRight w:val="0"/>
          <w:marTop w:val="0"/>
          <w:marBottom w:val="0"/>
          <w:divBdr>
            <w:top w:val="single" w:sz="2" w:space="0" w:color="auto"/>
            <w:left w:val="single" w:sz="2" w:space="0" w:color="auto"/>
            <w:bottom w:val="single" w:sz="2" w:space="0" w:color="auto"/>
            <w:right w:val="single" w:sz="2" w:space="0" w:color="auto"/>
          </w:divBdr>
          <w:divsChild>
            <w:div w:id="19057540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134184175">
      <w:bodyDiv w:val="1"/>
      <w:marLeft w:val="0"/>
      <w:marRight w:val="0"/>
      <w:marTop w:val="0"/>
      <w:marBottom w:val="0"/>
      <w:divBdr>
        <w:top w:val="none" w:sz="0" w:space="0" w:color="auto"/>
        <w:left w:val="none" w:sz="0" w:space="0" w:color="auto"/>
        <w:bottom w:val="none" w:sz="0" w:space="0" w:color="auto"/>
        <w:right w:val="none" w:sz="0" w:space="0" w:color="auto"/>
      </w:divBdr>
    </w:div>
    <w:div w:id="137503920">
      <w:bodyDiv w:val="1"/>
      <w:marLeft w:val="0"/>
      <w:marRight w:val="0"/>
      <w:marTop w:val="0"/>
      <w:marBottom w:val="0"/>
      <w:divBdr>
        <w:top w:val="none" w:sz="0" w:space="0" w:color="auto"/>
        <w:left w:val="none" w:sz="0" w:space="0" w:color="auto"/>
        <w:bottom w:val="none" w:sz="0" w:space="0" w:color="auto"/>
        <w:right w:val="none" w:sz="0" w:space="0" w:color="auto"/>
      </w:divBdr>
    </w:div>
    <w:div w:id="177083524">
      <w:bodyDiv w:val="1"/>
      <w:marLeft w:val="0"/>
      <w:marRight w:val="0"/>
      <w:marTop w:val="0"/>
      <w:marBottom w:val="0"/>
      <w:divBdr>
        <w:top w:val="none" w:sz="0" w:space="0" w:color="auto"/>
        <w:left w:val="none" w:sz="0" w:space="0" w:color="auto"/>
        <w:bottom w:val="none" w:sz="0" w:space="0" w:color="auto"/>
        <w:right w:val="none" w:sz="0" w:space="0" w:color="auto"/>
      </w:divBdr>
      <w:divsChild>
        <w:div w:id="100077082">
          <w:marLeft w:val="0"/>
          <w:marRight w:val="0"/>
          <w:marTop w:val="0"/>
          <w:marBottom w:val="0"/>
          <w:divBdr>
            <w:top w:val="single" w:sz="2" w:space="0" w:color="auto"/>
            <w:left w:val="single" w:sz="2" w:space="0" w:color="auto"/>
            <w:bottom w:val="single" w:sz="2" w:space="0" w:color="auto"/>
            <w:right w:val="single" w:sz="2" w:space="0" w:color="auto"/>
          </w:divBdr>
          <w:divsChild>
            <w:div w:id="13914227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335306114">
      <w:bodyDiv w:val="1"/>
      <w:marLeft w:val="0"/>
      <w:marRight w:val="0"/>
      <w:marTop w:val="0"/>
      <w:marBottom w:val="0"/>
      <w:divBdr>
        <w:top w:val="none" w:sz="0" w:space="0" w:color="auto"/>
        <w:left w:val="none" w:sz="0" w:space="0" w:color="auto"/>
        <w:bottom w:val="none" w:sz="0" w:space="0" w:color="auto"/>
        <w:right w:val="none" w:sz="0" w:space="0" w:color="auto"/>
      </w:divBdr>
    </w:div>
    <w:div w:id="399596649">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99890710">
      <w:bodyDiv w:val="1"/>
      <w:marLeft w:val="0"/>
      <w:marRight w:val="0"/>
      <w:marTop w:val="0"/>
      <w:marBottom w:val="0"/>
      <w:divBdr>
        <w:top w:val="none" w:sz="0" w:space="0" w:color="auto"/>
        <w:left w:val="none" w:sz="0" w:space="0" w:color="auto"/>
        <w:bottom w:val="none" w:sz="0" w:space="0" w:color="auto"/>
        <w:right w:val="none" w:sz="0" w:space="0" w:color="auto"/>
      </w:divBdr>
    </w:div>
    <w:div w:id="725642682">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6962572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125081136">
      <w:bodyDiv w:val="1"/>
      <w:marLeft w:val="0"/>
      <w:marRight w:val="0"/>
      <w:marTop w:val="0"/>
      <w:marBottom w:val="0"/>
      <w:divBdr>
        <w:top w:val="none" w:sz="0" w:space="0" w:color="auto"/>
        <w:left w:val="none" w:sz="0" w:space="0" w:color="auto"/>
        <w:bottom w:val="none" w:sz="0" w:space="0" w:color="auto"/>
        <w:right w:val="none" w:sz="0" w:space="0" w:color="auto"/>
      </w:divBdr>
    </w:div>
    <w:div w:id="1139689985">
      <w:bodyDiv w:val="1"/>
      <w:marLeft w:val="0"/>
      <w:marRight w:val="0"/>
      <w:marTop w:val="0"/>
      <w:marBottom w:val="0"/>
      <w:divBdr>
        <w:top w:val="none" w:sz="0" w:space="0" w:color="auto"/>
        <w:left w:val="none" w:sz="0" w:space="0" w:color="auto"/>
        <w:bottom w:val="none" w:sz="0" w:space="0" w:color="auto"/>
        <w:right w:val="none" w:sz="0" w:space="0" w:color="auto"/>
      </w:divBdr>
    </w:div>
    <w:div w:id="1178349617">
      <w:bodyDiv w:val="1"/>
      <w:marLeft w:val="0"/>
      <w:marRight w:val="0"/>
      <w:marTop w:val="0"/>
      <w:marBottom w:val="0"/>
      <w:divBdr>
        <w:top w:val="none" w:sz="0" w:space="0" w:color="auto"/>
        <w:left w:val="none" w:sz="0" w:space="0" w:color="auto"/>
        <w:bottom w:val="none" w:sz="0" w:space="0" w:color="auto"/>
        <w:right w:val="none" w:sz="0" w:space="0" w:color="auto"/>
      </w:divBdr>
    </w:div>
    <w:div w:id="1181625266">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03862693">
      <w:bodyDiv w:val="1"/>
      <w:marLeft w:val="0"/>
      <w:marRight w:val="0"/>
      <w:marTop w:val="0"/>
      <w:marBottom w:val="0"/>
      <w:divBdr>
        <w:top w:val="none" w:sz="0" w:space="0" w:color="auto"/>
        <w:left w:val="none" w:sz="0" w:space="0" w:color="auto"/>
        <w:bottom w:val="none" w:sz="0" w:space="0" w:color="auto"/>
        <w:right w:val="none" w:sz="0" w:space="0" w:color="auto"/>
      </w:divBdr>
    </w:div>
    <w:div w:id="1261451454">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18339236">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62169639">
      <w:bodyDiv w:val="1"/>
      <w:marLeft w:val="0"/>
      <w:marRight w:val="0"/>
      <w:marTop w:val="0"/>
      <w:marBottom w:val="0"/>
      <w:divBdr>
        <w:top w:val="none" w:sz="0" w:space="0" w:color="auto"/>
        <w:left w:val="none" w:sz="0" w:space="0" w:color="auto"/>
        <w:bottom w:val="none" w:sz="0" w:space="0" w:color="auto"/>
        <w:right w:val="none" w:sz="0" w:space="0" w:color="auto"/>
      </w:divBdr>
    </w:div>
    <w:div w:id="1366177625">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3172858">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591622195">
      <w:bodyDiv w:val="1"/>
      <w:marLeft w:val="0"/>
      <w:marRight w:val="0"/>
      <w:marTop w:val="0"/>
      <w:marBottom w:val="0"/>
      <w:divBdr>
        <w:top w:val="none" w:sz="0" w:space="0" w:color="auto"/>
        <w:left w:val="none" w:sz="0" w:space="0" w:color="auto"/>
        <w:bottom w:val="none" w:sz="0" w:space="0" w:color="auto"/>
        <w:right w:val="none" w:sz="0" w:space="0" w:color="auto"/>
      </w:divBdr>
    </w:div>
    <w:div w:id="1638796528">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52655573">
      <w:bodyDiv w:val="1"/>
      <w:marLeft w:val="0"/>
      <w:marRight w:val="0"/>
      <w:marTop w:val="0"/>
      <w:marBottom w:val="0"/>
      <w:divBdr>
        <w:top w:val="none" w:sz="0" w:space="0" w:color="auto"/>
        <w:left w:val="none" w:sz="0" w:space="0" w:color="auto"/>
        <w:bottom w:val="none" w:sz="0" w:space="0" w:color="auto"/>
        <w:right w:val="none" w:sz="0" w:space="0" w:color="auto"/>
      </w:divBdr>
      <w:divsChild>
        <w:div w:id="1891459673">
          <w:marLeft w:val="0"/>
          <w:marRight w:val="0"/>
          <w:marTop w:val="0"/>
          <w:marBottom w:val="0"/>
          <w:divBdr>
            <w:top w:val="single" w:sz="2" w:space="0" w:color="auto"/>
            <w:left w:val="single" w:sz="2" w:space="0" w:color="auto"/>
            <w:bottom w:val="single" w:sz="2" w:space="0" w:color="auto"/>
            <w:right w:val="single" w:sz="2" w:space="0" w:color="auto"/>
          </w:divBdr>
          <w:divsChild>
            <w:div w:id="14334772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72553845">
      <w:bodyDiv w:val="1"/>
      <w:marLeft w:val="0"/>
      <w:marRight w:val="0"/>
      <w:marTop w:val="0"/>
      <w:marBottom w:val="0"/>
      <w:divBdr>
        <w:top w:val="none" w:sz="0" w:space="0" w:color="auto"/>
        <w:left w:val="none" w:sz="0" w:space="0" w:color="auto"/>
        <w:bottom w:val="none" w:sz="0" w:space="0" w:color="auto"/>
        <w:right w:val="none" w:sz="0" w:space="0" w:color="auto"/>
      </w:divBdr>
      <w:divsChild>
        <w:div w:id="763110406">
          <w:marLeft w:val="0"/>
          <w:marRight w:val="0"/>
          <w:marTop w:val="0"/>
          <w:marBottom w:val="0"/>
          <w:divBdr>
            <w:top w:val="single" w:sz="2" w:space="0" w:color="auto"/>
            <w:left w:val="single" w:sz="2" w:space="0" w:color="auto"/>
            <w:bottom w:val="single" w:sz="2" w:space="0" w:color="auto"/>
            <w:right w:val="single" w:sz="2" w:space="0" w:color="auto"/>
          </w:divBdr>
          <w:divsChild>
            <w:div w:id="2014412423">
              <w:marLeft w:val="0"/>
              <w:marRight w:val="0"/>
              <w:marTop w:val="0"/>
              <w:marBottom w:val="0"/>
              <w:divBdr>
                <w:top w:val="single" w:sz="2" w:space="0" w:color="auto"/>
                <w:left w:val="single" w:sz="2" w:space="0" w:color="auto"/>
                <w:bottom w:val="single" w:sz="2" w:space="0" w:color="auto"/>
                <w:right w:val="single" w:sz="2" w:space="0" w:color="auto"/>
              </w:divBdr>
              <w:divsChild>
                <w:div w:id="2112046945">
                  <w:marLeft w:val="0"/>
                  <w:marRight w:val="0"/>
                  <w:marTop w:val="0"/>
                  <w:marBottom w:val="0"/>
                  <w:divBdr>
                    <w:top w:val="single" w:sz="2" w:space="0" w:color="auto"/>
                    <w:left w:val="single" w:sz="2" w:space="0" w:color="auto"/>
                    <w:bottom w:val="single" w:sz="2" w:space="0" w:color="auto"/>
                    <w:right w:val="single" w:sz="2" w:space="0" w:color="auto"/>
                  </w:divBdr>
                  <w:divsChild>
                    <w:div w:id="880556973">
                      <w:marLeft w:val="0"/>
                      <w:marRight w:val="0"/>
                      <w:marTop w:val="0"/>
                      <w:marBottom w:val="0"/>
                      <w:divBdr>
                        <w:top w:val="single" w:sz="2" w:space="0" w:color="auto"/>
                        <w:left w:val="single" w:sz="2" w:space="0" w:color="auto"/>
                        <w:bottom w:val="single" w:sz="2" w:space="0" w:color="auto"/>
                        <w:right w:val="single" w:sz="2" w:space="0" w:color="auto"/>
                      </w:divBdr>
                      <w:divsChild>
                        <w:div w:id="1894727702">
                          <w:marLeft w:val="0"/>
                          <w:marRight w:val="0"/>
                          <w:marTop w:val="0"/>
                          <w:marBottom w:val="0"/>
                          <w:divBdr>
                            <w:top w:val="single" w:sz="2" w:space="0" w:color="auto"/>
                            <w:left w:val="single" w:sz="2" w:space="0" w:color="auto"/>
                            <w:bottom w:val="single" w:sz="2" w:space="0" w:color="auto"/>
                            <w:right w:val="single" w:sz="2" w:space="0" w:color="auto"/>
                          </w:divBdr>
                          <w:divsChild>
                            <w:div w:id="464277839">
                              <w:marLeft w:val="0"/>
                              <w:marRight w:val="0"/>
                              <w:marTop w:val="0"/>
                              <w:marBottom w:val="0"/>
                              <w:divBdr>
                                <w:top w:val="single" w:sz="2" w:space="0" w:color="auto"/>
                                <w:left w:val="single" w:sz="2" w:space="0" w:color="auto"/>
                                <w:bottom w:val="single" w:sz="2" w:space="0" w:color="auto"/>
                                <w:right w:val="single" w:sz="2" w:space="0" w:color="auto"/>
                              </w:divBdr>
                              <w:divsChild>
                                <w:div w:id="227345385">
                                  <w:marLeft w:val="0"/>
                                  <w:marRight w:val="0"/>
                                  <w:marTop w:val="0"/>
                                  <w:marBottom w:val="0"/>
                                  <w:divBdr>
                                    <w:top w:val="single" w:sz="2" w:space="0" w:color="auto"/>
                                    <w:left w:val="single" w:sz="2" w:space="0" w:color="auto"/>
                                    <w:bottom w:val="single" w:sz="2" w:space="0" w:color="auto"/>
                                    <w:right w:val="single" w:sz="2" w:space="0" w:color="auto"/>
                                  </w:divBdr>
                                  <w:divsChild>
                                    <w:div w:id="5400200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98253786">
      <w:bodyDiv w:val="1"/>
      <w:marLeft w:val="0"/>
      <w:marRight w:val="0"/>
      <w:marTop w:val="0"/>
      <w:marBottom w:val="0"/>
      <w:divBdr>
        <w:top w:val="none" w:sz="0" w:space="0" w:color="auto"/>
        <w:left w:val="none" w:sz="0" w:space="0" w:color="auto"/>
        <w:bottom w:val="none" w:sz="0" w:space="0" w:color="auto"/>
        <w:right w:val="none" w:sz="0" w:space="0" w:color="auto"/>
      </w:divBdr>
    </w:div>
    <w:div w:id="1876966486">
      <w:bodyDiv w:val="1"/>
      <w:marLeft w:val="0"/>
      <w:marRight w:val="0"/>
      <w:marTop w:val="0"/>
      <w:marBottom w:val="0"/>
      <w:divBdr>
        <w:top w:val="none" w:sz="0" w:space="0" w:color="auto"/>
        <w:left w:val="none" w:sz="0" w:space="0" w:color="auto"/>
        <w:bottom w:val="none" w:sz="0" w:space="0" w:color="auto"/>
        <w:right w:val="none" w:sz="0" w:space="0" w:color="auto"/>
      </w:divBdr>
    </w:div>
    <w:div w:id="1888224158">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29190692">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04315884">
      <w:bodyDiv w:val="1"/>
      <w:marLeft w:val="0"/>
      <w:marRight w:val="0"/>
      <w:marTop w:val="0"/>
      <w:marBottom w:val="0"/>
      <w:divBdr>
        <w:top w:val="none" w:sz="0" w:space="0" w:color="auto"/>
        <w:left w:val="none" w:sz="0" w:space="0" w:color="auto"/>
        <w:bottom w:val="none" w:sz="0" w:space="0" w:color="auto"/>
        <w:right w:val="none" w:sz="0" w:space="0" w:color="auto"/>
      </w:divBdr>
    </w:div>
    <w:div w:id="2031175378">
      <w:bodyDiv w:val="1"/>
      <w:marLeft w:val="0"/>
      <w:marRight w:val="0"/>
      <w:marTop w:val="0"/>
      <w:marBottom w:val="0"/>
      <w:divBdr>
        <w:top w:val="none" w:sz="0" w:space="0" w:color="auto"/>
        <w:left w:val="none" w:sz="0" w:space="0" w:color="auto"/>
        <w:bottom w:val="none" w:sz="0" w:space="0" w:color="auto"/>
        <w:right w:val="none" w:sz="0" w:space="0" w:color="auto"/>
      </w:divBdr>
    </w:div>
    <w:div w:id="2048216307">
      <w:bodyDiv w:val="1"/>
      <w:marLeft w:val="0"/>
      <w:marRight w:val="0"/>
      <w:marTop w:val="0"/>
      <w:marBottom w:val="0"/>
      <w:divBdr>
        <w:top w:val="none" w:sz="0" w:space="0" w:color="auto"/>
        <w:left w:val="none" w:sz="0" w:space="0" w:color="auto"/>
        <w:bottom w:val="none" w:sz="0" w:space="0" w:color="auto"/>
        <w:right w:val="none" w:sz="0" w:space="0" w:color="auto"/>
      </w:divBdr>
    </w:div>
    <w:div w:id="2049261559">
      <w:bodyDiv w:val="1"/>
      <w:marLeft w:val="0"/>
      <w:marRight w:val="0"/>
      <w:marTop w:val="0"/>
      <w:marBottom w:val="0"/>
      <w:divBdr>
        <w:top w:val="none" w:sz="0" w:space="0" w:color="auto"/>
        <w:left w:val="none" w:sz="0" w:space="0" w:color="auto"/>
        <w:bottom w:val="none" w:sz="0" w:space="0" w:color="auto"/>
        <w:right w:val="none" w:sz="0" w:space="0" w:color="auto"/>
      </w:divBdr>
    </w:div>
    <w:div w:id="2083940928">
      <w:bodyDiv w:val="1"/>
      <w:marLeft w:val="0"/>
      <w:marRight w:val="0"/>
      <w:marTop w:val="0"/>
      <w:marBottom w:val="0"/>
      <w:divBdr>
        <w:top w:val="none" w:sz="0" w:space="0" w:color="auto"/>
        <w:left w:val="none" w:sz="0" w:space="0" w:color="auto"/>
        <w:bottom w:val="none" w:sz="0" w:space="0" w:color="auto"/>
        <w:right w:val="none" w:sz="0" w:space="0" w:color="auto"/>
      </w:divBdr>
    </w:div>
    <w:div w:id="213150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56B5D-1EAE-4FA3-91D7-1BB50922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22614</TotalTime>
  <Pages>8</Pages>
  <Words>2749</Words>
  <Characters>15670</Characters>
  <Application>Microsoft Office Word</Application>
  <DocSecurity>0</DocSecurity>
  <Lines>130</Lines>
  <Paragraphs>36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SBFD subband Indication </vt:lpstr>
      <vt:lpstr>    UE specific time/frequency configuration of SBFD subbands</vt:lpstr>
      <vt:lpstr>    Guard period Configuration </vt:lpstr>
      <vt:lpstr>TX/RX measurement procedure </vt:lpstr>
      <vt:lpstr>    Link direction from UE perspective</vt:lpstr>
      <vt:lpstr>    Physical channel/signal mapped to SBFD and non-SBFD symbols within a slot (confi</vt:lpstr>
      <vt:lpstr>SSB symbols in SBFD subbands </vt:lpstr>
      <vt:lpstr>Separate resources, FH, UL power control and beam relation in SBFD and non-SBFD </vt:lpstr>
      <vt:lpstr>        Configuration of FH for PUSCH in SBFD and non-SBFD symbols </vt:lpstr>
      <vt:lpstr>        Separate FH for PUCCH in SBFD and non-SBFD symbols </vt:lpstr>
      <vt:lpstr>        Separate UL power control in unified TCI frame work for SRS, PUCCH and PUSCH in </vt:lpstr>
      <vt:lpstr>        Beam Indication in unified TCI frame work for SRS, PUCCH and PUSCH in SBFD and n</vt:lpstr>
      <vt:lpstr>Conclusion</vt:lpstr>
      <vt:lpstr>References</vt:lpstr>
    </vt:vector>
  </TitlesOfParts>
  <Company>Huawei Technologies</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1415</cp:revision>
  <cp:lastPrinted>2007-06-18T22:08:00Z</cp:lastPrinted>
  <dcterms:created xsi:type="dcterms:W3CDTF">2022-11-07T09:02:00Z</dcterms:created>
  <dcterms:modified xsi:type="dcterms:W3CDTF">2025-03-28T08:42:00Z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