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EF212">
      <w:pPr>
        <w:widowControl w:val="0"/>
        <w:tabs>
          <w:tab w:val="right" w:pos="10206"/>
        </w:tabs>
        <w:spacing w:after="0" w:afterAutospacing="0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0" w:name="OLE_LINK3"/>
      <w:bookmarkStart w:id="6" w:name="_GoBack"/>
      <w:bookmarkEnd w:id="6"/>
      <w:r>
        <w:rPr>
          <w:rFonts w:ascii="Arial" w:hAnsi="Arial" w:eastAsia="MS Mincho" w:cs="Arial"/>
          <w:b/>
          <w:sz w:val="28"/>
          <w:szCs w:val="28"/>
          <w:lang w:val="en-US"/>
        </w:rPr>
        <w:t>3GPP TSG RAN WG1 #1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 xml:space="preserve">20    </w:t>
      </w:r>
      <w:r>
        <w:rPr>
          <w:rFonts w:ascii="Arial" w:hAnsi="Arial" w:eastAsia="MS Mincho" w:cs="Arial"/>
          <w:b/>
          <w:sz w:val="28"/>
          <w:szCs w:val="28"/>
          <w:lang w:val="en-US"/>
        </w:rPr>
        <w:t xml:space="preserve">                               </w:t>
      </w:r>
      <w:r>
        <w:rPr>
          <w:rFonts w:hint="eastAsia" w:ascii="Arial" w:hAnsi="Arial" w:eastAsia="MS Mincho" w:cs="Arial"/>
          <w:b/>
          <w:sz w:val="28"/>
          <w:szCs w:val="28"/>
          <w:lang w:val="en-US"/>
        </w:rPr>
        <w:t>R1-2501094</w:t>
      </w:r>
    </w:p>
    <w:p w14:paraId="3AE56985">
      <w:pPr>
        <w:pStyle w:val="10"/>
        <w:tabs>
          <w:tab w:val="right" w:pos="10206"/>
        </w:tabs>
        <w:spacing w:after="0" w:afterAutospacing="0"/>
        <w:rPr>
          <w:rFonts w:eastAsia="宋体" w:cs="Arial"/>
          <w:sz w:val="28"/>
          <w:szCs w:val="28"/>
          <w:lang w:val="en-US" w:eastAsia="zh-CN"/>
        </w:rPr>
      </w:pPr>
      <w:r>
        <w:rPr>
          <w:rFonts w:hint="eastAsia" w:eastAsia="宋体" w:cs="Arial"/>
          <w:sz w:val="28"/>
          <w:szCs w:val="28"/>
          <w:lang w:val="en-US" w:eastAsia="zh-CN"/>
        </w:rPr>
        <w:t>Athens</w:t>
      </w:r>
      <w:r>
        <w:rPr>
          <w:rFonts w:hint="eastAsia" w:cs="Arial"/>
          <w:sz w:val="28"/>
          <w:szCs w:val="28"/>
          <w:lang w:val="en-US"/>
        </w:rPr>
        <w:t xml:space="preserve">, </w:t>
      </w:r>
      <w:r>
        <w:rPr>
          <w:rFonts w:hint="eastAsia" w:eastAsia="宋体" w:cs="Arial"/>
          <w:sz w:val="28"/>
          <w:szCs w:val="28"/>
          <w:lang w:val="en-US" w:eastAsia="zh-CN"/>
        </w:rPr>
        <w:t>Greece</w:t>
      </w:r>
      <w:r>
        <w:rPr>
          <w:rFonts w:hint="eastAsia" w:cs="Arial"/>
          <w:sz w:val="28"/>
          <w:szCs w:val="28"/>
          <w:lang w:val="en-US"/>
        </w:rPr>
        <w:t xml:space="preserve">, </w:t>
      </w:r>
      <w:r>
        <w:rPr>
          <w:rFonts w:hint="eastAsia" w:eastAsia="宋体" w:cs="Arial"/>
          <w:sz w:val="28"/>
          <w:szCs w:val="28"/>
          <w:lang w:val="en-US" w:eastAsia="zh-CN"/>
        </w:rPr>
        <w:t xml:space="preserve">February </w:t>
      </w:r>
      <w:r>
        <w:rPr>
          <w:rFonts w:hint="eastAsia" w:cs="Arial"/>
          <w:sz w:val="28"/>
          <w:szCs w:val="28"/>
          <w:lang w:val="en-US"/>
        </w:rPr>
        <w:t>1</w:t>
      </w:r>
      <w:r>
        <w:rPr>
          <w:rFonts w:hint="eastAsia" w:eastAsia="宋体" w:cs="Arial"/>
          <w:sz w:val="28"/>
          <w:szCs w:val="28"/>
          <w:lang w:val="en-US" w:eastAsia="zh-CN"/>
        </w:rPr>
        <w:t>7</w:t>
      </w:r>
      <w:r>
        <w:rPr>
          <w:rFonts w:hint="eastAsia" w:eastAsia="宋体" w:cs="Arial"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eastAsia="宋体" w:cs="Arial"/>
          <w:sz w:val="28"/>
          <w:szCs w:val="28"/>
          <w:lang w:val="en-US" w:eastAsia="zh-CN"/>
        </w:rPr>
        <w:t xml:space="preserve"> - </w:t>
      </w:r>
      <w:r>
        <w:rPr>
          <w:rFonts w:hint="eastAsia" w:cs="Arial"/>
          <w:sz w:val="28"/>
          <w:szCs w:val="28"/>
          <w:lang w:val="en-US"/>
        </w:rPr>
        <w:t>2</w:t>
      </w:r>
      <w:r>
        <w:rPr>
          <w:rFonts w:hint="eastAsia" w:eastAsia="宋体" w:cs="Arial"/>
          <w:sz w:val="28"/>
          <w:szCs w:val="28"/>
          <w:lang w:val="en-US" w:eastAsia="zh-CN"/>
        </w:rPr>
        <w:t>1</w:t>
      </w:r>
      <w:r>
        <w:rPr>
          <w:rFonts w:hint="eastAsia" w:eastAsia="宋体" w:cs="Arial"/>
          <w:sz w:val="28"/>
          <w:szCs w:val="28"/>
          <w:vertAlign w:val="superscript"/>
          <w:lang w:val="en-US" w:eastAsia="zh-CN"/>
        </w:rPr>
        <w:t>st</w:t>
      </w:r>
      <w:r>
        <w:rPr>
          <w:rFonts w:hint="eastAsia" w:cs="Arial"/>
          <w:sz w:val="28"/>
          <w:szCs w:val="28"/>
          <w:lang w:val="en-US"/>
        </w:rPr>
        <w:t>, 202</w:t>
      </w:r>
      <w:r>
        <w:rPr>
          <w:rFonts w:hint="eastAsia" w:eastAsia="宋体" w:cs="Arial"/>
          <w:sz w:val="28"/>
          <w:szCs w:val="28"/>
          <w:lang w:val="en-US" w:eastAsia="zh-CN"/>
        </w:rPr>
        <w:t>5</w:t>
      </w:r>
    </w:p>
    <w:p w14:paraId="16763EDF">
      <w:pPr>
        <w:widowControl w:val="0"/>
        <w:tabs>
          <w:tab w:val="right" w:pos="10206"/>
        </w:tabs>
        <w:spacing w:afterAutospacing="0"/>
        <w:rPr>
          <w:rFonts w:ascii="Arial" w:hAnsi="Arial" w:eastAsia="宋体" w:cs="Arial"/>
          <w:b/>
          <w:sz w:val="28"/>
          <w:szCs w:val="28"/>
          <w:lang w:val="en-US" w:eastAsia="zh-CN"/>
        </w:rPr>
      </w:pPr>
    </w:p>
    <w:bookmarkEnd w:id="0"/>
    <w:p w14:paraId="6E8C3AA4">
      <w:pPr>
        <w:tabs>
          <w:tab w:val="left" w:pos="1985"/>
        </w:tabs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1" w:name="_Ref133120545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S</w:t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harp</w:t>
      </w:r>
    </w:p>
    <w:p w14:paraId="696A4A4D">
      <w:pPr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Discussion on timing acquisition and synchronization</w:t>
      </w:r>
    </w:p>
    <w:p w14:paraId="571C1DA7">
      <w:pPr>
        <w:spacing w:after="0" w:afterAutospacing="0"/>
        <w:ind w:left="1985" w:hanging="1985" w:hangingChars="706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9.4.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3</w:t>
      </w:r>
    </w:p>
    <w:p w14:paraId="4912A59F">
      <w:pPr>
        <w:pBdr>
          <w:bottom w:val="single" w:color="auto" w:sz="12" w:space="1"/>
        </w:pBdr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5421FABC">
      <w:pPr>
        <w:pStyle w:val="2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200DDD06">
      <w:pPr>
        <w:spacing w:before="180" w:beforeLines="50" w:beforeAutospacing="1" w:after="180" w:afterLines="5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new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work </w:t>
      </w:r>
      <w:r>
        <w:rPr>
          <w:rFonts w:eastAsia="宋体"/>
          <w:lang w:eastAsia="zh-CN"/>
        </w:rPr>
        <w:t>item 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Ambient IoT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_Ref124764504 \n \h </w:instrText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for Rel-19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hint="eastAsia" w:eastAsia="宋体"/>
          <w:lang w:val="en-US" w:eastAsia="zh-CN"/>
        </w:rPr>
        <w:t>RAN#106, with objectives including the following</w:t>
      </w:r>
      <w:r>
        <w:rPr>
          <w:rFonts w:eastAsia="宋体"/>
          <w:lang w:val="en-US" w:eastAsia="zh-CN"/>
        </w:rPr>
        <w:t>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77C1F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563C4B5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/>
              <w:spacing w:before="0" w:beforeAutospacing="0" w:after="120" w:afterAutospacing="0"/>
              <w:ind w:right="-96"/>
              <w:textAlignment w:val="baseline"/>
              <w:rPr>
                <w:rFonts w:hint="eastAsia" w:eastAsia="宋体"/>
                <w:sz w:val="24"/>
                <w:szCs w:val="24"/>
                <w:lang w:val="en-US"/>
              </w:rPr>
            </w:pPr>
            <w:r>
              <w:rPr>
                <w:rFonts w:hint="eastAsia" w:eastAsia="宋体"/>
                <w:sz w:val="24"/>
                <w:szCs w:val="24"/>
                <w:lang w:val="en-US"/>
              </w:rPr>
              <w:t>RAN1 scope:</w:t>
            </w:r>
          </w:p>
          <w:p w14:paraId="1AFE115C"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/>
              <w:spacing w:before="0" w:beforeAutospacing="0" w:after="120" w:afterAutospacing="0"/>
              <w:ind w:right="-96"/>
              <w:jc w:val="left"/>
              <w:textAlignment w:val="baseline"/>
              <w:rPr>
                <w:rFonts w:hint="eastAsia" w:eastAsia="宋体"/>
                <w:sz w:val="24"/>
                <w:szCs w:val="24"/>
                <w:lang w:val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[...]</w:t>
            </w:r>
          </w:p>
          <w:p w14:paraId="637D7EE1"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/>
              <w:spacing w:before="0" w:beforeAutospacing="0" w:after="120" w:afterAutospacing="0"/>
              <w:ind w:right="-96"/>
              <w:jc w:val="both"/>
              <w:textAlignment w:val="baseline"/>
              <w:rPr>
                <w:rFonts w:hint="eastAsia" w:eastAsia="宋体"/>
                <w:sz w:val="24"/>
                <w:szCs w:val="24"/>
                <w:lang w:val="en-US" w:eastAsia="ja-JP"/>
              </w:rPr>
            </w:pPr>
            <w:r>
              <w:rPr>
                <w:rFonts w:hint="eastAsia" w:eastAsia="宋体"/>
                <w:sz w:val="24"/>
                <w:szCs w:val="24"/>
                <w:lang w:val="en-US" w:eastAsia="ja-JP"/>
              </w:rPr>
              <w:t>PRDCH and PDRCH, which are the only physical channels in R2D and D2R, respectively.</w:t>
            </w:r>
          </w:p>
          <w:p w14:paraId="3C93365D"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/>
              <w:spacing w:before="0" w:beforeAutospacing="0" w:after="120" w:afterAutospacing="0"/>
              <w:ind w:right="-96"/>
              <w:jc w:val="both"/>
              <w:textAlignment w:val="baseline"/>
              <w:rPr>
                <w:rFonts w:hint="eastAsia" w:eastAsia="宋体"/>
                <w:sz w:val="24"/>
                <w:szCs w:val="24"/>
                <w:lang w:val="en-US" w:eastAsia="ja-JP"/>
              </w:rPr>
            </w:pPr>
            <w:r>
              <w:rPr>
                <w:rFonts w:hint="eastAsia" w:eastAsia="宋体"/>
                <w:sz w:val="24"/>
                <w:szCs w:val="24"/>
                <w:lang w:val="en-US" w:eastAsia="ja-JP"/>
              </w:rPr>
              <w:t>R2D and D2R signal(s)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.</w:t>
            </w:r>
          </w:p>
          <w:p w14:paraId="6F6967BC"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/>
              <w:spacing w:before="0" w:beforeAutospacing="0" w:after="120" w:afterAutospacing="0"/>
              <w:ind w:right="-96"/>
              <w:jc w:val="left"/>
              <w:textAlignment w:val="baseline"/>
              <w:rPr>
                <w:rFonts w:hint="eastAsia" w:eastAsia="宋体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[...]</w:t>
            </w:r>
          </w:p>
        </w:tc>
      </w:tr>
    </w:tbl>
    <w:p w14:paraId="24898755">
      <w:pPr>
        <w:spacing w:before="180" w:beforeLines="50" w:beforeAutospacing="1" w:after="180" w:afterLines="50" w:afterAutospacing="0"/>
        <w:rPr>
          <w:rFonts w:hint="default" w:eastAsia="宋体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on </w:t>
      </w:r>
      <w:r>
        <w:rPr>
          <w:rFonts w:hint="eastAsia" w:eastAsia="宋体"/>
          <w:lang w:val="en-US" w:eastAsia="zh-CN"/>
        </w:rPr>
        <w:t xml:space="preserve">a few </w:t>
      </w:r>
      <w:r>
        <w:rPr>
          <w:rFonts w:eastAsia="宋体"/>
          <w:lang w:val="en-US" w:eastAsia="zh-CN"/>
        </w:rPr>
        <w:t>aspects</w:t>
      </w:r>
      <w:r>
        <w:rPr>
          <w:rFonts w:hint="eastAsia" w:eastAsia="宋体"/>
          <w:lang w:val="en-US" w:eastAsia="zh-CN"/>
        </w:rPr>
        <w:t xml:space="preserve"> related to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timing acquisition and synchronization in A-IoT.</w:t>
      </w:r>
    </w:p>
    <w:p w14:paraId="768C4A6D">
      <w:pPr>
        <w:pStyle w:val="2"/>
        <w:spacing w:after="180"/>
        <w:rPr>
          <w:lang w:val="en-US"/>
        </w:rPr>
      </w:pPr>
      <w:r>
        <w:rPr>
          <w:lang w:val="en-US"/>
        </w:rPr>
        <w:t>Discussion</w:t>
      </w:r>
    </w:p>
    <w:p w14:paraId="0E54C55A">
      <w:pPr>
        <w:pStyle w:val="3"/>
        <w:spacing w:after="180"/>
        <w:rPr>
          <w:lang w:val="en-US" w:eastAsia="zh-CN"/>
        </w:rPr>
      </w:pPr>
      <w:bookmarkStart w:id="3" w:name="_Ref17383"/>
      <w:r>
        <w:rPr>
          <w:rFonts w:hint="eastAsia"/>
          <w:lang w:val="en-US" w:eastAsia="zh-CN"/>
        </w:rPr>
        <w:t xml:space="preserve">R2D </w:t>
      </w:r>
      <w:bookmarkEnd w:id="3"/>
      <w:r>
        <w:rPr>
          <w:rFonts w:hint="eastAsia"/>
          <w:lang w:val="en-US" w:eastAsia="zh-CN"/>
        </w:rPr>
        <w:t>start-indicator part (SIP)</w:t>
      </w:r>
    </w:p>
    <w:p w14:paraId="6464ADCD">
      <w:pPr>
        <w:spacing w:before="180" w:beforeLines="50" w:beforeAutospacing="1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following options related to R2D SIP were captured in the TR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_Ref21925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>,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0FE0A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5F2FE607">
            <w:pPr>
              <w:pStyle w:val="22"/>
              <w:keepNext w:val="0"/>
              <w:keepLines w:val="0"/>
              <w:widowControl/>
              <w:suppressLineNumbers w:val="0"/>
              <w:spacing w:before="0" w:beforeAutospacing="0"/>
              <w:ind w:right="0"/>
              <w:rPr>
                <w:rFonts w:hint="eastAsia" w:eastAsia="等线"/>
                <w:szCs w:val="20"/>
              </w:rPr>
            </w:pPr>
            <w:r>
              <w:rPr>
                <w:rFonts w:hint="eastAsia" w:eastAsia="等线"/>
                <w:szCs w:val="20"/>
              </w:rPr>
              <w:t>-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</w:rPr>
              <w:t xml:space="preserve">Option 1: ON-OFF transmission is considered based on energy/edge detection, and multiple alternatives have been studied including </w:t>
            </w:r>
          </w:p>
          <w:p w14:paraId="4B9884DE">
            <w:pPr>
              <w:pStyle w:val="24"/>
              <w:keepNext w:val="0"/>
              <w:keepLines w:val="0"/>
              <w:widowControl/>
              <w:suppressLineNumbers w:val="0"/>
              <w:spacing w:before="0" w:beforeAutospacing="0"/>
              <w:ind w:right="0"/>
              <w:rPr>
                <w:rFonts w:hint="eastAsia" w:eastAsia="等线"/>
                <w:szCs w:val="20"/>
              </w:rPr>
            </w:pPr>
            <w:r>
              <w:rPr>
                <w:rFonts w:hint="eastAsia" w:eastAsia="等线"/>
                <w:szCs w:val="20"/>
              </w:rPr>
              <w:t>-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</w:rPr>
              <w:t>Alt 1: A single ON-OFF transmission, i.e. one high-voltage transmission followed by one low-voltage transmission, where ON and OFF may have same or different durations</w:t>
            </w:r>
          </w:p>
          <w:p w14:paraId="352E08D3">
            <w:pPr>
              <w:pStyle w:val="24"/>
              <w:keepNext w:val="0"/>
              <w:keepLines w:val="0"/>
              <w:widowControl/>
              <w:suppressLineNumbers w:val="0"/>
              <w:spacing w:before="0" w:beforeAutospacing="0"/>
              <w:ind w:right="0"/>
              <w:rPr>
                <w:rFonts w:hint="eastAsia" w:eastAsia="等线"/>
                <w:szCs w:val="20"/>
              </w:rPr>
            </w:pPr>
            <w:r>
              <w:rPr>
                <w:rFonts w:hint="eastAsia" w:eastAsia="等线"/>
                <w:szCs w:val="20"/>
              </w:rPr>
              <w:t>-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</w:rPr>
              <w:t>Alt 2: A multi-ON-OFF transmission, where different ON and different OFF may have same or different durations and different parts may have same or different duration</w:t>
            </w:r>
          </w:p>
          <w:p w14:paraId="421547C4">
            <w:pPr>
              <w:pStyle w:val="22"/>
              <w:keepNext w:val="0"/>
              <w:keepLines w:val="0"/>
              <w:widowControl/>
              <w:suppressLineNumbers w:val="0"/>
              <w:spacing w:before="0" w:beforeAutospacing="0"/>
              <w:ind w:right="0"/>
              <w:rPr>
                <w:rFonts w:hint="eastAsia" w:eastAsia="等线"/>
                <w:szCs w:val="20"/>
              </w:rPr>
            </w:pPr>
            <w:r>
              <w:rPr>
                <w:rFonts w:hint="eastAsia" w:eastAsia="等线"/>
                <w:szCs w:val="20"/>
              </w:rPr>
              <w:t>-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</w:rPr>
              <w:t>Option 2: ON-OFF sequence-based design is considered which consists of a pre-defined sequence for detection of start-indicator part based on digital correlation</w:t>
            </w:r>
          </w:p>
          <w:p w14:paraId="76AACAD0">
            <w:pPr>
              <w:pStyle w:val="22"/>
              <w:keepNext w:val="0"/>
              <w:keepLines w:val="0"/>
              <w:widowControl/>
              <w:suppressLineNumbers w:val="0"/>
              <w:spacing w:before="0" w:beforeAutospacing="0"/>
              <w:ind w:right="0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Cs w:val="20"/>
              </w:rPr>
              <w:t>-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</w:rPr>
              <w:t xml:space="preserve">For both the options, it is observed that a fixed duration for the start-indicator part can be considered, regardless of the value of </w:t>
            </w:r>
            <w:r>
              <w:rPr>
                <w:rFonts w:hint="eastAsia" w:eastAsia="等线"/>
                <w:i/>
                <w:iCs/>
                <w:szCs w:val="20"/>
              </w:rPr>
              <w:t>M</w:t>
            </w:r>
            <w:r>
              <w:rPr>
                <w:rFonts w:hint="eastAsia" w:eastAsia="等线"/>
                <w:szCs w:val="20"/>
              </w:rPr>
              <w:t xml:space="preserve"> used for PRDCH transmissions.</w:t>
            </w:r>
          </w:p>
        </w:tc>
      </w:tr>
    </w:tbl>
    <w:p w14:paraId="1EE7339D">
      <w:pPr>
        <w:spacing w:before="180" w:beforeLines="50" w:beforeAutospacing="1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According to the evaluations and observations captured in the TR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_Ref21925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>, Option 1 is sufficient in achieving the MDR and FAR targets for the R2D SIP, and so a more complex sequence-based design (i.e. Option 2) is not necessary and should be excluded.</w:t>
      </w:r>
    </w:p>
    <w:p w14:paraId="1EACB3FB">
      <w:pPr>
        <w:pStyle w:val="18"/>
        <w:ind w:left="1680" w:hanging="168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For R2D </w:t>
      </w:r>
      <w:r>
        <w:rPr>
          <w:rFonts w:hint="eastAsia"/>
          <w:lang w:val="en-US" w:eastAsia="zh-CN"/>
        </w:rPr>
        <w:t>start-indicator part (SIP)</w:t>
      </w:r>
      <w:r>
        <w:rPr>
          <w:rFonts w:hint="eastAsia" w:eastAsiaTheme="minorEastAsia"/>
          <w:lang w:val="en-US" w:eastAsia="zh-CN"/>
        </w:rPr>
        <w:t xml:space="preserve">, single ON-OFF or multi-ON-OFF transmission (i.e. </w:t>
      </w:r>
      <w:r>
        <w:rPr>
          <w:rFonts w:hint="eastAsia" w:eastAsia="宋体"/>
          <w:lang w:val="en-US" w:eastAsia="zh-CN"/>
        </w:rPr>
        <w:t>Option 1) is sufficient in achieving the MDR and FAR targets for the R2D SIP, and so a more complex sequence-based design (i.e. Option 2) is not necessary</w:t>
      </w:r>
      <w:r>
        <w:rPr>
          <w:rFonts w:hint="eastAsia" w:eastAsiaTheme="minorEastAsia"/>
          <w:lang w:val="en-US" w:eastAsia="zh-CN"/>
        </w:rPr>
        <w:t>.</w:t>
      </w:r>
    </w:p>
    <w:p w14:paraId="59B4E8F0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R2D </w:t>
      </w:r>
      <w:r>
        <w:rPr>
          <w:rFonts w:hint="eastAsia"/>
          <w:lang w:val="en-US" w:eastAsia="zh-CN"/>
        </w:rPr>
        <w:t>start-indicator part (SIP)</w:t>
      </w:r>
      <w:r>
        <w:rPr>
          <w:rFonts w:hint="eastAsia" w:eastAsia="宋体"/>
          <w:lang w:val="en-US" w:eastAsia="zh-CN"/>
        </w:rPr>
        <w:t>, Option 2 (i.e. a pre-defined ON-OFF sequence for detection of R2D SIP based on digital correlation) is not considered for A-IoT in Rel-19.</w:t>
      </w:r>
    </w:p>
    <w:p w14:paraId="6CD5ECF8">
      <w:pPr>
        <w:spacing w:before="180" w:beforeLines="50" w:beforeAutospacing="1" w:after="180" w:afterLines="5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the two alternatives in Option 1, evaluation results from companies are a bit divergent, so we think some more discussions may be necessary in order to choose one of them as the R2D SIP design.</w:t>
      </w:r>
    </w:p>
    <w:p w14:paraId="5DE0C6D9">
      <w:pPr>
        <w:pStyle w:val="18"/>
        <w:ind w:left="1680" w:hanging="168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For R2D SIP,</w:t>
      </w:r>
      <w:r>
        <w:rPr>
          <w:rFonts w:hint="eastAsia" w:eastAsia="宋体"/>
          <w:lang w:val="en-US" w:eastAsia="zh-CN"/>
        </w:rPr>
        <w:t xml:space="preserve"> more discussions are necessary on whether to adopt </w:t>
      </w:r>
      <w:r>
        <w:rPr>
          <w:rFonts w:hint="eastAsia" w:eastAsiaTheme="minorEastAsia"/>
          <w:lang w:val="en-US" w:eastAsia="zh-CN"/>
        </w:rPr>
        <w:t>single ON-OFF transmission</w:t>
      </w:r>
      <w:r>
        <w:rPr>
          <w:rFonts w:hint="eastAsia" w:eastAsia="宋体"/>
          <w:lang w:val="en-US" w:eastAsia="zh-CN"/>
        </w:rPr>
        <w:t xml:space="preserve"> or </w:t>
      </w:r>
      <w:r>
        <w:rPr>
          <w:rFonts w:hint="eastAsia" w:eastAsiaTheme="minorEastAsia"/>
          <w:lang w:val="en-US" w:eastAsia="zh-CN"/>
        </w:rPr>
        <w:t>multi-ON-OFF transmission</w:t>
      </w:r>
      <w:r>
        <w:rPr>
          <w:rFonts w:hint="eastAsia" w:eastAsia="宋体"/>
          <w:lang w:val="en-US" w:eastAsia="zh-CN"/>
        </w:rPr>
        <w:t>.</w:t>
      </w:r>
    </w:p>
    <w:p w14:paraId="58CC61F0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R2D clock-acquisition part (CAP)</w:t>
      </w:r>
    </w:p>
    <w:p w14:paraId="180DE617">
      <w:pPr>
        <w:spacing w:before="180" w:beforeLines="50" w:beforeAutospacing="1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following options related to R2D CAP were captured in the TR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_Ref21925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>,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0D00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6AB41734">
            <w:pPr>
              <w:pStyle w:val="22"/>
              <w:keepNext w:val="0"/>
              <w:keepLines w:val="0"/>
              <w:widowControl/>
              <w:suppressLineNumbers w:val="0"/>
              <w:spacing w:before="0" w:beforeAutospacing="0"/>
              <w:ind w:right="0"/>
              <w:rPr>
                <w:rFonts w:hint="eastAsia" w:eastAsia="等线"/>
                <w:szCs w:val="20"/>
              </w:rPr>
            </w:pPr>
            <w:r>
              <w:rPr>
                <w:rFonts w:hint="eastAsia" w:eastAsia="等线"/>
                <w:szCs w:val="20"/>
              </w:rPr>
              <w:t>-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</w:rPr>
              <w:t xml:space="preserve">Option 1: Duration of the clock-acquisition part is variable for different </w:t>
            </w:r>
            <w:r>
              <w:rPr>
                <w:rFonts w:hint="eastAsia" w:eastAsia="等线"/>
                <w:i/>
                <w:iCs/>
                <w:szCs w:val="20"/>
              </w:rPr>
              <w:t>M</w:t>
            </w:r>
            <w:r>
              <w:rPr>
                <w:rFonts w:hint="eastAsia" w:eastAsia="等线"/>
                <w:szCs w:val="20"/>
              </w:rPr>
              <w:t xml:space="preserve"> values, i.e. the duration becomes shorter with increasing value of </w:t>
            </w:r>
            <w:r>
              <w:rPr>
                <w:rFonts w:hint="eastAsia" w:eastAsia="等线"/>
                <w:i/>
                <w:iCs/>
                <w:szCs w:val="20"/>
              </w:rPr>
              <w:t>M.</w:t>
            </w:r>
          </w:p>
          <w:p w14:paraId="00877C1C">
            <w:pPr>
              <w:pStyle w:val="22"/>
              <w:keepNext w:val="0"/>
              <w:keepLines w:val="0"/>
              <w:widowControl/>
              <w:suppressLineNumbers w:val="0"/>
              <w:spacing w:before="0" w:beforeAutospacing="0"/>
              <w:ind w:right="0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Cs w:val="20"/>
              </w:rPr>
              <w:t>-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</w:rPr>
              <w:t xml:space="preserve">Option 2: Duration of the clock-acquisition part is constant for different </w:t>
            </w:r>
            <w:r>
              <w:rPr>
                <w:rFonts w:hint="eastAsia" w:eastAsia="等线"/>
                <w:i/>
                <w:iCs/>
                <w:szCs w:val="20"/>
              </w:rPr>
              <w:t>M</w:t>
            </w:r>
            <w:r>
              <w:rPr>
                <w:rFonts w:hint="eastAsia" w:eastAsia="等线"/>
                <w:szCs w:val="20"/>
              </w:rPr>
              <w:t xml:space="preserve"> values based on repetition, i.e. repetition factor is increased with increasing value of </w:t>
            </w:r>
            <w:r>
              <w:rPr>
                <w:rFonts w:hint="eastAsia" w:eastAsia="等线"/>
                <w:i/>
                <w:iCs/>
                <w:szCs w:val="20"/>
              </w:rPr>
              <w:t>M</w:t>
            </w:r>
            <w:r>
              <w:rPr>
                <w:rFonts w:hint="eastAsia" w:eastAsia="等线"/>
                <w:szCs w:val="20"/>
              </w:rPr>
              <w:t xml:space="preserve"> to keep the duration constant.</w:t>
            </w:r>
          </w:p>
        </w:tc>
      </w:tr>
    </w:tbl>
    <w:p w14:paraId="736E0FBC">
      <w:pPr>
        <w:spacing w:before="180" w:beforeLines="50" w:beforeAutospacing="1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Option 2, the R2D CAP duration has to be reasonably long (e.g. a number of OFDM symbols) for M=1, and such a duration may be too long (in terms of detection performance) for M&gt;1. In that sense, we don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t think Option 2 is an efficient R2D CAP design. Instead, it should be allowed that the duration of R2D CAP is variable for different M values as in Option 1.</w:t>
      </w:r>
    </w:p>
    <w:p w14:paraId="22CF1A0A">
      <w:pPr>
        <w:pStyle w:val="18"/>
        <w:ind w:left="1680" w:hanging="168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In R2D </w:t>
      </w:r>
      <w:r>
        <w:rPr>
          <w:rFonts w:hint="eastAsia"/>
          <w:lang w:val="en-US" w:eastAsia="zh-CN"/>
        </w:rPr>
        <w:t>clock-acquisition part (CAP)</w:t>
      </w:r>
      <w:r>
        <w:rPr>
          <w:rFonts w:hint="eastAsia" w:eastAsiaTheme="minorEastAsia"/>
          <w:lang w:val="en-US" w:eastAsia="zh-CN"/>
        </w:rPr>
        <w:t xml:space="preserve"> Option 2, the duration of the R2D CAP which</w:t>
      </w:r>
      <w:r>
        <w:rPr>
          <w:rFonts w:eastAsia="等线"/>
        </w:rPr>
        <w:t xml:space="preserve"> is constant for different </w:t>
      </w:r>
      <w:r>
        <w:rPr>
          <w:rFonts w:eastAsia="等线"/>
          <w:i/>
          <w:iCs/>
        </w:rPr>
        <w:t>M</w:t>
      </w:r>
      <w:r>
        <w:rPr>
          <w:rFonts w:eastAsia="等线"/>
        </w:rPr>
        <w:t xml:space="preserve"> values based on repetition</w:t>
      </w:r>
      <w:r>
        <w:rPr>
          <w:rFonts w:hint="eastAsia" w:eastAsiaTheme="minorEastAsia"/>
          <w:lang w:val="en-US" w:eastAsia="zh-CN"/>
        </w:rPr>
        <w:t xml:space="preserve"> may be too long (in terms of detection performance) for M&gt;1.</w:t>
      </w:r>
    </w:p>
    <w:p w14:paraId="2398C758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R2D </w:t>
      </w:r>
      <w:r>
        <w:rPr>
          <w:rFonts w:hint="eastAsia"/>
          <w:lang w:val="en-US" w:eastAsia="zh-CN"/>
        </w:rPr>
        <w:t>clock-acquisition part (CAP)</w:t>
      </w:r>
      <w:r>
        <w:rPr>
          <w:rFonts w:hint="eastAsia" w:eastAsia="宋体"/>
          <w:lang w:val="en-US" w:eastAsia="zh-CN"/>
        </w:rPr>
        <w:t>, adopt Option 1 (i.e. duration of the R2D CAP is variable for different M values, where the duration becomes shorter with increasing value of M).</w:t>
      </w:r>
    </w:p>
    <w:p w14:paraId="1DE67407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D2R timing acquisition and synchronization</w:t>
      </w:r>
    </w:p>
    <w:p w14:paraId="6F981CA9">
      <w:pPr>
        <w:spacing w:before="180" w:beforeLines="50" w:beforeAutospacing="1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following four options were captured in the TR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_Ref21925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for D2R timing acquisition and synchronization,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04951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4F565217"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/>
              <w:ind w:left="568" w:right="0" w:hanging="284"/>
              <w:textAlignment w:val="baseline"/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</w:pP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ab/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>Option 1: D2R preamble only</w:t>
            </w:r>
          </w:p>
          <w:p w14:paraId="43B2976C"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/>
              <w:ind w:left="568" w:right="0" w:hanging="284"/>
              <w:textAlignment w:val="baseline"/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</w:pP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ab/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>Option 2: D2R preamble + X midamble(s), where X≥1</w:t>
            </w:r>
          </w:p>
          <w:p w14:paraId="20976C74"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/>
              <w:ind w:left="568" w:right="0" w:hanging="284"/>
              <w:textAlignment w:val="baseline"/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</w:pP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ab/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>Option 3: D2R preamble + postamble</w:t>
            </w:r>
          </w:p>
          <w:p w14:paraId="799B87B9"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/>
              <w:ind w:left="568" w:right="0" w:hanging="284"/>
              <w:textAlignment w:val="baseline"/>
              <w:rPr>
                <w:rFonts w:hint="eastAsia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ab/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GB" w:eastAsia="en-GB" w:bidi="ar-SA"/>
              </w:rPr>
              <w:t>Option 4: D2R preamble + Y midamble(s) + postamble, where Y≥1</w:t>
            </w:r>
          </w:p>
        </w:tc>
      </w:tr>
    </w:tbl>
    <w:p w14:paraId="03D8D75E">
      <w:pPr>
        <w:spacing w:before="180" w:beforeLines="50" w:beforeAutospacing="1" w:after="180" w:afterLines="5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In our understanding, Option 2 is able to achieve the effect (in terms of receiver performance) of either Option 3 or Option 4, by means of adjusting the position(s) of the midamble(s), therefore, we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think there is a need to consider the last two options. And according to the evaluation results captured in the </w:t>
      </w:r>
      <w:r>
        <w:rPr>
          <w:rFonts w:hint="eastAsia" w:eastAsia="宋体"/>
          <w:lang w:val="en-US" w:eastAsia="zh-CN"/>
        </w:rPr>
        <w:t xml:space="preserve">TR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_Ref21925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>, a number of companies observed performance gains due to the insertion of midambles, so we think Option 2 should be adopted for long D2R transmissions. For shorter D2R transmissions, Option 1 is sufficient. Option 1 can be considered as an extension of Option 2 with X=0.</w:t>
      </w:r>
    </w:p>
    <w:p w14:paraId="30312D9C">
      <w:pPr>
        <w:pStyle w:val="18"/>
        <w:ind w:left="1680" w:hanging="168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val="en-US" w:eastAsia="zh-CN"/>
        </w:rPr>
        <w:t>For D2R timing acquisition and synchronization, d</w:t>
      </w:r>
      <w:r>
        <w:rPr>
          <w:rFonts w:hint="default" w:ascii="Times New Roman" w:hAnsi="Times New Roman" w:cs="Times New Roman"/>
          <w:lang w:val="en-US" w:eastAsia="zh-CN"/>
        </w:rPr>
        <w:t xml:space="preserve">epending on the position(s) of midamble(s), Option 2 is able to achieve the effect </w:t>
      </w:r>
      <w:r>
        <w:rPr>
          <w:rFonts w:hint="eastAsia"/>
          <w:lang w:val="en-US" w:eastAsia="zh-CN"/>
        </w:rPr>
        <w:t xml:space="preserve">(in terms of receiver performance) </w:t>
      </w:r>
      <w:r>
        <w:rPr>
          <w:rFonts w:hint="default" w:ascii="Times New Roman" w:hAnsi="Times New Roman" w:cs="Times New Roman"/>
          <w:lang w:val="en-US" w:eastAsia="zh-CN"/>
        </w:rPr>
        <w:t>of either Option 3 or Option 4</w:t>
      </w:r>
      <w:r>
        <w:rPr>
          <w:rFonts w:hint="eastAsia"/>
          <w:lang w:val="en-US" w:eastAsia="zh-CN"/>
        </w:rPr>
        <w:t>, by means of adjusting the position(s) of the midamble(s)</w:t>
      </w:r>
      <w:r>
        <w:rPr>
          <w:rFonts w:hint="default" w:ascii="Times New Roman" w:hAnsi="Times New Roman" w:cs="Times New Roman" w:eastAsiaTheme="minorEastAsia"/>
          <w:lang w:val="en-US" w:eastAsia="zh-CN"/>
        </w:rPr>
        <w:t>.</w:t>
      </w:r>
    </w:p>
    <w:p w14:paraId="5C837BAE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For </w:t>
      </w:r>
      <w:r>
        <w:rPr>
          <w:rFonts w:hint="default" w:ascii="Times New Roman" w:hAnsi="Times New Roman" w:cs="Times New Roman"/>
          <w:lang w:val="en-US" w:eastAsia="zh-CN"/>
        </w:rPr>
        <w:t>D2R timing acquisition and synchronization, adopt Option 1 + Option 2 (i.e. D2R preamble + X midamble(s), where X≥0)</w:t>
      </w:r>
      <w:r>
        <w:rPr>
          <w:rFonts w:hint="default" w:ascii="Times New Roman" w:hAnsi="Times New Roman" w:eastAsia="宋体" w:cs="Times New Roman"/>
          <w:lang w:val="en-US" w:eastAsia="zh-CN"/>
        </w:rPr>
        <w:t>.</w:t>
      </w:r>
    </w:p>
    <w:p w14:paraId="02EB5A67">
      <w:pPr>
        <w:pStyle w:val="2"/>
        <w:spacing w:after="180"/>
        <w:rPr>
          <w:lang w:val="en-US"/>
        </w:rPr>
      </w:pPr>
      <w:r>
        <w:rPr>
          <w:lang w:val="en-US"/>
        </w:rPr>
        <w:t>Conclusion</w:t>
      </w:r>
    </w:p>
    <w:p w14:paraId="76CD4F01">
      <w:pPr>
        <w:spacing w:before="180" w:beforeLines="50" w:beforeAutospacing="1" w:after="180" w:afterLines="50" w:afterAutospacing="0"/>
        <w:rPr>
          <w:rFonts w:eastAsia="宋体"/>
          <w:lang w:val="en-US" w:eastAsia="zh-CN"/>
        </w:rPr>
      </w:pPr>
      <w:r>
        <w:rPr>
          <w:lang w:val="en-US"/>
        </w:rPr>
        <w:t xml:space="preserve">In this contribution, </w:t>
      </w:r>
      <w:r>
        <w:rPr>
          <w:rFonts w:hint="eastAsia" w:eastAsia="宋体"/>
          <w:lang w:val="en-US" w:eastAsia="zh-CN"/>
        </w:rPr>
        <w:t xml:space="preserve">we </w:t>
      </w:r>
      <w:r>
        <w:rPr>
          <w:rFonts w:eastAsia="宋体"/>
          <w:lang w:val="en-US" w:eastAsia="zh-CN"/>
        </w:rPr>
        <w:t xml:space="preserve">discuss </w:t>
      </w:r>
      <w:r>
        <w:rPr>
          <w:rFonts w:hint="eastAsia" w:eastAsia="宋体"/>
          <w:lang w:val="en-US" w:eastAsia="zh-CN"/>
        </w:rPr>
        <w:t xml:space="preserve">a few </w:t>
      </w:r>
      <w:r>
        <w:rPr>
          <w:rFonts w:eastAsia="宋体"/>
          <w:lang w:val="en-US" w:eastAsia="zh-CN"/>
        </w:rPr>
        <w:t>aspects</w:t>
      </w:r>
      <w:r>
        <w:rPr>
          <w:rFonts w:hint="eastAsia" w:eastAsia="宋体"/>
          <w:lang w:val="en-US" w:eastAsia="zh-CN"/>
        </w:rPr>
        <w:t xml:space="preserve"> related to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timing acquisition and synchronization in A-IoT</w:t>
      </w:r>
      <w:r>
        <w:rPr>
          <w:rFonts w:eastAsia="宋体"/>
          <w:lang w:val="en-US" w:eastAsia="zh-CN"/>
        </w:rPr>
        <w:t xml:space="preserve">, and make </w:t>
      </w:r>
      <w:r>
        <w:rPr>
          <w:lang w:val="en-US"/>
        </w:rPr>
        <w:t xml:space="preserve">the following </w:t>
      </w:r>
      <w:r>
        <w:rPr>
          <w:rFonts w:hint="eastAsia" w:eastAsia="宋体"/>
          <w:lang w:val="en-US" w:eastAsia="zh-CN"/>
        </w:rPr>
        <w:t xml:space="preserve">observations and </w:t>
      </w:r>
      <w:r>
        <w:rPr>
          <w:lang w:val="en-US"/>
        </w:rPr>
        <w:t>proposals</w:t>
      </w:r>
      <w:r>
        <w:rPr>
          <w:rFonts w:eastAsia="宋体"/>
          <w:lang w:val="en-US" w:eastAsia="zh-CN"/>
        </w:rPr>
        <w:t>.</w:t>
      </w:r>
    </w:p>
    <w:p w14:paraId="39177D31">
      <w:pPr>
        <w:pStyle w:val="18"/>
        <w:numPr>
          <w:ilvl w:val="0"/>
          <w:numId w:val="7"/>
        </w:numPr>
        <w:ind w:left="1680" w:hanging="168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For R2D </w:t>
      </w:r>
      <w:r>
        <w:rPr>
          <w:rFonts w:hint="eastAsia"/>
          <w:lang w:val="en-US" w:eastAsia="zh-CN"/>
        </w:rPr>
        <w:t>start-indicator part (SIP)</w:t>
      </w:r>
      <w:r>
        <w:rPr>
          <w:rFonts w:hint="eastAsia" w:eastAsiaTheme="minorEastAsia"/>
          <w:lang w:val="en-US" w:eastAsia="zh-CN"/>
        </w:rPr>
        <w:t xml:space="preserve">, single ON-OFF or multi-ON-OFF transmission (i.e. </w:t>
      </w:r>
      <w:r>
        <w:rPr>
          <w:rFonts w:hint="eastAsia" w:eastAsia="宋体"/>
          <w:lang w:val="en-US" w:eastAsia="zh-CN"/>
        </w:rPr>
        <w:t>Option 1) is sufficient in achieving the MDR and FAR targets for the R2D SIP, and so a more complex sequence-based design (i.e. Option 2) is not necessary</w:t>
      </w:r>
      <w:r>
        <w:rPr>
          <w:rFonts w:hint="eastAsia" w:eastAsiaTheme="minorEastAsia"/>
          <w:lang w:val="en-US" w:eastAsia="zh-CN"/>
        </w:rPr>
        <w:t>.</w:t>
      </w:r>
    </w:p>
    <w:p w14:paraId="71FBC983">
      <w:pPr>
        <w:pStyle w:val="18"/>
        <w:ind w:left="1680" w:hanging="168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For R2D </w:t>
      </w:r>
      <w:r>
        <w:rPr>
          <w:rFonts w:hint="eastAsia"/>
          <w:lang w:val="en-US" w:eastAsia="zh-CN"/>
        </w:rPr>
        <w:t>start-indicator part (SIP)</w:t>
      </w:r>
      <w:r>
        <w:rPr>
          <w:rFonts w:hint="eastAsia" w:eastAsiaTheme="minorEastAsia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more discussions are necessary on whether to adopt </w:t>
      </w:r>
      <w:r>
        <w:rPr>
          <w:rFonts w:hint="eastAsia" w:eastAsiaTheme="minorEastAsia"/>
          <w:lang w:val="en-US" w:eastAsia="zh-CN"/>
        </w:rPr>
        <w:t>single ON-OFF transmission</w:t>
      </w:r>
      <w:r>
        <w:rPr>
          <w:rFonts w:hint="eastAsia" w:eastAsia="宋体"/>
          <w:lang w:val="en-US" w:eastAsia="zh-CN"/>
        </w:rPr>
        <w:t xml:space="preserve"> or </w:t>
      </w:r>
      <w:r>
        <w:rPr>
          <w:rFonts w:hint="eastAsia" w:eastAsiaTheme="minorEastAsia"/>
          <w:lang w:val="en-US" w:eastAsia="zh-CN"/>
        </w:rPr>
        <w:t>multi-ON-OFF transmission</w:t>
      </w:r>
      <w:r>
        <w:rPr>
          <w:rFonts w:hint="eastAsia" w:eastAsia="宋体"/>
          <w:lang w:val="en-US" w:eastAsia="zh-CN"/>
        </w:rPr>
        <w:t>.</w:t>
      </w:r>
    </w:p>
    <w:p w14:paraId="58E4C978">
      <w:pPr>
        <w:pStyle w:val="18"/>
        <w:ind w:left="1680" w:hanging="168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In R2D </w:t>
      </w:r>
      <w:r>
        <w:rPr>
          <w:rFonts w:hint="eastAsia"/>
          <w:lang w:val="en-US" w:eastAsia="zh-CN"/>
        </w:rPr>
        <w:t>clock-acquisition part (CAP)</w:t>
      </w:r>
      <w:r>
        <w:rPr>
          <w:rFonts w:hint="eastAsia" w:eastAsiaTheme="minorEastAsia"/>
          <w:lang w:val="en-US" w:eastAsia="zh-CN"/>
        </w:rPr>
        <w:t xml:space="preserve"> Option 2, the duration of the R2D CAP which</w:t>
      </w:r>
      <w:r>
        <w:rPr>
          <w:rFonts w:eastAsia="等线"/>
        </w:rPr>
        <w:t xml:space="preserve"> is constant for different </w:t>
      </w:r>
      <w:r>
        <w:rPr>
          <w:rFonts w:eastAsia="等线"/>
          <w:i/>
          <w:iCs/>
        </w:rPr>
        <w:t>M</w:t>
      </w:r>
      <w:r>
        <w:rPr>
          <w:rFonts w:eastAsia="等线"/>
        </w:rPr>
        <w:t xml:space="preserve"> values based on repetition</w:t>
      </w:r>
      <w:r>
        <w:rPr>
          <w:rFonts w:hint="eastAsia" w:eastAsiaTheme="minorEastAsia"/>
          <w:lang w:val="en-US" w:eastAsia="zh-CN"/>
        </w:rPr>
        <w:t xml:space="preserve"> may be too long (in terms of detection performance) for M&gt;1.</w:t>
      </w:r>
    </w:p>
    <w:p w14:paraId="55590693">
      <w:pPr>
        <w:pStyle w:val="18"/>
        <w:ind w:left="1680" w:hanging="168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val="en-US" w:eastAsia="zh-CN"/>
        </w:rPr>
        <w:t>For D2R timing acquisition and synchronization, d</w:t>
      </w:r>
      <w:r>
        <w:rPr>
          <w:rFonts w:hint="default" w:ascii="Times New Roman" w:hAnsi="Times New Roman" w:cs="Times New Roman"/>
          <w:lang w:val="en-US" w:eastAsia="zh-CN"/>
        </w:rPr>
        <w:t xml:space="preserve">epending on the position(s) of midamble(s), Option 2 is able to achieve the effect </w:t>
      </w:r>
      <w:r>
        <w:rPr>
          <w:rFonts w:hint="eastAsia"/>
          <w:lang w:val="en-US" w:eastAsia="zh-CN"/>
        </w:rPr>
        <w:t xml:space="preserve">(in terms of receiver performance) </w:t>
      </w:r>
      <w:r>
        <w:rPr>
          <w:rFonts w:hint="default" w:ascii="Times New Roman" w:hAnsi="Times New Roman" w:cs="Times New Roman"/>
          <w:lang w:val="en-US" w:eastAsia="zh-CN"/>
        </w:rPr>
        <w:t>of either Option 3 or Option 4</w:t>
      </w:r>
      <w:r>
        <w:rPr>
          <w:rFonts w:hint="eastAsia"/>
          <w:lang w:val="en-US" w:eastAsia="zh-CN"/>
        </w:rPr>
        <w:t>, by means of adjusting the position(s) of the midamble(s)</w:t>
      </w:r>
      <w:r>
        <w:rPr>
          <w:rFonts w:hint="default" w:ascii="Times New Roman" w:hAnsi="Times New Roman" w:cs="Times New Roman" w:eastAsiaTheme="minorEastAsia"/>
          <w:lang w:val="en-US" w:eastAsia="zh-CN"/>
        </w:rPr>
        <w:t>.</w:t>
      </w:r>
    </w:p>
    <w:p w14:paraId="2AB9BE7C">
      <w:pPr>
        <w:widowControl w:val="0"/>
        <w:numPr>
          <w:ilvl w:val="0"/>
          <w:numId w:val="8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R2D </w:t>
      </w:r>
      <w:r>
        <w:rPr>
          <w:rFonts w:hint="eastAsia"/>
          <w:lang w:val="en-US" w:eastAsia="zh-CN"/>
        </w:rPr>
        <w:t>start-indicator part (SIP)</w:t>
      </w:r>
      <w:r>
        <w:rPr>
          <w:rFonts w:hint="eastAsia" w:eastAsia="宋体"/>
          <w:lang w:val="en-US" w:eastAsia="zh-CN"/>
        </w:rPr>
        <w:t>, Option 2 (i.e. a pre-defined ON-OFF sequence for detection of R2D SIP based on digital correlation) is not considered for A-IoT in Rel-19.</w:t>
      </w:r>
    </w:p>
    <w:p w14:paraId="4F18845A">
      <w:pPr>
        <w:widowControl w:val="0"/>
        <w:numPr>
          <w:ilvl w:val="0"/>
          <w:numId w:val="8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R2D </w:t>
      </w:r>
      <w:r>
        <w:rPr>
          <w:rFonts w:hint="eastAsia"/>
          <w:lang w:val="en-US" w:eastAsia="zh-CN"/>
        </w:rPr>
        <w:t>clock-acquisition part (CAP)</w:t>
      </w:r>
      <w:r>
        <w:rPr>
          <w:rFonts w:hint="eastAsia" w:eastAsia="宋体"/>
          <w:lang w:val="en-US" w:eastAsia="zh-CN"/>
        </w:rPr>
        <w:t>, adopt Option 1 (i.e. duration of the R2D CAP is variable for different M values, where the duration becomes shorter with increasing value of M).</w:t>
      </w:r>
    </w:p>
    <w:p w14:paraId="31F60095">
      <w:pPr>
        <w:widowControl w:val="0"/>
        <w:numPr>
          <w:ilvl w:val="0"/>
          <w:numId w:val="8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For </w:t>
      </w:r>
      <w:r>
        <w:rPr>
          <w:rFonts w:hint="default" w:ascii="Times New Roman" w:hAnsi="Times New Roman" w:cs="Times New Roman"/>
          <w:lang w:val="en-US" w:eastAsia="zh-CN"/>
        </w:rPr>
        <w:t xml:space="preserve">D2R </w:t>
      </w:r>
      <w:r>
        <w:rPr>
          <w:rFonts w:hint="default" w:eastAsia="宋体"/>
          <w:lang w:val="en-US" w:eastAsia="zh-CN"/>
        </w:rPr>
        <w:t xml:space="preserve">timing acquisition </w:t>
      </w:r>
      <w:r>
        <w:rPr>
          <w:rFonts w:hint="default" w:ascii="Times New Roman" w:hAnsi="Times New Roman" w:cs="Times New Roman"/>
          <w:lang w:val="en-US" w:eastAsia="zh-CN"/>
        </w:rPr>
        <w:t>and synchronization, adopt Option 1 + Option 2 (i.e. D2R preamble + X midamble(s), where X≥0)</w:t>
      </w:r>
      <w:r>
        <w:rPr>
          <w:rFonts w:hint="default" w:ascii="Times New Roman" w:hAnsi="Times New Roman" w:eastAsia="宋体" w:cs="Times New Roman"/>
          <w:lang w:val="en-US" w:eastAsia="zh-CN"/>
        </w:rPr>
        <w:t>.</w:t>
      </w:r>
    </w:p>
    <w:p w14:paraId="1725A65C">
      <w:pPr>
        <w:spacing w:after="240" w:afterAutospacing="0"/>
        <w:rPr>
          <w:rFonts w:eastAsia="宋体"/>
          <w:lang w:val="en-US" w:eastAsia="zh-CN"/>
        </w:rPr>
      </w:pPr>
    </w:p>
    <w:p w14:paraId="6C1CF787">
      <w:pPr>
        <w:pStyle w:val="2"/>
        <w:spacing w:after="180"/>
        <w:rPr>
          <w:lang w:val="en-US"/>
        </w:rPr>
      </w:pPr>
      <w:r>
        <w:rPr>
          <w:lang w:val="en-US"/>
        </w:rPr>
        <w:t>References</w:t>
      </w:r>
    </w:p>
    <w:p w14:paraId="150EFA6C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4" w:name="_Ref124764504"/>
      <w:r>
        <w:rPr>
          <w:rFonts w:hint="eastAsia" w:eastAsia="MS Mincho"/>
          <w:lang w:val="en-US" w:eastAsia="en-GB"/>
        </w:rPr>
        <w:t>RP-243326</w:t>
      </w:r>
      <w:r>
        <w:rPr>
          <w:rFonts w:eastAsia="MS Mincho"/>
          <w:lang w:val="en-US" w:eastAsia="en-GB"/>
        </w:rPr>
        <w:t>, “</w:t>
      </w:r>
      <w:r>
        <w:rPr>
          <w:rFonts w:hint="eastAsia" w:eastAsia="MS Mincho"/>
          <w:lang w:val="en-US" w:eastAsia="en-GB"/>
        </w:rPr>
        <w:t>New Work Item: Solutions for Ambient IoT (Internet of Things) in NR</w:t>
      </w:r>
      <w:r>
        <w:rPr>
          <w:rFonts w:eastAsia="MS Mincho"/>
          <w:lang w:val="en-US" w:eastAsia="en-GB"/>
        </w:rPr>
        <w:t xml:space="preserve">”, </w:t>
      </w:r>
      <w:r>
        <w:rPr>
          <w:rFonts w:hint="eastAsia" w:eastAsia="MS Mincho"/>
          <w:lang w:val="en-US" w:eastAsia="en-GB"/>
        </w:rPr>
        <w:t>RAN1 Vice-chair (Huawei)</w:t>
      </w:r>
      <w:r>
        <w:rPr>
          <w:rFonts w:eastAsia="MS Mincho"/>
          <w:lang w:val="en-US" w:eastAsia="en-GB"/>
        </w:rPr>
        <w:t>, RAN#10</w:t>
      </w:r>
      <w:r>
        <w:rPr>
          <w:rFonts w:hint="eastAsia" w:eastAsia="宋体"/>
          <w:lang w:val="en-US" w:eastAsia="zh-CN"/>
        </w:rPr>
        <w:t>6</w:t>
      </w:r>
      <w:r>
        <w:rPr>
          <w:rFonts w:eastAsia="MS Mincho"/>
          <w:lang w:val="en-US" w:eastAsia="en-GB"/>
        </w:rPr>
        <w:t>.</w:t>
      </w:r>
      <w:bookmarkEnd w:id="4"/>
    </w:p>
    <w:p w14:paraId="4A1606C3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5" w:name="_Ref21925"/>
      <w:r>
        <w:rPr>
          <w:rFonts w:eastAsia="宋体"/>
          <w:lang w:val="en-US" w:eastAsia="zh-CN"/>
        </w:rPr>
        <w:t>TR 38.769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default" w:eastAsia="宋体"/>
          <w:lang w:val="en-US" w:eastAsia="zh-CN"/>
        </w:rPr>
        <w:t>“</w:t>
      </w:r>
      <w:r>
        <w:rPr>
          <w:rFonts w:eastAsia="宋体"/>
          <w:lang w:val="en-US" w:eastAsia="zh-CN"/>
        </w:rPr>
        <w:t>Study on Solutions for Ambient IoT (Internet of Things)”</w:t>
      </w:r>
      <w:r>
        <w:rPr>
          <w:rFonts w:hint="eastAsia" w:eastAsia="宋体"/>
          <w:lang w:val="en-US" w:eastAsia="zh-CN"/>
        </w:rPr>
        <w:t>, v19.0.0.</w:t>
      </w:r>
      <w:bookmarkEnd w:id="5"/>
    </w:p>
    <w:p w14:paraId="5511F25A"/>
    <w:sectPr>
      <w:footerReference r:id="rId4" w:type="default"/>
      <w:pgSz w:w="12240" w:h="15840"/>
      <w:pgMar w:top="1411" w:right="1138" w:bottom="1138" w:left="1138" w:header="850" w:footer="0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F5CEE">
    <w:pPr>
      <w:pStyle w:val="9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</w:p>
  <w:p w14:paraId="7426508E">
    <w:pPr>
      <w:pStyle w:val="9"/>
    </w:pPr>
  </w:p>
  <w:p w14:paraId="719BE910"/>
  <w:p w14:paraId="09F9ED74"/>
  <w:p w14:paraId="086870D8"/>
  <w:p w14:paraId="2A9AE0DC"/>
  <w:p w14:paraId="67AC2F23"/>
  <w:p w14:paraId="460799D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250011"/>
    <w:multiLevelType w:val="multilevel"/>
    <w:tmpl w:val="1F250011"/>
    <w:lvl w:ilvl="0" w:tentative="0">
      <w:start w:val="1"/>
      <w:numFmt w:val="decimal"/>
      <w:pStyle w:val="16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4A55685D"/>
    <w:multiLevelType w:val="singleLevel"/>
    <w:tmpl w:val="4A55685D"/>
    <w:lvl w:ilvl="0" w:tentative="0">
      <w:start w:val="1"/>
      <w:numFmt w:val="bullet"/>
      <w:pStyle w:val="17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2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B26E9E"/>
    <w:multiLevelType w:val="multilevel"/>
    <w:tmpl w:val="6EB26E9E"/>
    <w:lvl w:ilvl="0" w:tentative="0">
      <w:start w:val="1"/>
      <w:numFmt w:val="decimal"/>
      <w:lvlText w:val="Proposal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EEB628E"/>
    <w:multiLevelType w:val="multilevel"/>
    <w:tmpl w:val="6EEB628E"/>
    <w:lvl w:ilvl="0" w:tentative="0">
      <w:start w:val="1"/>
      <w:numFmt w:val="decimal"/>
      <w:lvlText w:val="Proposal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3157D4"/>
    <w:multiLevelType w:val="multilevel"/>
    <w:tmpl w:val="703157D4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6">
    <w:nsid w:val="72E04451"/>
    <w:multiLevelType w:val="multilevel"/>
    <w:tmpl w:val="72E04451"/>
    <w:lvl w:ilvl="0" w:tentative="0">
      <w:start w:val="1"/>
      <w:numFmt w:val="decimal"/>
      <w:pStyle w:val="18"/>
      <w:lvlText w:val="Observation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1N2E2YzIzNGNmZTU2YmEwMGQyYjg4ZjA1Mzc0MWQifQ=="/>
  </w:docVars>
  <w:rsids>
    <w:rsidRoot w:val="6CDA03F3"/>
    <w:rsid w:val="00001336"/>
    <w:rsid w:val="000674E7"/>
    <w:rsid w:val="00075809"/>
    <w:rsid w:val="000C753C"/>
    <w:rsid w:val="00131081"/>
    <w:rsid w:val="001516A0"/>
    <w:rsid w:val="0017082B"/>
    <w:rsid w:val="001724A0"/>
    <w:rsid w:val="001A02A8"/>
    <w:rsid w:val="002579B3"/>
    <w:rsid w:val="002D233F"/>
    <w:rsid w:val="0033458C"/>
    <w:rsid w:val="00356619"/>
    <w:rsid w:val="0037359D"/>
    <w:rsid w:val="003F1BB8"/>
    <w:rsid w:val="003F4108"/>
    <w:rsid w:val="00403CD6"/>
    <w:rsid w:val="004420D9"/>
    <w:rsid w:val="00450704"/>
    <w:rsid w:val="00474E8B"/>
    <w:rsid w:val="004B399E"/>
    <w:rsid w:val="00523DBE"/>
    <w:rsid w:val="0054112B"/>
    <w:rsid w:val="00567643"/>
    <w:rsid w:val="00582606"/>
    <w:rsid w:val="005E6EBB"/>
    <w:rsid w:val="00637B55"/>
    <w:rsid w:val="00645384"/>
    <w:rsid w:val="006A6636"/>
    <w:rsid w:val="006B06C2"/>
    <w:rsid w:val="0070356C"/>
    <w:rsid w:val="007224F2"/>
    <w:rsid w:val="007520A7"/>
    <w:rsid w:val="00772197"/>
    <w:rsid w:val="007A48FC"/>
    <w:rsid w:val="007B42DB"/>
    <w:rsid w:val="00812B98"/>
    <w:rsid w:val="00826E73"/>
    <w:rsid w:val="00833587"/>
    <w:rsid w:val="008335FC"/>
    <w:rsid w:val="008C74ED"/>
    <w:rsid w:val="009172EA"/>
    <w:rsid w:val="009412B9"/>
    <w:rsid w:val="0095592C"/>
    <w:rsid w:val="0097076F"/>
    <w:rsid w:val="00A6466A"/>
    <w:rsid w:val="00A770A4"/>
    <w:rsid w:val="00B0227E"/>
    <w:rsid w:val="00B27957"/>
    <w:rsid w:val="00B95B6E"/>
    <w:rsid w:val="00C3548C"/>
    <w:rsid w:val="00C36B03"/>
    <w:rsid w:val="00CA1860"/>
    <w:rsid w:val="00D46D22"/>
    <w:rsid w:val="00DD5BB0"/>
    <w:rsid w:val="00DE1E2A"/>
    <w:rsid w:val="00DF2E77"/>
    <w:rsid w:val="00E47191"/>
    <w:rsid w:val="00E551D9"/>
    <w:rsid w:val="00E77D83"/>
    <w:rsid w:val="00F03BEF"/>
    <w:rsid w:val="00F302D0"/>
    <w:rsid w:val="00F4229E"/>
    <w:rsid w:val="00F57504"/>
    <w:rsid w:val="00F9165D"/>
    <w:rsid w:val="012A5B80"/>
    <w:rsid w:val="018E1188"/>
    <w:rsid w:val="01AD551E"/>
    <w:rsid w:val="01B23C6A"/>
    <w:rsid w:val="01B36BD0"/>
    <w:rsid w:val="020016E9"/>
    <w:rsid w:val="0233386D"/>
    <w:rsid w:val="03434357"/>
    <w:rsid w:val="04763A97"/>
    <w:rsid w:val="04ED1679"/>
    <w:rsid w:val="057766B9"/>
    <w:rsid w:val="06FB68B7"/>
    <w:rsid w:val="070E6657"/>
    <w:rsid w:val="071212F9"/>
    <w:rsid w:val="0746571A"/>
    <w:rsid w:val="074A4D8B"/>
    <w:rsid w:val="08143350"/>
    <w:rsid w:val="08244886"/>
    <w:rsid w:val="088210AA"/>
    <w:rsid w:val="08C27377"/>
    <w:rsid w:val="08CA7368"/>
    <w:rsid w:val="08E76A46"/>
    <w:rsid w:val="092771A7"/>
    <w:rsid w:val="09371E95"/>
    <w:rsid w:val="09447918"/>
    <w:rsid w:val="094F3DFC"/>
    <w:rsid w:val="098A1E34"/>
    <w:rsid w:val="09FE2E06"/>
    <w:rsid w:val="0AA910D5"/>
    <w:rsid w:val="0B36617C"/>
    <w:rsid w:val="0BF96E42"/>
    <w:rsid w:val="0C3D430D"/>
    <w:rsid w:val="0C690BB1"/>
    <w:rsid w:val="0C727688"/>
    <w:rsid w:val="0DA5373F"/>
    <w:rsid w:val="0DCE397A"/>
    <w:rsid w:val="0E625C06"/>
    <w:rsid w:val="0EB9159E"/>
    <w:rsid w:val="0F9827E1"/>
    <w:rsid w:val="0FC34B48"/>
    <w:rsid w:val="10134CDE"/>
    <w:rsid w:val="102A2E56"/>
    <w:rsid w:val="10F56C58"/>
    <w:rsid w:val="10FC5772"/>
    <w:rsid w:val="11734720"/>
    <w:rsid w:val="11E54EED"/>
    <w:rsid w:val="120F41BF"/>
    <w:rsid w:val="1220024C"/>
    <w:rsid w:val="129C348E"/>
    <w:rsid w:val="12A926B4"/>
    <w:rsid w:val="13A40A8D"/>
    <w:rsid w:val="13D44784"/>
    <w:rsid w:val="13E42DD7"/>
    <w:rsid w:val="14226315"/>
    <w:rsid w:val="15464EAC"/>
    <w:rsid w:val="155142DE"/>
    <w:rsid w:val="15584B16"/>
    <w:rsid w:val="157306F8"/>
    <w:rsid w:val="1591488A"/>
    <w:rsid w:val="160F5096"/>
    <w:rsid w:val="16457228"/>
    <w:rsid w:val="166D6AB5"/>
    <w:rsid w:val="16A9014A"/>
    <w:rsid w:val="16C12DF8"/>
    <w:rsid w:val="16EB34EC"/>
    <w:rsid w:val="17072BD0"/>
    <w:rsid w:val="179A479E"/>
    <w:rsid w:val="18077F32"/>
    <w:rsid w:val="184E0FA9"/>
    <w:rsid w:val="187A1D9E"/>
    <w:rsid w:val="18FF2114"/>
    <w:rsid w:val="191E305A"/>
    <w:rsid w:val="19C239FC"/>
    <w:rsid w:val="1A4109B4"/>
    <w:rsid w:val="1A681259"/>
    <w:rsid w:val="1AC92880"/>
    <w:rsid w:val="1AF71484"/>
    <w:rsid w:val="1B36335B"/>
    <w:rsid w:val="1B7A239B"/>
    <w:rsid w:val="1BB00AB5"/>
    <w:rsid w:val="1BF5201E"/>
    <w:rsid w:val="1C521910"/>
    <w:rsid w:val="1C6C77DE"/>
    <w:rsid w:val="1C747A0F"/>
    <w:rsid w:val="1C882636"/>
    <w:rsid w:val="1D2A2269"/>
    <w:rsid w:val="1D3456BE"/>
    <w:rsid w:val="1D507571"/>
    <w:rsid w:val="1EA11A7B"/>
    <w:rsid w:val="1EA86AA8"/>
    <w:rsid w:val="1EFF77AF"/>
    <w:rsid w:val="1F4E2AC1"/>
    <w:rsid w:val="1F931065"/>
    <w:rsid w:val="1FA84328"/>
    <w:rsid w:val="1FFF4ECD"/>
    <w:rsid w:val="206D65AF"/>
    <w:rsid w:val="20763782"/>
    <w:rsid w:val="20A7394C"/>
    <w:rsid w:val="21A90C9F"/>
    <w:rsid w:val="21B52099"/>
    <w:rsid w:val="22097CEF"/>
    <w:rsid w:val="22AC5447"/>
    <w:rsid w:val="230C3F3A"/>
    <w:rsid w:val="2332056D"/>
    <w:rsid w:val="23847F75"/>
    <w:rsid w:val="238939C4"/>
    <w:rsid w:val="238E2BA1"/>
    <w:rsid w:val="239216AF"/>
    <w:rsid w:val="23AD3218"/>
    <w:rsid w:val="23CF438F"/>
    <w:rsid w:val="23E46662"/>
    <w:rsid w:val="240E783E"/>
    <w:rsid w:val="243E3BD2"/>
    <w:rsid w:val="247A681A"/>
    <w:rsid w:val="24A51F50"/>
    <w:rsid w:val="25982986"/>
    <w:rsid w:val="259F752B"/>
    <w:rsid w:val="25C0149C"/>
    <w:rsid w:val="260F3EEA"/>
    <w:rsid w:val="262F63A5"/>
    <w:rsid w:val="26910157"/>
    <w:rsid w:val="26DC7A58"/>
    <w:rsid w:val="26FB6398"/>
    <w:rsid w:val="27CD500C"/>
    <w:rsid w:val="28706D19"/>
    <w:rsid w:val="287E2C63"/>
    <w:rsid w:val="289A78F2"/>
    <w:rsid w:val="28C43376"/>
    <w:rsid w:val="28F2772E"/>
    <w:rsid w:val="298E7457"/>
    <w:rsid w:val="2A557F75"/>
    <w:rsid w:val="2B084FE7"/>
    <w:rsid w:val="2B4F6CE6"/>
    <w:rsid w:val="2B666D45"/>
    <w:rsid w:val="2B7D7783"/>
    <w:rsid w:val="2BA77E28"/>
    <w:rsid w:val="2BD31A99"/>
    <w:rsid w:val="2BF274DA"/>
    <w:rsid w:val="2C1061FC"/>
    <w:rsid w:val="2C191624"/>
    <w:rsid w:val="2C4209CD"/>
    <w:rsid w:val="2D3C541C"/>
    <w:rsid w:val="2DAF5F6C"/>
    <w:rsid w:val="2DBE6880"/>
    <w:rsid w:val="2E4F41CD"/>
    <w:rsid w:val="2E67662E"/>
    <w:rsid w:val="2E992206"/>
    <w:rsid w:val="2F191EB9"/>
    <w:rsid w:val="2F2D7712"/>
    <w:rsid w:val="2FE70A33"/>
    <w:rsid w:val="3010580A"/>
    <w:rsid w:val="30450E91"/>
    <w:rsid w:val="315E7D2D"/>
    <w:rsid w:val="318F66B7"/>
    <w:rsid w:val="33172A43"/>
    <w:rsid w:val="339E473B"/>
    <w:rsid w:val="33B026C0"/>
    <w:rsid w:val="33D339B0"/>
    <w:rsid w:val="3466105C"/>
    <w:rsid w:val="34734806"/>
    <w:rsid w:val="34802092"/>
    <w:rsid w:val="350031D3"/>
    <w:rsid w:val="35A60B32"/>
    <w:rsid w:val="35F663A6"/>
    <w:rsid w:val="3670627F"/>
    <w:rsid w:val="377F299E"/>
    <w:rsid w:val="37B95A6E"/>
    <w:rsid w:val="38241434"/>
    <w:rsid w:val="38995E18"/>
    <w:rsid w:val="398B750F"/>
    <w:rsid w:val="39A729A9"/>
    <w:rsid w:val="39D91D43"/>
    <w:rsid w:val="39EB7CEF"/>
    <w:rsid w:val="3B0C6BD4"/>
    <w:rsid w:val="3B476D9A"/>
    <w:rsid w:val="3C6A5B02"/>
    <w:rsid w:val="3CDE1303"/>
    <w:rsid w:val="3D3D0FB6"/>
    <w:rsid w:val="3D4857BF"/>
    <w:rsid w:val="3D9F17DB"/>
    <w:rsid w:val="3DB3624E"/>
    <w:rsid w:val="3E1729ED"/>
    <w:rsid w:val="3E3F7B5C"/>
    <w:rsid w:val="3EFD0EAF"/>
    <w:rsid w:val="3F3746D6"/>
    <w:rsid w:val="3F604F9A"/>
    <w:rsid w:val="3F7B6278"/>
    <w:rsid w:val="3FA45A16"/>
    <w:rsid w:val="3FBC08CA"/>
    <w:rsid w:val="400B56FF"/>
    <w:rsid w:val="401747B4"/>
    <w:rsid w:val="40183AC7"/>
    <w:rsid w:val="408B53C4"/>
    <w:rsid w:val="41270465"/>
    <w:rsid w:val="414C69E3"/>
    <w:rsid w:val="415733AE"/>
    <w:rsid w:val="41630D72"/>
    <w:rsid w:val="41B31CF9"/>
    <w:rsid w:val="41DF2AEE"/>
    <w:rsid w:val="421D1C63"/>
    <w:rsid w:val="429C03A0"/>
    <w:rsid w:val="435E7A42"/>
    <w:rsid w:val="43AD0B79"/>
    <w:rsid w:val="442F1049"/>
    <w:rsid w:val="446C43E1"/>
    <w:rsid w:val="448B5670"/>
    <w:rsid w:val="45105096"/>
    <w:rsid w:val="45257562"/>
    <w:rsid w:val="458F65D9"/>
    <w:rsid w:val="46576133"/>
    <w:rsid w:val="46737CA9"/>
    <w:rsid w:val="467C5D54"/>
    <w:rsid w:val="46CD299F"/>
    <w:rsid w:val="46D73F04"/>
    <w:rsid w:val="471F573B"/>
    <w:rsid w:val="48125ACE"/>
    <w:rsid w:val="481F7704"/>
    <w:rsid w:val="485E2293"/>
    <w:rsid w:val="494769C6"/>
    <w:rsid w:val="497D5769"/>
    <w:rsid w:val="49897AB9"/>
    <w:rsid w:val="4992184F"/>
    <w:rsid w:val="4A3A4A66"/>
    <w:rsid w:val="4A6C0C97"/>
    <w:rsid w:val="4AA4557D"/>
    <w:rsid w:val="4ADE5710"/>
    <w:rsid w:val="4B026900"/>
    <w:rsid w:val="4B2C5303"/>
    <w:rsid w:val="4B2E0642"/>
    <w:rsid w:val="4B2F47E2"/>
    <w:rsid w:val="4CD945DE"/>
    <w:rsid w:val="4D2717ED"/>
    <w:rsid w:val="4D6D5452"/>
    <w:rsid w:val="4DD227B5"/>
    <w:rsid w:val="4E007704"/>
    <w:rsid w:val="4EBB3F9B"/>
    <w:rsid w:val="4EFA1A7A"/>
    <w:rsid w:val="4FA97A3E"/>
    <w:rsid w:val="4FF62D91"/>
    <w:rsid w:val="50010784"/>
    <w:rsid w:val="500A3750"/>
    <w:rsid w:val="502821F7"/>
    <w:rsid w:val="507951F2"/>
    <w:rsid w:val="51200A2D"/>
    <w:rsid w:val="516E572D"/>
    <w:rsid w:val="51FB0B52"/>
    <w:rsid w:val="526C4FB9"/>
    <w:rsid w:val="5380612E"/>
    <w:rsid w:val="54B22CB0"/>
    <w:rsid w:val="55216F2A"/>
    <w:rsid w:val="5541560A"/>
    <w:rsid w:val="5562415B"/>
    <w:rsid w:val="55642923"/>
    <w:rsid w:val="55E33464"/>
    <w:rsid w:val="562F3EBC"/>
    <w:rsid w:val="56567BDB"/>
    <w:rsid w:val="56857BFE"/>
    <w:rsid w:val="56E31ADE"/>
    <w:rsid w:val="57B01B5E"/>
    <w:rsid w:val="58774269"/>
    <w:rsid w:val="58CF0EC3"/>
    <w:rsid w:val="593F4410"/>
    <w:rsid w:val="59524889"/>
    <w:rsid w:val="59B759D6"/>
    <w:rsid w:val="59C23C70"/>
    <w:rsid w:val="5A0719EF"/>
    <w:rsid w:val="5A4440A8"/>
    <w:rsid w:val="5A4940DB"/>
    <w:rsid w:val="5AAE2C06"/>
    <w:rsid w:val="5AD05976"/>
    <w:rsid w:val="5BB66216"/>
    <w:rsid w:val="5BC85F49"/>
    <w:rsid w:val="5C3F6B12"/>
    <w:rsid w:val="5C721DAD"/>
    <w:rsid w:val="5C924F37"/>
    <w:rsid w:val="5CCE20D2"/>
    <w:rsid w:val="5CF7221A"/>
    <w:rsid w:val="5D2418A5"/>
    <w:rsid w:val="5DA645CD"/>
    <w:rsid w:val="5EE74938"/>
    <w:rsid w:val="5F230E48"/>
    <w:rsid w:val="5F5F2BB5"/>
    <w:rsid w:val="5F97352E"/>
    <w:rsid w:val="5FB71C31"/>
    <w:rsid w:val="5FD70E51"/>
    <w:rsid w:val="60066868"/>
    <w:rsid w:val="60A1369C"/>
    <w:rsid w:val="61D20FDE"/>
    <w:rsid w:val="642977BB"/>
    <w:rsid w:val="648570CD"/>
    <w:rsid w:val="64C73510"/>
    <w:rsid w:val="64F93617"/>
    <w:rsid w:val="64F958C5"/>
    <w:rsid w:val="65A82571"/>
    <w:rsid w:val="663234CF"/>
    <w:rsid w:val="66770C98"/>
    <w:rsid w:val="671F0C66"/>
    <w:rsid w:val="674278DE"/>
    <w:rsid w:val="67A05FCC"/>
    <w:rsid w:val="68C5436B"/>
    <w:rsid w:val="690E58E3"/>
    <w:rsid w:val="69591B58"/>
    <w:rsid w:val="695B21AB"/>
    <w:rsid w:val="699D06A3"/>
    <w:rsid w:val="69A3163D"/>
    <w:rsid w:val="69C441F4"/>
    <w:rsid w:val="6A467D2E"/>
    <w:rsid w:val="6AB21941"/>
    <w:rsid w:val="6AC92664"/>
    <w:rsid w:val="6B8813B5"/>
    <w:rsid w:val="6C391AED"/>
    <w:rsid w:val="6C432A11"/>
    <w:rsid w:val="6CDA03F3"/>
    <w:rsid w:val="6D436291"/>
    <w:rsid w:val="6D93510E"/>
    <w:rsid w:val="6DE86C68"/>
    <w:rsid w:val="6E4A50D6"/>
    <w:rsid w:val="6E572D1F"/>
    <w:rsid w:val="705E076B"/>
    <w:rsid w:val="705F156B"/>
    <w:rsid w:val="716234D1"/>
    <w:rsid w:val="721367ED"/>
    <w:rsid w:val="72CB77F1"/>
    <w:rsid w:val="73697BBA"/>
    <w:rsid w:val="73764075"/>
    <w:rsid w:val="73C95B29"/>
    <w:rsid w:val="74352EE3"/>
    <w:rsid w:val="74C1265A"/>
    <w:rsid w:val="75245A93"/>
    <w:rsid w:val="7646256A"/>
    <w:rsid w:val="767E25F0"/>
    <w:rsid w:val="76AA6753"/>
    <w:rsid w:val="76EE2BB4"/>
    <w:rsid w:val="774C41F5"/>
    <w:rsid w:val="775E1E7E"/>
    <w:rsid w:val="7771703D"/>
    <w:rsid w:val="778A5E1B"/>
    <w:rsid w:val="77CD4BBB"/>
    <w:rsid w:val="788039DC"/>
    <w:rsid w:val="7880506B"/>
    <w:rsid w:val="793244A0"/>
    <w:rsid w:val="79CC49FF"/>
    <w:rsid w:val="79E84606"/>
    <w:rsid w:val="7A326F58"/>
    <w:rsid w:val="7AAC2856"/>
    <w:rsid w:val="7B3B065B"/>
    <w:rsid w:val="7B455BCC"/>
    <w:rsid w:val="7B5F552E"/>
    <w:rsid w:val="7BC14128"/>
    <w:rsid w:val="7C351B7C"/>
    <w:rsid w:val="7CCC6766"/>
    <w:rsid w:val="7D407F44"/>
    <w:rsid w:val="7EAB7A4E"/>
    <w:rsid w:val="7EFB61FD"/>
    <w:rsid w:val="7F1715F4"/>
    <w:rsid w:val="7F177286"/>
    <w:rsid w:val="7F58525A"/>
    <w:rsid w:val="7F690977"/>
    <w:rsid w:val="7F6F559D"/>
    <w:rsid w:val="7FBC3457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spacing w:after="100" w:afterAutospacing="1"/>
      <w:jc w:val="both"/>
    </w:pPr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3">
    <w:name w:val="heading 2"/>
    <w:basedOn w:val="2"/>
    <w:next w:val="1"/>
    <w:qFormat/>
    <w:uiPriority w:val="9"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4">
    <w:name w:val="heading 3"/>
    <w:basedOn w:val="3"/>
    <w:next w:val="1"/>
    <w:qFormat/>
    <w:uiPriority w:val="9"/>
    <w:pPr>
      <w:numPr>
        <w:ilvl w:val="2"/>
      </w:numPr>
      <w:spacing w:before="240" w:after="60"/>
      <w:outlineLvl w:val="2"/>
    </w:p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2"/>
    <w:basedOn w:val="7"/>
    <w:qFormat/>
    <w:uiPriority w:val="0"/>
    <w:pPr>
      <w:ind w:left="851"/>
    </w:pPr>
  </w:style>
  <w:style w:type="paragraph" w:styleId="7">
    <w:name w:val="List"/>
    <w:basedOn w:val="1"/>
    <w:qFormat/>
    <w:uiPriority w:val="0"/>
    <w:pPr>
      <w:ind w:left="568" w:hanging="284"/>
    </w:pPr>
  </w:style>
  <w:style w:type="paragraph" w:styleId="8">
    <w:name w:val="Balloon Text"/>
    <w:basedOn w:val="1"/>
    <w:link w:val="19"/>
    <w:qFormat/>
    <w:uiPriority w:val="0"/>
    <w:pPr>
      <w:spacing w:after="0"/>
    </w:pPr>
    <w:rPr>
      <w:sz w:val="18"/>
      <w:szCs w:val="18"/>
    </w:rPr>
  </w:style>
  <w:style w:type="paragraph" w:styleId="9">
    <w:name w:val="footer"/>
    <w:basedOn w:val="1"/>
    <w:qFormat/>
    <w:uiPriority w:val="99"/>
    <w:pPr>
      <w:tabs>
        <w:tab w:val="center" w:pos="4252"/>
        <w:tab w:val="right" w:pos="8504"/>
      </w:tabs>
    </w:pPr>
  </w:style>
  <w:style w:type="paragraph" w:styleId="10">
    <w:name w:val="header"/>
    <w:basedOn w:val="1"/>
    <w:qFormat/>
    <w:uiPriority w:val="99"/>
    <w:pPr>
      <w:widowControl w:val="0"/>
    </w:pPr>
    <w:rPr>
      <w:rFonts w:ascii="Arial" w:hAnsi="Arial" w:eastAsia="MS Mincho"/>
      <w:b/>
      <w:sz w:val="18"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22"/>
    <w:rPr>
      <w:rFonts w:cs="Times New Roman"/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paragraph" w:customStyle="1" w:styleId="16">
    <w:name w:val="text intend 2"/>
    <w:basedOn w:val="17"/>
    <w:qFormat/>
    <w:uiPriority w:val="0"/>
    <w:pPr>
      <w:widowControl/>
      <w:numPr>
        <w:numId w:val="2"/>
      </w:numPr>
      <w:tabs>
        <w:tab w:val="left" w:pos="420"/>
      </w:tabs>
      <w:spacing w:after="120"/>
    </w:pPr>
    <w:rPr>
      <w:lang w:val="en-US"/>
    </w:rPr>
  </w:style>
  <w:style w:type="paragraph" w:customStyle="1" w:styleId="17">
    <w:name w:val="text"/>
    <w:basedOn w:val="1"/>
    <w:qFormat/>
    <w:uiPriority w:val="0"/>
    <w:pPr>
      <w:widowControl w:val="0"/>
      <w:numPr>
        <w:ilvl w:val="0"/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18">
    <w:name w:val="List Paragraph"/>
    <w:basedOn w:val="1"/>
    <w:link w:val="20"/>
    <w:qFormat/>
    <w:uiPriority w:val="34"/>
    <w:pPr>
      <w:numPr>
        <w:ilvl w:val="0"/>
        <w:numId w:val="4"/>
      </w:numPr>
      <w:spacing w:before="240" w:after="0" w:afterAutospacing="0"/>
    </w:pPr>
  </w:style>
  <w:style w:type="character" w:customStyle="1" w:styleId="19">
    <w:name w:val="批注框文本 字符"/>
    <w:basedOn w:val="13"/>
    <w:link w:val="8"/>
    <w:qFormat/>
    <w:uiPriority w:val="0"/>
    <w:rPr>
      <w:rFonts w:eastAsia="MS Gothic"/>
      <w:sz w:val="18"/>
      <w:szCs w:val="18"/>
      <w:lang w:val="en-GB" w:eastAsia="ja-JP"/>
    </w:rPr>
  </w:style>
  <w:style w:type="character" w:customStyle="1" w:styleId="20">
    <w:name w:val="列出段落 字符"/>
    <w:link w:val="18"/>
    <w:qFormat/>
    <w:locked/>
    <w:uiPriority w:val="34"/>
    <w:rPr>
      <w:rFonts w:eastAsia="MS Gothic"/>
      <w:sz w:val="24"/>
      <w:lang w:val="en-GB" w:eastAsia="ja-JP"/>
    </w:rPr>
  </w:style>
  <w:style w:type="paragraph" w:customStyle="1" w:styleId="21">
    <w:name w:val="0 Main text"/>
    <w:basedOn w:val="1"/>
    <w:qFormat/>
    <w:uiPriority w:val="0"/>
    <w:rPr>
      <w:rFonts w:eastAsia="Malgun Gothic"/>
    </w:rPr>
  </w:style>
  <w:style w:type="paragraph" w:customStyle="1" w:styleId="22">
    <w:name w:val="B1"/>
    <w:basedOn w:val="7"/>
    <w:qFormat/>
    <w:uiPriority w:val="0"/>
    <w:pPr>
      <w:ind w:left="568" w:hanging="284"/>
    </w:pPr>
  </w:style>
  <w:style w:type="paragraph" w:customStyle="1" w:styleId="23">
    <w:name w:val="EX"/>
    <w:basedOn w:val="1"/>
    <w:qFormat/>
    <w:uiPriority w:val="0"/>
    <w:pPr>
      <w:keepLines/>
      <w:ind w:left="1702" w:hanging="1418"/>
    </w:pPr>
  </w:style>
  <w:style w:type="paragraph" w:customStyle="1" w:styleId="24">
    <w:name w:val="B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1096</Words>
  <Characters>5624</Characters>
  <Lines>66</Lines>
  <Paragraphs>18</Paragraphs>
  <TotalTime>0</TotalTime>
  <ScaleCrop>false</ScaleCrop>
  <LinksUpToDate>false</LinksUpToDate>
  <CharactersWithSpaces>6696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2023-12-27T23:54:00Z</dcterms:created>
  <dc:creator>Sharp</dc:creator>
  <cp:lastModifiedBy>Luochao</cp:lastModifiedBy>
  <dcterms:modified xsi:type="dcterms:W3CDTF">2025-02-07T08:21:55Z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3F2DD0AC7AB441299B0BF7F1CCC6F884_13</vt:lpwstr>
  </property>
  <property fmtid="{D5CDD505-2E9C-101B-9397-08002B2CF9AE}" pid="4" name="KSOTemplateDocerSaveRecord">
    <vt:lpwstr>eyJoZGlkIjoiNjg5YTE3M2RiMjhjZDUyY2MxZjU4MzFhNTRmNWZiNWEiLCJ1c2VySWQiOiI0NDM1NzkyNzAifQ==</vt:lpwstr>
  </property>
</Properties>
</file>