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1BB2" w14:textId="44B38246"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60790E">
        <w:rPr>
          <w:rFonts w:ascii="Arial" w:hAnsi="Arial" w:cs="Arial"/>
          <w:b/>
          <w:bCs/>
          <w:sz w:val="24"/>
        </w:rPr>
        <w:t>120</w:t>
      </w:r>
      <w:r>
        <w:rPr>
          <w:rFonts w:ascii="Arial" w:hAnsi="Arial" w:cs="Arial"/>
          <w:b/>
          <w:bCs/>
          <w:sz w:val="24"/>
        </w:rPr>
        <w:t xml:space="preserve">        </w:t>
      </w:r>
      <w:r w:rsidR="006A33A6">
        <w:rPr>
          <w:rFonts w:ascii="Arial" w:hAnsi="Arial" w:cs="Arial"/>
          <w:b/>
          <w:bCs/>
          <w:sz w:val="24"/>
        </w:rPr>
        <w:t xml:space="preserve">                    </w:t>
      </w:r>
      <w:r>
        <w:rPr>
          <w:rFonts w:ascii="Arial" w:hAnsi="Arial" w:cs="Arial"/>
          <w:b/>
          <w:bCs/>
          <w:sz w:val="24"/>
        </w:rPr>
        <w:t xml:space="preserve">    </w:t>
      </w:r>
      <w:r w:rsidR="008B5A3A">
        <w:rPr>
          <w:rFonts w:ascii="Arial" w:hAnsi="Arial" w:cs="Arial"/>
          <w:b/>
          <w:bCs/>
          <w:sz w:val="24"/>
        </w:rPr>
        <w:t xml:space="preserve">                 </w:t>
      </w:r>
      <w:r w:rsidR="001B3E0C">
        <w:rPr>
          <w:rFonts w:ascii="Arial" w:hAnsi="Arial" w:cs="Arial"/>
          <w:b/>
          <w:bCs/>
          <w:sz w:val="24"/>
        </w:rPr>
        <w:t xml:space="preserve"> </w:t>
      </w:r>
      <w:r>
        <w:rPr>
          <w:rFonts w:ascii="Arial" w:hAnsi="Arial" w:cs="Arial"/>
          <w:b/>
          <w:bCs/>
          <w:sz w:val="24"/>
        </w:rPr>
        <w:t>R1-</w:t>
      </w:r>
      <w:r w:rsidR="00237206" w:rsidRPr="00237206">
        <w:rPr>
          <w:rFonts w:ascii="Arial" w:hAnsi="Arial" w:cs="Arial"/>
          <w:b/>
          <w:bCs/>
          <w:sz w:val="24"/>
        </w:rPr>
        <w:t>2500239</w:t>
      </w:r>
    </w:p>
    <w:p w14:paraId="4D3168AF" w14:textId="3DC188C2" w:rsidR="00F302D9" w:rsidRDefault="00811D1B">
      <w:pPr>
        <w:adjustRightInd w:val="0"/>
        <w:snapToGrid w:val="0"/>
        <w:spacing w:after="120"/>
        <w:rPr>
          <w:rFonts w:ascii="Arial" w:hAnsi="Arial" w:cs="Arial"/>
          <w:b/>
          <w:bCs/>
          <w:sz w:val="24"/>
        </w:rPr>
      </w:pPr>
      <w:r w:rsidRPr="00811D1B">
        <w:rPr>
          <w:rFonts w:ascii="Arial" w:hAnsi="Arial" w:cs="Arial"/>
          <w:b/>
          <w:bCs/>
          <w:sz w:val="24"/>
        </w:rPr>
        <w:t>Athens, Greece, February</w:t>
      </w:r>
      <w:bookmarkStart w:id="0" w:name="_GoBack"/>
      <w:bookmarkEnd w:id="0"/>
      <w:r w:rsidR="00216AD2">
        <w:rPr>
          <w:rFonts w:ascii="Arial" w:hAnsi="Arial" w:cs="Arial"/>
          <w:b/>
          <w:bCs/>
          <w:sz w:val="24"/>
        </w:rPr>
        <w:t xml:space="preserve"> </w:t>
      </w:r>
      <w:r w:rsidR="00A16424">
        <w:rPr>
          <w:rFonts w:ascii="Arial" w:hAnsi="Arial" w:cs="Arial"/>
          <w:b/>
          <w:bCs/>
          <w:sz w:val="24"/>
        </w:rPr>
        <w:t>1</w:t>
      </w:r>
      <w:r w:rsidR="0060790E">
        <w:rPr>
          <w:rFonts w:ascii="Arial" w:hAnsi="Arial" w:cs="Arial"/>
          <w:b/>
          <w:bCs/>
          <w:sz w:val="24"/>
        </w:rPr>
        <w:t>7</w:t>
      </w:r>
      <w:r w:rsidR="00216AD2">
        <w:rPr>
          <w:rFonts w:ascii="Arial" w:hAnsi="Arial" w:cs="Arial"/>
          <w:b/>
          <w:bCs/>
          <w:sz w:val="24"/>
          <w:vertAlign w:val="superscript"/>
        </w:rPr>
        <w:t>th</w:t>
      </w:r>
      <w:r w:rsidR="00216AD2">
        <w:rPr>
          <w:rFonts w:ascii="Arial" w:hAnsi="Arial" w:cs="Arial"/>
          <w:b/>
          <w:bCs/>
          <w:sz w:val="24"/>
        </w:rPr>
        <w:t xml:space="preserve"> – </w:t>
      </w:r>
      <w:r w:rsidR="0060790E">
        <w:rPr>
          <w:rFonts w:ascii="Arial" w:hAnsi="Arial" w:cs="Arial"/>
          <w:b/>
          <w:bCs/>
          <w:sz w:val="24"/>
        </w:rPr>
        <w:t>21</w:t>
      </w:r>
      <w:r w:rsidR="0060790E">
        <w:rPr>
          <w:rFonts w:ascii="Arial" w:hAnsi="Arial" w:cs="Arial"/>
          <w:b/>
          <w:bCs/>
          <w:sz w:val="24"/>
          <w:vertAlign w:val="superscript"/>
        </w:rPr>
        <w:t>st</w:t>
      </w:r>
      <w:r>
        <w:rPr>
          <w:rFonts w:ascii="Arial" w:hAnsi="Arial" w:cs="Arial"/>
          <w:b/>
          <w:bCs/>
          <w:sz w:val="24"/>
        </w:rPr>
        <w:t xml:space="preserve">, </w:t>
      </w:r>
      <w:r w:rsidR="00216AD2">
        <w:rPr>
          <w:rFonts w:ascii="Arial" w:hAnsi="Arial" w:cs="Arial"/>
          <w:b/>
          <w:bCs/>
          <w:sz w:val="24"/>
        </w:rPr>
        <w:t>202</w:t>
      </w:r>
      <w:r w:rsidR="0060790E">
        <w:rPr>
          <w:rFonts w:ascii="Arial" w:hAnsi="Arial" w:cs="Arial"/>
          <w:b/>
          <w:bCs/>
          <w:sz w:val="24"/>
        </w:rPr>
        <w:t>5</w:t>
      </w:r>
    </w:p>
    <w:p w14:paraId="7B89E66D" w14:textId="77777777" w:rsidR="00F302D9" w:rsidRPr="0060790E"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1" w:name="OLE_LINK1"/>
      <w:bookmarkStart w:id="2" w:name="OLE_LINK2"/>
      <w:r>
        <w:rPr>
          <w:rFonts w:ascii="Arial" w:eastAsia="宋体" w:hAnsi="Arial" w:cs="Arial"/>
          <w:b/>
          <w:sz w:val="24"/>
        </w:rPr>
        <w:t>asymmetric DL sTRP/UL mTRP scenarios</w:t>
      </w:r>
      <w:bookmarkEnd w:id="1"/>
      <w:bookmarkEnd w:id="2"/>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3" w:name="_Hlk145555364"/>
            <w:bookmarkStart w:id="4"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3"/>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5"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5"/>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4"/>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755259A9" w:rsidR="00D3641A" w:rsidRPr="00D707E6" w:rsidRDefault="00B34606" w:rsidP="00BF4B91">
      <w:pPr>
        <w:pStyle w:val="aa"/>
        <w:spacing w:after="180"/>
        <w:jc w:val="center"/>
        <w:rPr>
          <w:rFonts w:ascii="Times New Roman" w:hAnsi="Times New Roman" w:cs="Times New Roman"/>
        </w:rPr>
      </w:pPr>
      <w:bookmarkStart w:id="6"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009B618D">
        <w:rPr>
          <w:rFonts w:ascii="Times New Roman" w:hAnsi="Times New Roman" w:cs="Times New Roman"/>
          <w:noProof/>
        </w:rPr>
        <w:t>1</w:t>
      </w:r>
      <w:r w:rsidRPr="00D707E6">
        <w:rPr>
          <w:rFonts w:ascii="Times New Roman" w:hAnsi="Times New Roman" w:cs="Times New Roman"/>
          <w:noProof/>
        </w:rPr>
        <w:fldChar w:fldCharType="end"/>
      </w:r>
      <w:bookmarkEnd w:id="6"/>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7" w:name="OLE_LINK15"/>
      <w:r w:rsidRPr="00A5662A">
        <w:rPr>
          <w:b/>
        </w:rPr>
        <w:t>asymmetric DL sTRP/UL mTRP deployment</w:t>
      </w:r>
      <w:r w:rsidR="00C63C3F" w:rsidRPr="00A5662A">
        <w:rPr>
          <w:b/>
        </w:rPr>
        <w:t xml:space="preserve"> scenario</w:t>
      </w:r>
      <w:bookmarkEnd w:id="7"/>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8"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8"/>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9" w:name="OLE_LINK3"/>
      <w:r w:rsidR="00747710" w:rsidRPr="00747710">
        <w:rPr>
          <w:rFonts w:ascii="Times New Roman" w:hAnsi="Times New Roman"/>
          <w:szCs w:val="20"/>
        </w:rPr>
        <w:t>reciprocal</w:t>
      </w:r>
      <w:bookmarkEnd w:id="9"/>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10" w:name="OLE_LINK12"/>
      <w:r w:rsidR="00747710" w:rsidRPr="001F23A1">
        <w:rPr>
          <w:rFonts w:ascii="Times New Roman" w:hAnsi="Times New Roman"/>
          <w:i/>
          <w:iCs/>
          <w:szCs w:val="20"/>
        </w:rPr>
        <w:t>unifiedTCI-StateType</w:t>
      </w:r>
      <w:bookmarkEnd w:id="10"/>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1" w:name="OLE_LINK6"/>
      <w:r w:rsidR="00D76F20">
        <w:rPr>
          <w:rFonts w:ascii="Times New Roman" w:hAnsi="Times New Roman"/>
          <w:szCs w:val="20"/>
        </w:rPr>
        <w:t xml:space="preserve">state </w:t>
      </w:r>
      <w:bookmarkEnd w:id="11"/>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2"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2"/>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3"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3"/>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4" w:name="OLE_LINK14"/>
      <w:r w:rsidR="00117E39">
        <w:rPr>
          <w:rFonts w:ascii="Times New Roman" w:eastAsiaTheme="minorEastAsia" w:hAnsi="Times New Roman"/>
          <w:szCs w:val="20"/>
          <w:lang w:eastAsia="zh-CN"/>
        </w:rPr>
        <w:t xml:space="preserve">UL </w:t>
      </w:r>
      <w:bookmarkEnd w:id="14"/>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079EBBE" w:rsidR="00E433CC" w:rsidRDefault="00E433CC" w:rsidP="00E433CC">
      <w:pPr>
        <w:pStyle w:val="2"/>
      </w:pPr>
      <w:r>
        <w:t>2.</w:t>
      </w:r>
      <w:r w:rsidR="00D04490">
        <w:t>3</w:t>
      </w:r>
      <w:r>
        <w:t xml:space="preserve"> </w:t>
      </w:r>
      <w:r w:rsidR="00923CBB">
        <w:t>Power control</w:t>
      </w:r>
    </w:p>
    <w:p w14:paraId="5F74E710" w14:textId="3087ED59" w:rsidR="00923CBB" w:rsidRPr="00923CBB" w:rsidRDefault="00923CBB" w:rsidP="00923CBB">
      <w:pPr>
        <w:pStyle w:val="3"/>
      </w:pPr>
      <w:r>
        <w:t>2.</w:t>
      </w:r>
      <w:r w:rsidR="00D04490">
        <w:t>3</w:t>
      </w:r>
      <w:r>
        <w:t>.</w:t>
      </w:r>
      <w:r w:rsidR="00B74832">
        <w:t>1</w:t>
      </w:r>
      <w:r>
        <w:t xml:space="preserve"> </w:t>
      </w:r>
      <w:bookmarkStart w:id="15" w:name="OLE_LINK7"/>
      <w:bookmarkStart w:id="16" w:name="OLE_LINK8"/>
      <w:r>
        <w:t>Path loss</w:t>
      </w:r>
      <w:r w:rsidR="008606A6">
        <w:t xml:space="preserve"> </w:t>
      </w:r>
      <w:r w:rsidR="008606A6">
        <w:rPr>
          <w:rFonts w:hint="eastAsia"/>
        </w:rPr>
        <w:t>acquisition</w:t>
      </w:r>
      <w:bookmarkEnd w:id="15"/>
      <w:bookmarkEnd w:id="16"/>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w:t>
      </w:r>
      <w:r w:rsidRPr="002E1CAC">
        <w:rPr>
          <w:rFonts w:ascii="Times New Roman" w:hAnsi="Times New Roman"/>
          <w:szCs w:val="20"/>
        </w:rPr>
        <w:lastRenderedPageBreak/>
        <w:t xml:space="preserve">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206CB1BF" w:rsidR="00D62556"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03AD343B" w:rsidR="00D3641A" w:rsidRDefault="00D3641A" w:rsidP="00923CBB">
      <w:pPr>
        <w:pStyle w:val="3"/>
      </w:pPr>
      <w:r>
        <w:t>2.3</w:t>
      </w:r>
      <w:r w:rsidR="00B74832">
        <w:t>.2</w:t>
      </w:r>
      <w:r>
        <w:t xml:space="preserve"> Closed loop power control</w:t>
      </w:r>
    </w:p>
    <w:p w14:paraId="37851887" w14:textId="02D99AAC"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 xml:space="preserve">the </w:t>
      </w:r>
      <w:r w:rsidR="00772671">
        <w:rPr>
          <w:rFonts w:ascii="Times New Roman" w:hAnsi="Times New Roman"/>
          <w:szCs w:val="20"/>
        </w:rPr>
        <w:t>indication</w:t>
      </w:r>
      <w:r w:rsidR="00B23B08">
        <w:rPr>
          <w:rFonts w:ascii="Times New Roman" w:hAnsi="Times New Roman"/>
          <w:szCs w:val="20"/>
        </w:rPr>
        <w:t xml:space="preserve"> of independent closed-loop power control for SRS</w:t>
      </w:r>
      <w:r>
        <w:rPr>
          <w:rFonts w:ascii="Times New Roman" w:hAnsi="Times New Roman"/>
          <w:szCs w:val="20"/>
        </w:rPr>
        <w:t xml:space="preserve"> for </w:t>
      </w:r>
      <w:r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60790E">
        <w:rPr>
          <w:rFonts w:ascii="Times New Roman" w:eastAsia="宋体" w:hAnsi="Times New Roman"/>
          <w:szCs w:val="20"/>
          <w:lang w:eastAsia="ko-KR"/>
        </w:rPr>
        <w:t>9</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17174CBE" w14:textId="77777777" w:rsidR="0060790E" w:rsidRPr="0060790E" w:rsidRDefault="0060790E" w:rsidP="0060790E">
            <w:pPr>
              <w:rPr>
                <w:rFonts w:ascii="Times New Roman" w:hAnsi="Times New Roman"/>
                <w:szCs w:val="20"/>
              </w:rPr>
            </w:pPr>
            <w:r w:rsidRPr="0060790E">
              <w:rPr>
                <w:rFonts w:ascii="Times New Roman" w:hAnsi="Times New Roman"/>
                <w:szCs w:val="20"/>
                <w:highlight w:val="green"/>
              </w:rPr>
              <w:t>Agreement</w:t>
            </w:r>
          </w:p>
          <w:p w14:paraId="73E7C892" w14:textId="77777777" w:rsidR="0060790E" w:rsidRPr="0060790E" w:rsidRDefault="0060790E" w:rsidP="0060790E">
            <w:pPr>
              <w:rPr>
                <w:rFonts w:ascii="Times New Roman" w:eastAsia="等线" w:hAnsi="Times New Roman"/>
                <w:szCs w:val="20"/>
                <w:lang w:eastAsia="zh-CN"/>
              </w:rPr>
            </w:pPr>
            <w:r w:rsidRPr="0060790E">
              <w:rPr>
                <w:rFonts w:ascii="Times New Roman" w:eastAsia="等线" w:hAnsi="Times New Roman"/>
                <w:szCs w:val="20"/>
                <w:lang w:eastAsia="zh-CN"/>
              </w:rPr>
              <w:t>Support DCI format 1_1 to indicate TPC command for SRS CLPC adjustment state(s) separate from PUSCH:</w:t>
            </w:r>
          </w:p>
          <w:p w14:paraId="1E06880B" w14:textId="77777777" w:rsidR="0060790E" w:rsidRPr="0060790E" w:rsidRDefault="0060790E" w:rsidP="0060790E">
            <w:pPr>
              <w:numPr>
                <w:ilvl w:val="0"/>
                <w:numId w:val="20"/>
              </w:numPr>
              <w:jc w:val="both"/>
              <w:rPr>
                <w:rFonts w:ascii="Times New Roman" w:eastAsia="等线" w:hAnsi="Times New Roman"/>
                <w:szCs w:val="20"/>
                <w:lang w:eastAsia="zh-CN"/>
              </w:rPr>
            </w:pPr>
            <w:r w:rsidRPr="0060790E">
              <w:rPr>
                <w:rFonts w:ascii="Times New Roman" w:eastAsia="等线" w:hAnsi="Times New Roman"/>
                <w:szCs w:val="20"/>
                <w:lang w:eastAsia="zh-CN"/>
              </w:rPr>
              <w:t>(</w:t>
            </w:r>
            <w:r w:rsidRPr="0060790E">
              <w:rPr>
                <w:rFonts w:ascii="Times New Roman" w:eastAsia="等线" w:hAnsi="Times New Roman"/>
                <w:szCs w:val="20"/>
                <w:highlight w:val="darkYellow"/>
                <w:lang w:eastAsia="zh-CN"/>
              </w:rPr>
              <w:t>Working Assumption</w:t>
            </w:r>
            <w:r w:rsidRPr="0060790E">
              <w:rPr>
                <w:rFonts w:ascii="Times New Roman" w:eastAsia="等线" w:hAnsi="Times New Roman"/>
                <w:szCs w:val="20"/>
                <w:lang w:eastAsia="zh-CN"/>
              </w:rPr>
              <w:t>) Introduce a 2-bit TPC command field to indicate TPC command for SRS associated with separate SRS CLPC adjustment state where:</w:t>
            </w:r>
          </w:p>
          <w:p w14:paraId="7B9DE356" w14:textId="77777777" w:rsidR="0060790E" w:rsidRPr="0060790E" w:rsidRDefault="0060790E" w:rsidP="0060790E">
            <w:pPr>
              <w:numPr>
                <w:ilvl w:val="1"/>
                <w:numId w:val="20"/>
              </w:numPr>
              <w:jc w:val="both"/>
              <w:rPr>
                <w:rFonts w:ascii="Times New Roman" w:eastAsia="等线" w:hAnsi="Times New Roman"/>
                <w:szCs w:val="20"/>
                <w:lang w:eastAsia="zh-CN"/>
              </w:rPr>
            </w:pPr>
            <w:r w:rsidRPr="0060790E">
              <w:rPr>
                <w:rFonts w:ascii="Times New Roman" w:eastAsia="等线" w:hAnsi="Times New Roman"/>
                <w:szCs w:val="20"/>
                <w:lang w:eastAsia="zh-CN"/>
              </w:rPr>
              <w:t>The 2-bit TPC command field is present if UE reports supporting a dedicated UE capability, and a corresponding RRC parameter is configured (which is a new RRC to enable this).</w:t>
            </w:r>
          </w:p>
          <w:p w14:paraId="7327562C" w14:textId="77777777" w:rsidR="0060790E" w:rsidRPr="0060790E" w:rsidRDefault="0060790E" w:rsidP="0060790E">
            <w:pPr>
              <w:numPr>
                <w:ilvl w:val="0"/>
                <w:numId w:val="20"/>
              </w:numPr>
              <w:jc w:val="both"/>
              <w:rPr>
                <w:rFonts w:ascii="Times New Roman" w:eastAsia="等线" w:hAnsi="Times New Roman"/>
                <w:szCs w:val="20"/>
                <w:lang w:eastAsia="zh-CN"/>
              </w:rPr>
            </w:pPr>
            <w:r w:rsidRPr="0060790E">
              <w:rPr>
                <w:rFonts w:ascii="Times New Roman" w:eastAsia="等线" w:hAnsi="Times New Roman"/>
                <w:szCs w:val="20"/>
                <w:lang w:eastAsia="zh-CN"/>
              </w:rPr>
              <w:t>(</w:t>
            </w:r>
            <w:r w:rsidRPr="0060790E">
              <w:rPr>
                <w:rFonts w:ascii="Times New Roman" w:eastAsia="等线" w:hAnsi="Times New Roman"/>
                <w:szCs w:val="20"/>
                <w:highlight w:val="darkYellow"/>
                <w:lang w:eastAsia="zh-CN"/>
              </w:rPr>
              <w:t>Working Assumption</w:t>
            </w:r>
            <w:r w:rsidRPr="0060790E">
              <w:rPr>
                <w:rFonts w:ascii="Times New Roman" w:eastAsia="等线" w:hAnsi="Times New Roman"/>
                <w:szCs w:val="20"/>
                <w:lang w:eastAsia="zh-CN"/>
              </w:rPr>
              <w:t>) Introduce a 1-bit SRS close-loop indicator to indicate one of the two separate SRS CLPC adjustment states for the TPC command</w:t>
            </w:r>
          </w:p>
          <w:p w14:paraId="5475B8C2" w14:textId="7F837461" w:rsidR="0074772D" w:rsidRPr="0060790E" w:rsidRDefault="0060790E" w:rsidP="0060790E">
            <w:pPr>
              <w:numPr>
                <w:ilvl w:val="1"/>
                <w:numId w:val="20"/>
              </w:numPr>
              <w:jc w:val="both"/>
              <w:rPr>
                <w:rFonts w:ascii="Times New Roman" w:eastAsia="等线" w:hAnsi="Times New Roman"/>
                <w:szCs w:val="20"/>
                <w:lang w:eastAsia="zh-CN"/>
              </w:rPr>
            </w:pPr>
            <w:r w:rsidRPr="0060790E">
              <w:rPr>
                <w:rFonts w:ascii="Times New Roman" w:eastAsia="等线" w:hAnsi="Times New Roman"/>
                <w:szCs w:val="20"/>
                <w:lang w:eastAsia="zh-CN"/>
              </w:rPr>
              <w:lastRenderedPageBreak/>
              <w:t>The 1-bit SRS close-loop indicator is present if UE reports supporting another dedicated UE capability and a corresponding RRC parameter is configured (which is a new RRC to enable this) and two separate SRS CLPC adjustment states are configured.</w:t>
            </w:r>
          </w:p>
        </w:tc>
      </w:tr>
    </w:tbl>
    <w:p w14:paraId="3D91FDC3" w14:textId="646DA24E" w:rsidR="00B42CC1" w:rsidRDefault="00B42CC1" w:rsidP="006E1C13">
      <w:pPr>
        <w:pStyle w:val="a4"/>
      </w:pPr>
      <w:r>
        <w:lastRenderedPageBreak/>
        <w:t xml:space="preserve">In current specification, DCI format 2_3 with </w:t>
      </w:r>
      <w:r w:rsidR="00EA5867">
        <w:t xml:space="preserve">several </w:t>
      </w:r>
      <w:r>
        <w:t xml:space="preserve">TPC command fields is used for SRS CLPC adjustment. DCI format 2_3 is a group common DCI </w:t>
      </w:r>
      <w:r w:rsidR="00E54EC2">
        <w:t>format, which</w:t>
      </w:r>
      <w:r>
        <w:t xml:space="preserve"> can be used for multiple CCs and multiple UEs. </w:t>
      </w:r>
      <w:r w:rsidR="00EA5867">
        <w:t>The main purpose of this design can reduce overhead</w:t>
      </w:r>
      <w:r>
        <w:t xml:space="preserve"> </w:t>
      </w:r>
      <w:r w:rsidR="00EA5867">
        <w:t xml:space="preserve">of </w:t>
      </w:r>
      <w:r>
        <w:t xml:space="preserve">UE-specific DCI </w:t>
      </w:r>
      <w:r w:rsidR="00EA5867">
        <w:t xml:space="preserve">formats such as DCI format 0_1 and 1_1. </w:t>
      </w:r>
      <w:r w:rsidR="00595C60">
        <w:t xml:space="preserve">The main usage of UE-specific DCI formats is to schedule PUSCH or PDSCH, on the other words, to guarantee the data transmission. </w:t>
      </w:r>
      <w:r w:rsidR="00EA5867">
        <w:t>While in this agreement, a TPC command filed with 2 bits for one of separate SRS CLPC adjustment states is introduced in DCI format 1_1. And to distinguish the separate SRS CLPC adjustment states, additional 1 bit is also introduced. This increase overhead of UE-specific DCI format.</w:t>
      </w:r>
      <w:r w:rsidR="00595C60">
        <w:t xml:space="preserve"> If multiple CCs and UEs need to adjust separate SRS CLPC simultaneously, a number of DCI format 1_1 need to transmit. This causes frequently PDCCH blocking.</w:t>
      </w:r>
    </w:p>
    <w:p w14:paraId="047EB9F6" w14:textId="6B8D2A6E" w:rsidR="00D534BB" w:rsidRDefault="00595C60" w:rsidP="00595C60">
      <w:pPr>
        <w:pStyle w:val="a4"/>
        <w:numPr>
          <w:ilvl w:val="0"/>
          <w:numId w:val="6"/>
        </w:numPr>
        <w:rPr>
          <w:b/>
        </w:rPr>
      </w:pPr>
      <w:r>
        <w:rPr>
          <w:b/>
        </w:rPr>
        <w:t xml:space="preserve">Do not support </w:t>
      </w:r>
      <w:r w:rsidRPr="00595C60">
        <w:rPr>
          <w:b/>
        </w:rPr>
        <w:t>DCI format 1_1 to indicate TPC command for SRS CLPC adjustment state(s) separate from PUSCH</w:t>
      </w:r>
      <w:r w:rsidR="00D534BB" w:rsidRPr="0032181D">
        <w:rPr>
          <w:b/>
        </w:rPr>
        <w:t>.</w:t>
      </w:r>
    </w:p>
    <w:p w14:paraId="21A1B5A0" w14:textId="1C1B6BA6" w:rsidR="00C07707" w:rsidRDefault="00C07707" w:rsidP="00C07707">
      <w:pPr>
        <w:rPr>
          <w:b/>
        </w:rPr>
      </w:pPr>
    </w:p>
    <w:tbl>
      <w:tblPr>
        <w:tblStyle w:val="a3"/>
        <w:tblW w:w="0" w:type="auto"/>
        <w:tblLook w:val="04A0" w:firstRow="1" w:lastRow="0" w:firstColumn="1" w:lastColumn="0" w:noHBand="0" w:noVBand="1"/>
      </w:tblPr>
      <w:tblGrid>
        <w:gridCol w:w="8296"/>
      </w:tblGrid>
      <w:tr w:rsidR="00C07707" w14:paraId="4DC8CAF5" w14:textId="77777777" w:rsidTr="00C07707">
        <w:tc>
          <w:tcPr>
            <w:tcW w:w="8296" w:type="dxa"/>
          </w:tcPr>
          <w:p w14:paraId="342E77AA" w14:textId="77777777" w:rsidR="00C07707" w:rsidRPr="00C07707" w:rsidRDefault="00C07707" w:rsidP="00C07707">
            <w:pPr>
              <w:rPr>
                <w:rFonts w:ascii="Times New Roman" w:hAnsi="Times New Roman"/>
                <w:szCs w:val="20"/>
              </w:rPr>
            </w:pPr>
            <w:r w:rsidRPr="00C07707">
              <w:rPr>
                <w:rFonts w:ascii="Times New Roman" w:hAnsi="Times New Roman"/>
                <w:szCs w:val="20"/>
                <w:highlight w:val="green"/>
              </w:rPr>
              <w:t>Agreement</w:t>
            </w:r>
          </w:p>
          <w:p w14:paraId="75B19350" w14:textId="77777777" w:rsidR="00C07707" w:rsidRPr="00C07707" w:rsidRDefault="00C07707" w:rsidP="00C07707">
            <w:pPr>
              <w:rPr>
                <w:rFonts w:ascii="Times New Roman" w:eastAsia="等线" w:hAnsi="Times New Roman"/>
                <w:szCs w:val="20"/>
                <w:lang w:eastAsia="zh-CN"/>
              </w:rPr>
            </w:pPr>
            <w:r w:rsidRPr="00C07707">
              <w:rPr>
                <w:rFonts w:ascii="Times New Roman" w:eastAsia="等线" w:hAnsi="Times New Roman"/>
                <w:szCs w:val="20"/>
                <w:lang w:eastAsia="zh-CN"/>
              </w:rPr>
              <w:t xml:space="preserve">For an SRS resource set not configured with </w:t>
            </w:r>
            <w:r w:rsidRPr="00C07707">
              <w:rPr>
                <w:rFonts w:ascii="Times New Roman" w:eastAsia="等线" w:hAnsi="Times New Roman"/>
                <w:i/>
                <w:iCs/>
                <w:szCs w:val="20"/>
                <w:lang w:eastAsia="zh-CN"/>
              </w:rPr>
              <w:t>followUnifiedTCI-StateSRS</w:t>
            </w:r>
            <w:r w:rsidRPr="00C07707">
              <w:rPr>
                <w:rFonts w:ascii="Times New Roman" w:eastAsia="等线" w:hAnsi="Times New Roman"/>
                <w:szCs w:val="20"/>
                <w:lang w:eastAsia="zh-CN"/>
              </w:rPr>
              <w:t>, regarding how to determine the PL offset and the CLPC adjustment state, down-select from the following Alts:</w:t>
            </w:r>
          </w:p>
          <w:p w14:paraId="386D6D1B" w14:textId="77777777" w:rsidR="00C07707" w:rsidRPr="00C07707" w:rsidRDefault="00C07707" w:rsidP="00C07707">
            <w:pPr>
              <w:numPr>
                <w:ilvl w:val="0"/>
                <w:numId w:val="23"/>
              </w:numPr>
              <w:rPr>
                <w:rFonts w:ascii="Times New Roman" w:eastAsia="等线" w:hAnsi="Times New Roman"/>
                <w:szCs w:val="20"/>
                <w:lang w:eastAsia="zh-CN"/>
              </w:rPr>
            </w:pPr>
            <w:r w:rsidRPr="00C07707">
              <w:rPr>
                <w:rFonts w:ascii="Times New Roman" w:eastAsia="等线" w:hAnsi="Times New Roman"/>
                <w:szCs w:val="20"/>
                <w:lang w:eastAsia="zh-CN"/>
              </w:rPr>
              <w:t>Alt1: The PL offset and CLPC adjustment state indicated by the TCI state configured to the SRS resource with lowest ID (i.e., reusing the rule specified in Rel-17) and no extra enhancement.</w:t>
            </w:r>
          </w:p>
          <w:p w14:paraId="58FF8730" w14:textId="77777777" w:rsidR="00C07707" w:rsidRPr="00C07707" w:rsidRDefault="00C07707" w:rsidP="00C07707">
            <w:pPr>
              <w:numPr>
                <w:ilvl w:val="0"/>
                <w:numId w:val="23"/>
              </w:numPr>
              <w:rPr>
                <w:rFonts w:ascii="Times New Roman" w:eastAsia="等线" w:hAnsi="Times New Roman"/>
                <w:szCs w:val="20"/>
                <w:lang w:eastAsia="zh-CN"/>
              </w:rPr>
            </w:pPr>
            <w:r w:rsidRPr="00C07707">
              <w:rPr>
                <w:rFonts w:ascii="Times New Roman" w:eastAsia="等线" w:hAnsi="Times New Rom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r w:rsidRPr="00C07707">
              <w:rPr>
                <w:rFonts w:ascii="Times New Roman" w:eastAsia="等线" w:hAnsi="Times New Roman"/>
                <w:i/>
                <w:iCs/>
                <w:szCs w:val="20"/>
                <w:lang w:eastAsia="zh-CN"/>
              </w:rPr>
              <w:t>referenceSignal</w:t>
            </w:r>
            <w:r w:rsidRPr="00C07707">
              <w:rPr>
                <w:rFonts w:ascii="Times New Roman" w:eastAsia="等线" w:hAnsi="Times New Roman"/>
                <w:szCs w:val="20"/>
                <w:lang w:eastAsia="zh-CN"/>
              </w:rPr>
              <w:t>” in a UL TCI state is optional.</w:t>
            </w:r>
          </w:p>
          <w:p w14:paraId="5DF2293B" w14:textId="77777777" w:rsidR="00C07707" w:rsidRPr="00C07707" w:rsidRDefault="00C07707" w:rsidP="00C07707">
            <w:pPr>
              <w:numPr>
                <w:ilvl w:val="0"/>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Alt3: </w:t>
            </w:r>
          </w:p>
          <w:p w14:paraId="2E24B2BF" w14:textId="77777777" w:rsidR="00C07707" w:rsidRPr="00C07707" w:rsidRDefault="00C07707" w:rsidP="00C07707">
            <w:pPr>
              <w:numPr>
                <w:ilvl w:val="1"/>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50EA1BF5" w14:textId="77777777" w:rsidR="00C07707" w:rsidRPr="00C07707" w:rsidRDefault="00C07707" w:rsidP="00C07707">
            <w:pPr>
              <w:numPr>
                <w:ilvl w:val="1"/>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Otherwise, one of the two separate SRS CLPC adjustment states and one PL offset are configured in the SRS resource set, and they are applied on the SRS resources. </w:t>
            </w:r>
          </w:p>
          <w:p w14:paraId="403F6649" w14:textId="77777777" w:rsidR="00C07707" w:rsidRPr="00C07707" w:rsidRDefault="00C07707" w:rsidP="00C07707">
            <w:pPr>
              <w:numPr>
                <w:ilvl w:val="0"/>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Alt4: </w:t>
            </w:r>
          </w:p>
          <w:p w14:paraId="5B43E804" w14:textId="77777777" w:rsidR="00C07707" w:rsidRPr="00C07707" w:rsidRDefault="00C07707" w:rsidP="00C07707">
            <w:pPr>
              <w:numPr>
                <w:ilvl w:val="1"/>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5728D810" w14:textId="77777777" w:rsidR="00C07707" w:rsidRPr="00C07707" w:rsidRDefault="00C07707" w:rsidP="00C07707">
            <w:pPr>
              <w:numPr>
                <w:ilvl w:val="1"/>
                <w:numId w:val="23"/>
              </w:numPr>
              <w:rPr>
                <w:rFonts w:ascii="Times New Roman" w:eastAsia="等线" w:hAnsi="Times New Roman"/>
                <w:szCs w:val="20"/>
                <w:lang w:eastAsia="zh-CN"/>
              </w:rPr>
            </w:pPr>
            <w:r w:rsidRPr="00C07707">
              <w:rPr>
                <w:rFonts w:ascii="Times New Roman" w:eastAsia="等线" w:hAnsi="Times New Roman"/>
                <w:szCs w:val="20"/>
                <w:lang w:eastAsia="zh-CN"/>
              </w:rPr>
              <w:t xml:space="preserve">Otherwise, one PL offset and one CLPC adjustment state are applied on the SRS resources. </w:t>
            </w:r>
          </w:p>
          <w:p w14:paraId="6985D1A6" w14:textId="5A1B88F5" w:rsidR="00C07707" w:rsidRPr="00C07707" w:rsidRDefault="00C07707" w:rsidP="00C07707">
            <w:pPr>
              <w:numPr>
                <w:ilvl w:val="2"/>
                <w:numId w:val="23"/>
              </w:numPr>
              <w:tabs>
                <w:tab w:val="left" w:pos="2160"/>
              </w:tabs>
              <w:rPr>
                <w:rFonts w:ascii="Times New Roman" w:eastAsia="Calibri" w:hAnsi="Times New Roman"/>
                <w:szCs w:val="20"/>
                <w:lang w:eastAsia="zh-CN"/>
              </w:rPr>
            </w:pPr>
            <w:r w:rsidRPr="00C07707">
              <w:rPr>
                <w:rFonts w:ascii="Times New Roman" w:eastAsia="等线" w:hAnsi="Times New Roman"/>
                <w:szCs w:val="20"/>
                <w:lang w:eastAsia="zh-CN"/>
              </w:rPr>
              <w:t>FFS how to define the PL offset and CLPC adjustment state</w:t>
            </w:r>
          </w:p>
        </w:tc>
      </w:tr>
    </w:tbl>
    <w:p w14:paraId="1788E712" w14:textId="56379445" w:rsidR="002721C9" w:rsidRDefault="002721C9" w:rsidP="00A20728">
      <w:pPr>
        <w:jc w:val="both"/>
        <w:rPr>
          <w:rFonts w:eastAsiaTheme="minorEastAsia"/>
          <w:lang w:eastAsia="zh-CN"/>
        </w:rPr>
      </w:pPr>
      <w:r>
        <w:rPr>
          <w:rFonts w:eastAsiaTheme="minorEastAsia"/>
          <w:lang w:eastAsia="zh-CN"/>
        </w:rPr>
        <w:t xml:space="preserve">In current specifications, </w:t>
      </w:r>
      <w:r w:rsidR="00A20728">
        <w:rPr>
          <w:rFonts w:eastAsiaTheme="minorEastAsia"/>
          <w:lang w:eastAsia="zh-CN"/>
        </w:rPr>
        <w:t xml:space="preserve">if </w:t>
      </w:r>
      <w:r w:rsidR="00A20728" w:rsidRPr="00C07707">
        <w:rPr>
          <w:rFonts w:ascii="Times New Roman" w:eastAsia="等线" w:hAnsi="Times New Roman"/>
          <w:szCs w:val="20"/>
          <w:lang w:eastAsia="zh-CN"/>
        </w:rPr>
        <w:t xml:space="preserve">an SRS resource set </w:t>
      </w:r>
      <w:r w:rsidR="00A20728">
        <w:rPr>
          <w:rFonts w:ascii="Times New Roman" w:eastAsia="等线" w:hAnsi="Times New Roman"/>
          <w:szCs w:val="20"/>
          <w:lang w:eastAsia="zh-CN"/>
        </w:rPr>
        <w:t xml:space="preserve">is </w:t>
      </w:r>
      <w:r w:rsidR="00A20728" w:rsidRPr="00C07707">
        <w:rPr>
          <w:rFonts w:ascii="Times New Roman" w:eastAsia="等线" w:hAnsi="Times New Roman"/>
          <w:szCs w:val="20"/>
          <w:lang w:eastAsia="zh-CN"/>
        </w:rPr>
        <w:t xml:space="preserve">not configured with </w:t>
      </w:r>
      <w:r w:rsidR="00A20728" w:rsidRPr="00C07707">
        <w:rPr>
          <w:rFonts w:ascii="Times New Roman" w:eastAsia="等线" w:hAnsi="Times New Roman"/>
          <w:i/>
          <w:iCs/>
          <w:szCs w:val="20"/>
          <w:lang w:eastAsia="zh-CN"/>
        </w:rPr>
        <w:t>followUnifiedTCI-StateSRS</w:t>
      </w:r>
      <w:r w:rsidR="00A20728">
        <w:rPr>
          <w:rFonts w:eastAsiaTheme="minorEastAsia"/>
          <w:lang w:eastAsia="zh-CN"/>
        </w:rPr>
        <w:t xml:space="preserve">, </w:t>
      </w:r>
      <w:r w:rsidR="00133D9B">
        <w:rPr>
          <w:rFonts w:eastAsiaTheme="minorEastAsia"/>
          <w:lang w:eastAsia="zh-CN"/>
        </w:rPr>
        <w:t xml:space="preserve">the PL estimation and CLPC adjustment state </w:t>
      </w:r>
      <w:r w:rsidR="00A20728">
        <w:rPr>
          <w:rFonts w:eastAsiaTheme="minorEastAsia"/>
          <w:lang w:eastAsia="zh-CN"/>
        </w:rPr>
        <w:t xml:space="preserve">of an SRS resource in the SRS resource set is determined by the TCI state of the SRS resource with the lowest ID. This is the rule </w:t>
      </w:r>
      <w:r w:rsidR="00A20728" w:rsidRPr="00A20728">
        <w:rPr>
          <w:rFonts w:eastAsiaTheme="minorEastAsia"/>
          <w:lang w:eastAsia="zh-CN"/>
        </w:rPr>
        <w:t>specified in Rel-17</w:t>
      </w:r>
      <w:r w:rsidR="00A20728">
        <w:rPr>
          <w:rFonts w:eastAsiaTheme="minorEastAsia"/>
          <w:lang w:eastAsia="zh-CN"/>
        </w:rPr>
        <w:t>.</w:t>
      </w:r>
    </w:p>
    <w:p w14:paraId="3573995E" w14:textId="615D33FA" w:rsidR="00A20728" w:rsidRPr="002721C9" w:rsidRDefault="00A20728" w:rsidP="00A20728">
      <w:pPr>
        <w:jc w:val="both"/>
        <w:rPr>
          <w:rFonts w:eastAsiaTheme="minorEastAsia"/>
          <w:lang w:eastAsia="zh-CN"/>
        </w:rPr>
      </w:pPr>
      <w:r>
        <w:rPr>
          <w:rFonts w:eastAsiaTheme="minorEastAsia"/>
          <w:lang w:eastAsia="zh-CN"/>
        </w:rPr>
        <w:lastRenderedPageBreak/>
        <w:t xml:space="preserve">If the SRS resource with the lowest ID is not provided the TCI state, current specifications imply that it is an error case </w:t>
      </w:r>
      <w:r w:rsidRPr="00730FB3">
        <w:t xml:space="preserve">and gNB can avoid this case by implementation. Therefore, </w:t>
      </w:r>
      <w:r>
        <w:t>extra enhancement is not necessary</w:t>
      </w:r>
      <w:r w:rsidRPr="00730FB3">
        <w:t>.</w:t>
      </w:r>
    </w:p>
    <w:p w14:paraId="535EDE8E" w14:textId="5368A06E" w:rsidR="00A20728" w:rsidRDefault="00A20728" w:rsidP="00A20728">
      <w:pPr>
        <w:pStyle w:val="a4"/>
        <w:numPr>
          <w:ilvl w:val="0"/>
          <w:numId w:val="6"/>
        </w:numPr>
        <w:rPr>
          <w:b/>
        </w:rPr>
      </w:pPr>
      <w:r>
        <w:rPr>
          <w:b/>
        </w:rPr>
        <w:t xml:space="preserve">Support </w:t>
      </w:r>
      <w:r w:rsidRPr="00A20728">
        <w:rPr>
          <w:b/>
        </w:rPr>
        <w:t>Alt1: The PL offset and CLPC adjustment state indicated by the TCI state configured to the SRS resource with lowest ID (i.e., reusing the rule specified in Rel-17) and no extra enhancement.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548839ED" w:rsidR="00E52719"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7F504B4" w14:textId="44892CF5" w:rsidR="00595C60" w:rsidRPr="00D757A9" w:rsidRDefault="00D15E03" w:rsidP="00595C60">
      <w:pPr>
        <w:pStyle w:val="a4"/>
        <w:numPr>
          <w:ilvl w:val="0"/>
          <w:numId w:val="8"/>
        </w:numPr>
        <w:rPr>
          <w:b/>
        </w:rPr>
      </w:pPr>
      <w:r w:rsidRPr="0032181D">
        <w:rPr>
          <w:b/>
        </w:rPr>
        <w:t>In complete separation scenario, network side cannot acquire PL offset.</w:t>
      </w:r>
    </w:p>
    <w:p w14:paraId="17015307" w14:textId="28CF5147" w:rsidR="00595C60" w:rsidRPr="0032181D" w:rsidRDefault="00595C60" w:rsidP="00595C60">
      <w:pPr>
        <w:pStyle w:val="a4"/>
        <w:numPr>
          <w:ilvl w:val="0"/>
          <w:numId w:val="9"/>
        </w:numPr>
        <w:rPr>
          <w:b/>
        </w:rPr>
      </w:pPr>
      <w:r w:rsidRPr="0032181D">
        <w:rPr>
          <w:b/>
        </w:rPr>
        <w:t>Network can acquire PL of the UL-only TRP according to the measurement of UL signals and indicates to UE.</w:t>
      </w:r>
    </w:p>
    <w:p w14:paraId="1E1B4F82" w14:textId="190014DC" w:rsidR="00595C60" w:rsidRDefault="00595C60" w:rsidP="00595C60">
      <w:pPr>
        <w:pStyle w:val="a4"/>
        <w:numPr>
          <w:ilvl w:val="0"/>
          <w:numId w:val="9"/>
        </w:numPr>
        <w:rPr>
          <w:b/>
        </w:rPr>
      </w:pPr>
      <w:r w:rsidRPr="00595C60">
        <w:rPr>
          <w:b/>
        </w:rPr>
        <w:t>Do not support DCI format 1_1 to indicate TPC command for SRS CLPC adjustment state(s) separate from PUSCH.</w:t>
      </w:r>
    </w:p>
    <w:p w14:paraId="332CEEB9" w14:textId="38B0E101" w:rsidR="00A20728" w:rsidRPr="00A20728" w:rsidRDefault="00A20728" w:rsidP="00A20728">
      <w:pPr>
        <w:pStyle w:val="a4"/>
        <w:numPr>
          <w:ilvl w:val="0"/>
          <w:numId w:val="9"/>
        </w:numPr>
        <w:rPr>
          <w:b/>
        </w:rPr>
      </w:pPr>
      <w:r>
        <w:rPr>
          <w:b/>
        </w:rPr>
        <w:t xml:space="preserve">Support </w:t>
      </w:r>
      <w:r w:rsidRPr="00A20728">
        <w:rPr>
          <w:b/>
        </w:rPr>
        <w:t>Alt1: The PL offset and CLPC adjustment state indicated by the TCI state configured to the SRS resource with lowest ID (i.e., reusing the rule specified in Rel-17) and no extra enhancement.</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07417" w14:textId="77777777" w:rsidR="004A5126" w:rsidRDefault="004A5126" w:rsidP="00230FBE">
      <w:r>
        <w:separator/>
      </w:r>
    </w:p>
  </w:endnote>
  <w:endnote w:type="continuationSeparator" w:id="0">
    <w:p w14:paraId="4FC52F6D" w14:textId="77777777" w:rsidR="004A5126" w:rsidRDefault="004A5126"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6194D" w14:textId="77777777" w:rsidR="004A5126" w:rsidRDefault="004A5126" w:rsidP="00230FBE">
      <w:r>
        <w:separator/>
      </w:r>
    </w:p>
  </w:footnote>
  <w:footnote w:type="continuationSeparator" w:id="0">
    <w:p w14:paraId="1D812EB3" w14:textId="77777777" w:rsidR="004A5126" w:rsidRDefault="004A5126"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352DEC"/>
    <w:multiLevelType w:val="hybridMultilevel"/>
    <w:tmpl w:val="AC165BAC"/>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7"/>
  </w:num>
  <w:num w:numId="4">
    <w:abstractNumId w:val="12"/>
  </w:num>
  <w:num w:numId="5">
    <w:abstractNumId w:val="9"/>
  </w:num>
  <w:num w:numId="6">
    <w:abstractNumId w:val="20"/>
  </w:num>
  <w:num w:numId="7">
    <w:abstractNumId w:val="8"/>
  </w:num>
  <w:num w:numId="8">
    <w:abstractNumId w:val="2"/>
  </w:num>
  <w:num w:numId="9">
    <w:abstractNumId w:val="5"/>
  </w:num>
  <w:num w:numId="10">
    <w:abstractNumId w:val="22"/>
  </w:num>
  <w:num w:numId="11">
    <w:abstractNumId w:val="0"/>
  </w:num>
  <w:num w:numId="12">
    <w:abstractNumId w:val="3"/>
  </w:num>
  <w:num w:numId="13">
    <w:abstractNumId w:val="11"/>
  </w:num>
  <w:num w:numId="14">
    <w:abstractNumId w:val="15"/>
  </w:num>
  <w:num w:numId="15">
    <w:abstractNumId w:val="16"/>
  </w:num>
  <w:num w:numId="16">
    <w:abstractNumId w:val="4"/>
  </w:num>
  <w:num w:numId="17">
    <w:abstractNumId w:val="13"/>
  </w:num>
  <w:num w:numId="18">
    <w:abstractNumId w:val="14"/>
  </w:num>
  <w:num w:numId="19">
    <w:abstractNumId w:val="1"/>
  </w:num>
  <w:num w:numId="20">
    <w:abstractNumId w:val="17"/>
  </w:num>
  <w:num w:numId="21">
    <w:abstractNumId w:val="10"/>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CFB"/>
    <w:rsid w:val="000056DA"/>
    <w:rsid w:val="000151C0"/>
    <w:rsid w:val="00023EAE"/>
    <w:rsid w:val="00034056"/>
    <w:rsid w:val="0006158E"/>
    <w:rsid w:val="00077B36"/>
    <w:rsid w:val="00082C95"/>
    <w:rsid w:val="00094C0E"/>
    <w:rsid w:val="000A5740"/>
    <w:rsid w:val="000A6613"/>
    <w:rsid w:val="000B317B"/>
    <w:rsid w:val="000B3986"/>
    <w:rsid w:val="000B4495"/>
    <w:rsid w:val="000D7BB4"/>
    <w:rsid w:val="000E10CC"/>
    <w:rsid w:val="000E242C"/>
    <w:rsid w:val="000E3B61"/>
    <w:rsid w:val="000F539F"/>
    <w:rsid w:val="001054DA"/>
    <w:rsid w:val="00112ADD"/>
    <w:rsid w:val="00117E39"/>
    <w:rsid w:val="00125C65"/>
    <w:rsid w:val="0013315F"/>
    <w:rsid w:val="00133D9B"/>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37206"/>
    <w:rsid w:val="00241E38"/>
    <w:rsid w:val="00256229"/>
    <w:rsid w:val="00260B2D"/>
    <w:rsid w:val="00263666"/>
    <w:rsid w:val="00264DBF"/>
    <w:rsid w:val="002721C9"/>
    <w:rsid w:val="00273E13"/>
    <w:rsid w:val="00275127"/>
    <w:rsid w:val="002820D3"/>
    <w:rsid w:val="0029153F"/>
    <w:rsid w:val="002A65CF"/>
    <w:rsid w:val="002E1CAC"/>
    <w:rsid w:val="002E5993"/>
    <w:rsid w:val="002F6BE0"/>
    <w:rsid w:val="00303F4C"/>
    <w:rsid w:val="0032181D"/>
    <w:rsid w:val="00336C33"/>
    <w:rsid w:val="00337D85"/>
    <w:rsid w:val="003559E5"/>
    <w:rsid w:val="0036059C"/>
    <w:rsid w:val="00370E7A"/>
    <w:rsid w:val="0037604D"/>
    <w:rsid w:val="00390AB0"/>
    <w:rsid w:val="003A15F0"/>
    <w:rsid w:val="003A4104"/>
    <w:rsid w:val="003C1573"/>
    <w:rsid w:val="003D25EF"/>
    <w:rsid w:val="003D6A03"/>
    <w:rsid w:val="003E230F"/>
    <w:rsid w:val="003E26E8"/>
    <w:rsid w:val="003E608F"/>
    <w:rsid w:val="003E7100"/>
    <w:rsid w:val="0040289C"/>
    <w:rsid w:val="004161B6"/>
    <w:rsid w:val="0042083D"/>
    <w:rsid w:val="00427AF2"/>
    <w:rsid w:val="00456714"/>
    <w:rsid w:val="00463FE8"/>
    <w:rsid w:val="0047368C"/>
    <w:rsid w:val="004778B8"/>
    <w:rsid w:val="004A5126"/>
    <w:rsid w:val="004A5AA3"/>
    <w:rsid w:val="004A6FA9"/>
    <w:rsid w:val="004B79AE"/>
    <w:rsid w:val="004D2089"/>
    <w:rsid w:val="004D2217"/>
    <w:rsid w:val="004D5598"/>
    <w:rsid w:val="004D6593"/>
    <w:rsid w:val="005023A4"/>
    <w:rsid w:val="00513203"/>
    <w:rsid w:val="00523158"/>
    <w:rsid w:val="00580DBC"/>
    <w:rsid w:val="00585219"/>
    <w:rsid w:val="00595C60"/>
    <w:rsid w:val="005A5EEE"/>
    <w:rsid w:val="005A625D"/>
    <w:rsid w:val="005B3A19"/>
    <w:rsid w:val="005E1F9E"/>
    <w:rsid w:val="005F3205"/>
    <w:rsid w:val="0060790E"/>
    <w:rsid w:val="0062085F"/>
    <w:rsid w:val="00621B86"/>
    <w:rsid w:val="00622F1C"/>
    <w:rsid w:val="00626222"/>
    <w:rsid w:val="006306DB"/>
    <w:rsid w:val="0063413F"/>
    <w:rsid w:val="006355AA"/>
    <w:rsid w:val="006371F5"/>
    <w:rsid w:val="00643226"/>
    <w:rsid w:val="00652B0E"/>
    <w:rsid w:val="00653FE5"/>
    <w:rsid w:val="00662DB5"/>
    <w:rsid w:val="00663DEC"/>
    <w:rsid w:val="00682E91"/>
    <w:rsid w:val="00685BFE"/>
    <w:rsid w:val="00686823"/>
    <w:rsid w:val="006A33A6"/>
    <w:rsid w:val="006A422D"/>
    <w:rsid w:val="006A5479"/>
    <w:rsid w:val="006B164E"/>
    <w:rsid w:val="006B7624"/>
    <w:rsid w:val="006C4453"/>
    <w:rsid w:val="006E1C13"/>
    <w:rsid w:val="006F738E"/>
    <w:rsid w:val="00706957"/>
    <w:rsid w:val="007208FF"/>
    <w:rsid w:val="00730FB3"/>
    <w:rsid w:val="00737FF5"/>
    <w:rsid w:val="00747710"/>
    <w:rsid w:val="0074772D"/>
    <w:rsid w:val="007478E2"/>
    <w:rsid w:val="007539BB"/>
    <w:rsid w:val="00763E05"/>
    <w:rsid w:val="0076627A"/>
    <w:rsid w:val="00772671"/>
    <w:rsid w:val="007774E6"/>
    <w:rsid w:val="00787D14"/>
    <w:rsid w:val="00791C1A"/>
    <w:rsid w:val="007950A1"/>
    <w:rsid w:val="007A5318"/>
    <w:rsid w:val="007B0789"/>
    <w:rsid w:val="007B436D"/>
    <w:rsid w:val="007C1D34"/>
    <w:rsid w:val="007D268C"/>
    <w:rsid w:val="007D69AD"/>
    <w:rsid w:val="007E0B87"/>
    <w:rsid w:val="007F5998"/>
    <w:rsid w:val="0080553B"/>
    <w:rsid w:val="0080771A"/>
    <w:rsid w:val="00811D1B"/>
    <w:rsid w:val="00826F17"/>
    <w:rsid w:val="00841481"/>
    <w:rsid w:val="0084297B"/>
    <w:rsid w:val="00845C13"/>
    <w:rsid w:val="00850D62"/>
    <w:rsid w:val="008606A6"/>
    <w:rsid w:val="00873D73"/>
    <w:rsid w:val="00875D79"/>
    <w:rsid w:val="008831E3"/>
    <w:rsid w:val="00884EFA"/>
    <w:rsid w:val="00891CB6"/>
    <w:rsid w:val="00894816"/>
    <w:rsid w:val="0089709C"/>
    <w:rsid w:val="008B5A3A"/>
    <w:rsid w:val="008C1910"/>
    <w:rsid w:val="008C52B6"/>
    <w:rsid w:val="008C5BDB"/>
    <w:rsid w:val="008D2913"/>
    <w:rsid w:val="008D75A1"/>
    <w:rsid w:val="008E07D9"/>
    <w:rsid w:val="008E55FB"/>
    <w:rsid w:val="008E6C87"/>
    <w:rsid w:val="008F0B52"/>
    <w:rsid w:val="008F1BAD"/>
    <w:rsid w:val="00904CB7"/>
    <w:rsid w:val="00913109"/>
    <w:rsid w:val="00923CBB"/>
    <w:rsid w:val="00932608"/>
    <w:rsid w:val="00934BB6"/>
    <w:rsid w:val="0094488F"/>
    <w:rsid w:val="00954F88"/>
    <w:rsid w:val="0096320D"/>
    <w:rsid w:val="00972D95"/>
    <w:rsid w:val="00992D1E"/>
    <w:rsid w:val="009934A9"/>
    <w:rsid w:val="009B618D"/>
    <w:rsid w:val="009C0B3B"/>
    <w:rsid w:val="009C2326"/>
    <w:rsid w:val="009C461A"/>
    <w:rsid w:val="009C7137"/>
    <w:rsid w:val="009D3138"/>
    <w:rsid w:val="009D5F8E"/>
    <w:rsid w:val="009D6E3C"/>
    <w:rsid w:val="009F068F"/>
    <w:rsid w:val="00A01A7C"/>
    <w:rsid w:val="00A01E05"/>
    <w:rsid w:val="00A02DA9"/>
    <w:rsid w:val="00A03D74"/>
    <w:rsid w:val="00A11ABD"/>
    <w:rsid w:val="00A12FBA"/>
    <w:rsid w:val="00A16424"/>
    <w:rsid w:val="00A17B72"/>
    <w:rsid w:val="00A20728"/>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42CC1"/>
    <w:rsid w:val="00B54067"/>
    <w:rsid w:val="00B61D43"/>
    <w:rsid w:val="00B726CA"/>
    <w:rsid w:val="00B74832"/>
    <w:rsid w:val="00B74F8E"/>
    <w:rsid w:val="00B775E2"/>
    <w:rsid w:val="00B80365"/>
    <w:rsid w:val="00B847CF"/>
    <w:rsid w:val="00B95668"/>
    <w:rsid w:val="00BA0715"/>
    <w:rsid w:val="00BB310D"/>
    <w:rsid w:val="00BC119A"/>
    <w:rsid w:val="00BE60ED"/>
    <w:rsid w:val="00BF4B91"/>
    <w:rsid w:val="00C07707"/>
    <w:rsid w:val="00C128F1"/>
    <w:rsid w:val="00C27E63"/>
    <w:rsid w:val="00C52830"/>
    <w:rsid w:val="00C63C3F"/>
    <w:rsid w:val="00C753A5"/>
    <w:rsid w:val="00C813F0"/>
    <w:rsid w:val="00C8278A"/>
    <w:rsid w:val="00C8358D"/>
    <w:rsid w:val="00C84499"/>
    <w:rsid w:val="00C95F95"/>
    <w:rsid w:val="00CA04BC"/>
    <w:rsid w:val="00CA1B20"/>
    <w:rsid w:val="00CA1BBE"/>
    <w:rsid w:val="00CA2C0E"/>
    <w:rsid w:val="00CC6CFD"/>
    <w:rsid w:val="00CD35E2"/>
    <w:rsid w:val="00CD4A14"/>
    <w:rsid w:val="00CE53DB"/>
    <w:rsid w:val="00CF45BD"/>
    <w:rsid w:val="00D0246A"/>
    <w:rsid w:val="00D035C8"/>
    <w:rsid w:val="00D04490"/>
    <w:rsid w:val="00D15E03"/>
    <w:rsid w:val="00D17265"/>
    <w:rsid w:val="00D20093"/>
    <w:rsid w:val="00D2224D"/>
    <w:rsid w:val="00D23551"/>
    <w:rsid w:val="00D237EB"/>
    <w:rsid w:val="00D2777F"/>
    <w:rsid w:val="00D30B82"/>
    <w:rsid w:val="00D3641A"/>
    <w:rsid w:val="00D40000"/>
    <w:rsid w:val="00D40B95"/>
    <w:rsid w:val="00D45031"/>
    <w:rsid w:val="00D450B8"/>
    <w:rsid w:val="00D534BB"/>
    <w:rsid w:val="00D62556"/>
    <w:rsid w:val="00D62C10"/>
    <w:rsid w:val="00D707E6"/>
    <w:rsid w:val="00D757A9"/>
    <w:rsid w:val="00D76F20"/>
    <w:rsid w:val="00D838F4"/>
    <w:rsid w:val="00D83A25"/>
    <w:rsid w:val="00D8463F"/>
    <w:rsid w:val="00DA5CFD"/>
    <w:rsid w:val="00DA73FD"/>
    <w:rsid w:val="00DC290D"/>
    <w:rsid w:val="00DC60D8"/>
    <w:rsid w:val="00DD0A48"/>
    <w:rsid w:val="00DD1948"/>
    <w:rsid w:val="00DE0232"/>
    <w:rsid w:val="00DE33D2"/>
    <w:rsid w:val="00DF2346"/>
    <w:rsid w:val="00E26A53"/>
    <w:rsid w:val="00E42448"/>
    <w:rsid w:val="00E433CC"/>
    <w:rsid w:val="00E455AA"/>
    <w:rsid w:val="00E52719"/>
    <w:rsid w:val="00E54EC2"/>
    <w:rsid w:val="00E6640A"/>
    <w:rsid w:val="00E77253"/>
    <w:rsid w:val="00E83A9C"/>
    <w:rsid w:val="00E84DE5"/>
    <w:rsid w:val="00E86A0D"/>
    <w:rsid w:val="00E91D70"/>
    <w:rsid w:val="00E95CA6"/>
    <w:rsid w:val="00EA01CE"/>
    <w:rsid w:val="00EA06E5"/>
    <w:rsid w:val="00EA5867"/>
    <w:rsid w:val="00EA58DB"/>
    <w:rsid w:val="00EA62E5"/>
    <w:rsid w:val="00EC30A6"/>
    <w:rsid w:val="00ED0316"/>
    <w:rsid w:val="00ED53D5"/>
    <w:rsid w:val="00EE046D"/>
    <w:rsid w:val="00EE6843"/>
    <w:rsid w:val="00EE6D6C"/>
    <w:rsid w:val="00F14322"/>
    <w:rsid w:val="00F15C25"/>
    <w:rsid w:val="00F20534"/>
    <w:rsid w:val="00F20F7D"/>
    <w:rsid w:val="00F22011"/>
    <w:rsid w:val="00F302D9"/>
    <w:rsid w:val="00F441E3"/>
    <w:rsid w:val="00F4589D"/>
    <w:rsid w:val="00F5213C"/>
    <w:rsid w:val="00F61F6A"/>
    <w:rsid w:val="00F67C0D"/>
    <w:rsid w:val="00F866F0"/>
    <w:rsid w:val="00F92011"/>
    <w:rsid w:val="00FA18E9"/>
    <w:rsid w:val="00FC19E6"/>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68F"/>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47A10A-58FD-460C-9D5C-3BFD8997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4503</TotalTime>
  <Pages>7</Pages>
  <Words>2591</Words>
  <Characters>14774</Characters>
  <Application>Microsoft Office Word</Application>
  <DocSecurity>0</DocSecurity>
  <Lines>123</Lines>
  <Paragraphs>34</Paragraphs>
  <ScaleCrop>false</ScaleCrop>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265</cp:revision>
  <dcterms:created xsi:type="dcterms:W3CDTF">2024-02-04T02:08:00Z</dcterms:created>
  <dcterms:modified xsi:type="dcterms:W3CDTF">2025-02-07T06:21:00Z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