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72AFEFD">
      <w:pPr>
        <w:spacing w:after="120"/>
        <w:rPr>
          <w:rFonts w:ascii="Arial" w:hAnsi="Arial" w:cs="Arial"/>
          <w:b/>
          <w:bCs/>
          <w:sz w:val="22"/>
          <w:szCs w:val="22"/>
          <w:lang w:val="en-US" w:eastAsia="ja-JP"/>
        </w:rPr>
      </w:pPr>
      <w:bookmarkStart w:id="0" w:name="_Hlk117841894"/>
      <w:r>
        <w:rPr>
          <w:rFonts w:ascii="Arial" w:hAnsi="Arial" w:cs="Arial"/>
          <w:b/>
          <w:bCs/>
          <w:sz w:val="22"/>
          <w:szCs w:val="22"/>
          <w:lang w:val="en-US" w:eastAsia="ja-JP"/>
        </w:rPr>
        <w:t>3GPP TSG RAN WG1 #120</w:t>
      </w:r>
      <w:r>
        <w:rPr>
          <w:rFonts w:ascii="Arial" w:hAnsi="Arial" w:cs="Arial"/>
          <w:b/>
          <w:bCs/>
          <w:sz w:val="22"/>
          <w:szCs w:val="22"/>
          <w:lang w:val="en-US" w:eastAsia="ja-JP"/>
        </w:rPr>
        <w:tab/>
      </w:r>
      <w:r>
        <w:rPr>
          <w:rFonts w:ascii="Arial" w:hAnsi="Arial" w:cs="Arial"/>
          <w:b/>
          <w:bCs/>
          <w:sz w:val="22"/>
          <w:szCs w:val="22"/>
          <w:lang w:val="en-US" w:eastAsia="ja-JP"/>
        </w:rPr>
        <w:tab/>
      </w:r>
      <w:r>
        <w:rPr>
          <w:rFonts w:ascii="Arial" w:hAnsi="Arial" w:cs="Arial"/>
          <w:b/>
          <w:bCs/>
          <w:sz w:val="22"/>
          <w:szCs w:val="22"/>
          <w:lang w:val="en-US" w:eastAsia="ja-JP"/>
        </w:rPr>
        <w:tab/>
      </w:r>
      <w:r>
        <w:rPr>
          <w:rFonts w:hint="eastAsia" w:ascii="Arial" w:hAnsi="Arial" w:eastAsia="宋体" w:cs="Arial"/>
          <w:b/>
          <w:bCs/>
          <w:sz w:val="22"/>
          <w:szCs w:val="22"/>
          <w:lang w:val="en-US" w:eastAsia="zh-CN"/>
        </w:rPr>
        <w:tab/>
      </w:r>
      <w:r>
        <w:rPr>
          <w:rFonts w:hint="eastAsia" w:ascii="Arial" w:hAnsi="Arial" w:eastAsia="宋体" w:cs="Arial"/>
          <w:b/>
          <w:bCs/>
          <w:sz w:val="22"/>
          <w:szCs w:val="22"/>
          <w:lang w:val="en-US" w:eastAsia="zh-CN"/>
        </w:rPr>
        <w:tab/>
      </w:r>
      <w:r>
        <w:rPr>
          <w:rFonts w:hint="eastAsia" w:ascii="Arial" w:hAnsi="Arial" w:eastAsia="宋体" w:cs="Arial"/>
          <w:b/>
          <w:bCs/>
          <w:sz w:val="22"/>
          <w:szCs w:val="22"/>
          <w:lang w:val="en-US" w:eastAsia="zh-CN"/>
        </w:rPr>
        <w:tab/>
      </w:r>
      <w:r>
        <w:rPr>
          <w:rFonts w:hint="eastAsia" w:ascii="Arial" w:hAnsi="Arial" w:eastAsia="宋体" w:cs="Arial"/>
          <w:b/>
          <w:bCs/>
          <w:sz w:val="22"/>
          <w:szCs w:val="22"/>
          <w:lang w:val="en-US" w:eastAsia="zh-CN"/>
        </w:rPr>
        <w:tab/>
      </w:r>
      <w:r>
        <w:rPr>
          <w:rFonts w:hint="eastAsia" w:ascii="Arial" w:hAnsi="Arial" w:eastAsia="宋体" w:cs="Arial"/>
          <w:b/>
          <w:bCs/>
          <w:sz w:val="22"/>
          <w:szCs w:val="22"/>
          <w:lang w:val="en-US" w:eastAsia="zh-CN"/>
        </w:rPr>
        <w:t xml:space="preserve"> </w:t>
      </w:r>
      <w:r>
        <w:rPr>
          <w:rFonts w:ascii="Arial" w:hAnsi="Arial" w:cs="Arial"/>
          <w:b/>
          <w:bCs/>
          <w:sz w:val="22"/>
          <w:szCs w:val="22"/>
          <w:lang w:val="en-US" w:eastAsia="ja-JP"/>
        </w:rPr>
        <w:t>R1-</w:t>
      </w:r>
      <w:r>
        <w:rPr>
          <w:rFonts w:hint="default" w:ascii="Arial" w:hAnsi="Arial" w:cs="Arial"/>
          <w:b/>
          <w:bCs/>
          <w:sz w:val="22"/>
          <w:szCs w:val="22"/>
          <w:lang w:val="en-US" w:eastAsia="ja-JP"/>
        </w:rPr>
        <w:t>2500787</w:t>
      </w:r>
    </w:p>
    <w:p w14:paraId="478531C3">
      <w:pPr>
        <w:spacing w:after="120"/>
        <w:rPr>
          <w:rFonts w:ascii="Arial" w:hAnsi="Arial" w:cs="Arial"/>
          <w:b/>
          <w:bCs/>
          <w:sz w:val="22"/>
          <w:szCs w:val="22"/>
          <w:lang w:val="en-US" w:eastAsia="ja-JP"/>
        </w:rPr>
      </w:pPr>
      <w:r>
        <w:rPr>
          <w:rFonts w:ascii="Arial" w:hAnsi="Arial" w:cs="Arial"/>
          <w:b/>
          <w:bCs/>
          <w:sz w:val="22"/>
          <w:szCs w:val="22"/>
          <w:lang w:val="en-US" w:eastAsia="ja-JP"/>
        </w:rPr>
        <w:t>Athens, Greece, February 17th – 21st, 2025</w:t>
      </w:r>
    </w:p>
    <w:bookmarkEnd w:id="0"/>
    <w:p w14:paraId="5BD2D76F">
      <w:pPr>
        <w:tabs>
          <w:tab w:val="left" w:pos="1985"/>
          <w:tab w:val="left" w:pos="2835"/>
          <w:tab w:val="right" w:pos="9072"/>
          <w:tab w:val="right" w:pos="10206"/>
        </w:tabs>
        <w:spacing w:after="120"/>
        <w:rPr>
          <w:rFonts w:ascii="Arial" w:hAnsi="Arial"/>
          <w:b/>
          <w:sz w:val="22"/>
          <w:szCs w:val="22"/>
          <w:lang w:val="en-US"/>
        </w:rPr>
      </w:pPr>
    </w:p>
    <w:p w14:paraId="429FB61C">
      <w:pPr>
        <w:tabs>
          <w:tab w:val="left" w:pos="1985"/>
          <w:tab w:val="left" w:pos="2835"/>
          <w:tab w:val="right" w:pos="9072"/>
          <w:tab w:val="right" w:pos="10206"/>
        </w:tabs>
        <w:spacing w:after="120"/>
        <w:rPr>
          <w:rFonts w:ascii="Arial" w:hAnsi="Arial"/>
          <w:b/>
          <w:sz w:val="22"/>
          <w:szCs w:val="22"/>
          <w:lang w:val="en-US"/>
        </w:rPr>
      </w:pPr>
      <w:r>
        <w:rPr>
          <w:rFonts w:ascii="Arial" w:hAnsi="Arial"/>
          <w:b/>
          <w:sz w:val="22"/>
          <w:szCs w:val="22"/>
          <w:lang w:val="en-US"/>
        </w:rPr>
        <w:t xml:space="preserve">Agenda item: </w:t>
      </w:r>
      <w:r>
        <w:rPr>
          <w:rFonts w:ascii="Arial" w:hAnsi="Arial"/>
          <w:b/>
          <w:sz w:val="22"/>
          <w:szCs w:val="22"/>
          <w:lang w:val="en-US"/>
        </w:rPr>
        <w:tab/>
      </w:r>
      <w:r>
        <w:rPr>
          <w:rFonts w:ascii="Arial" w:hAnsi="Arial"/>
          <w:b/>
          <w:sz w:val="22"/>
          <w:szCs w:val="22"/>
          <w:lang w:val="en-US"/>
        </w:rPr>
        <w:t>9.5.3</w:t>
      </w:r>
    </w:p>
    <w:p w14:paraId="041A2286">
      <w:pPr>
        <w:tabs>
          <w:tab w:val="left" w:pos="1985"/>
          <w:tab w:val="left" w:pos="2835"/>
          <w:tab w:val="right" w:pos="9072"/>
          <w:tab w:val="right" w:pos="10206"/>
        </w:tabs>
        <w:spacing w:after="120"/>
        <w:rPr>
          <w:rFonts w:ascii="Arial" w:hAnsi="Arial"/>
          <w:b/>
          <w:sz w:val="22"/>
          <w:szCs w:val="22"/>
          <w:lang w:val="en-US"/>
        </w:rPr>
      </w:pPr>
      <w:r>
        <w:rPr>
          <w:rFonts w:ascii="Arial" w:hAnsi="Arial"/>
          <w:b/>
          <w:sz w:val="22"/>
          <w:szCs w:val="22"/>
        </w:rPr>
        <w:t xml:space="preserve">Source: </w:t>
      </w:r>
      <w:r>
        <w:rPr>
          <w:rFonts w:ascii="Arial" w:hAnsi="Arial"/>
          <w:b/>
          <w:sz w:val="22"/>
          <w:szCs w:val="22"/>
        </w:rPr>
        <w:tab/>
      </w:r>
      <w:r>
        <w:rPr>
          <w:rFonts w:ascii="Arial" w:hAnsi="Arial"/>
          <w:b/>
          <w:sz w:val="22"/>
          <w:szCs w:val="22"/>
          <w:lang w:val="en-US"/>
        </w:rPr>
        <w:t>Apple</w:t>
      </w:r>
    </w:p>
    <w:p w14:paraId="79AB13B1">
      <w:pPr>
        <w:tabs>
          <w:tab w:val="left" w:pos="1985"/>
          <w:tab w:val="left" w:pos="2835"/>
          <w:tab w:val="right" w:pos="9072"/>
          <w:tab w:val="right" w:pos="10206"/>
        </w:tabs>
        <w:spacing w:after="120"/>
        <w:rPr>
          <w:rFonts w:ascii="Arial" w:hAnsi="Arial"/>
          <w:b/>
          <w:sz w:val="22"/>
          <w:szCs w:val="22"/>
          <w:lang w:val="en-US"/>
        </w:rPr>
      </w:pPr>
      <w:r>
        <w:rPr>
          <w:rFonts w:ascii="Arial" w:hAnsi="Arial"/>
          <w:b/>
          <w:sz w:val="22"/>
          <w:szCs w:val="22"/>
        </w:rPr>
        <w:t>Title:</w:t>
      </w:r>
      <w:bookmarkStart w:id="1" w:name="Title"/>
      <w:bookmarkEnd w:id="1"/>
      <w:r>
        <w:rPr>
          <w:rFonts w:ascii="Arial" w:hAnsi="Arial"/>
          <w:b/>
          <w:sz w:val="22"/>
          <w:szCs w:val="22"/>
        </w:rPr>
        <w:tab/>
      </w:r>
      <w:r>
        <w:rPr>
          <w:rFonts w:ascii="Arial" w:hAnsi="Arial"/>
          <w:b/>
          <w:sz w:val="22"/>
          <w:szCs w:val="22"/>
          <w:lang w:val="en-US"/>
        </w:rPr>
        <w:t>On adaptation of common signal/channel for NES enhancements</w:t>
      </w:r>
    </w:p>
    <w:p w14:paraId="331F632A">
      <w:pPr>
        <w:tabs>
          <w:tab w:val="left" w:pos="1985"/>
          <w:tab w:val="left" w:pos="2835"/>
          <w:tab w:val="right" w:pos="9072"/>
          <w:tab w:val="right" w:pos="10206"/>
        </w:tabs>
        <w:spacing w:after="120"/>
      </w:pPr>
      <w:r>
        <w:rPr>
          <w:rFonts w:ascii="Arial" w:hAnsi="Arial"/>
          <w:b/>
          <w:sz w:val="22"/>
          <w:szCs w:val="22"/>
        </w:rPr>
        <w:t>Document for:</w:t>
      </w:r>
      <w:r>
        <w:rPr>
          <w:rFonts w:ascii="Arial" w:hAnsi="Arial"/>
          <w:b/>
          <w:sz w:val="22"/>
          <w:szCs w:val="22"/>
        </w:rPr>
        <w:tab/>
      </w:r>
      <w:bookmarkStart w:id="2" w:name="DocumentFor"/>
      <w:bookmarkEnd w:id="2"/>
      <w:r>
        <w:rPr>
          <w:rFonts w:ascii="Arial" w:hAnsi="Arial"/>
          <w:b/>
          <w:sz w:val="22"/>
          <w:szCs w:val="22"/>
        </w:rPr>
        <w:t>D</w:t>
      </w:r>
      <w:r>
        <w:rPr>
          <w:rFonts w:ascii="Arial" w:hAnsi="Arial"/>
          <w:b/>
          <w:sz w:val="22"/>
          <w:szCs w:val="22"/>
          <w:lang w:val="en-US"/>
        </w:rPr>
        <w:t>iscussion/Decision</w:t>
      </w:r>
    </w:p>
    <w:p w14:paraId="562C1175">
      <w:pPr>
        <w:keepNext/>
        <w:keepLines/>
        <w:numPr>
          <w:ilvl w:val="0"/>
          <w:numId w:val="3"/>
        </w:numPr>
        <w:pBdr>
          <w:top w:val="single" w:color="auto" w:sz="12" w:space="3"/>
        </w:pBdr>
        <w:overflowPunct w:val="0"/>
        <w:adjustRightInd w:val="0"/>
        <w:spacing w:before="240" w:after="120"/>
        <w:textAlignment w:val="baseline"/>
        <w:outlineLvl w:val="0"/>
        <w:rPr>
          <w:rFonts w:eastAsia="Malgun Gothic"/>
          <w:sz w:val="36"/>
          <w:szCs w:val="36"/>
          <w:lang w:val="en-US" w:eastAsia="zh-CN"/>
        </w:rPr>
      </w:pPr>
      <w:r>
        <w:rPr>
          <w:rFonts w:eastAsia="Malgun Gothic"/>
          <w:sz w:val="36"/>
          <w:szCs w:val="36"/>
          <w:lang w:val="en-US" w:eastAsia="zh-CN"/>
        </w:rPr>
        <w:t xml:space="preserve"> Introduction</w:t>
      </w:r>
    </w:p>
    <w:p w14:paraId="73A68F1E">
      <w:pPr>
        <w:spacing w:after="120"/>
        <w:rPr>
          <w:rFonts w:eastAsia="Times New Roman"/>
          <w:lang w:val="en-US" w:eastAsia="zh-CN"/>
        </w:rPr>
      </w:pPr>
      <w:r>
        <w:rPr>
          <w:rFonts w:eastAsia="Times New Roman"/>
          <w:lang w:val="en-US" w:eastAsia="zh-CN"/>
        </w:rPr>
        <w:t xml:space="preserve">In RP-242354 [1], the Release 19 work item on Enhancements of network energy savings for NR has been updated, while the description on the adaptation of common signal/channel objective remains: </w:t>
      </w:r>
    </w:p>
    <w:p w14:paraId="57CD5507">
      <w:pPr>
        <w:numPr>
          <w:ilvl w:val="0"/>
          <w:numId w:val="4"/>
        </w:numPr>
        <w:snapToGrid w:val="0"/>
        <w:spacing w:after="0" w:afterLines="0"/>
        <w:rPr>
          <w:lang w:eastAsia="zh-CN"/>
        </w:rPr>
      </w:pPr>
      <w:r>
        <w:rPr>
          <w:lang w:eastAsia="zh-CN"/>
        </w:rPr>
        <w:t>Specify a</w:t>
      </w:r>
      <w:r>
        <w:t xml:space="preserve">daptation of common signal/channel transmissions. </w:t>
      </w:r>
      <w:r>
        <w:rPr>
          <w:lang w:eastAsia="zh-CN"/>
        </w:rPr>
        <w:t>[RAN1/2/3/4]</w:t>
      </w:r>
    </w:p>
    <w:p w14:paraId="7B43D35E">
      <w:pPr>
        <w:numPr>
          <w:ilvl w:val="1"/>
          <w:numId w:val="5"/>
        </w:numPr>
        <w:snapToGrid w:val="0"/>
        <w:spacing w:after="0" w:afterLines="0"/>
        <w:ind w:left="1049" w:hanging="329"/>
        <w:rPr>
          <w:bCs/>
          <w:lang w:val="en-US" w:eastAsia="zh-CN"/>
        </w:rPr>
      </w:pPr>
      <w:r>
        <w:rPr>
          <w:bCs/>
          <w:lang w:val="en-US" w:eastAsia="zh-CN"/>
        </w:rPr>
        <w:t xml:space="preserve">Adaptation of SSB in time domain, e.g. adapting periodicity </w:t>
      </w:r>
    </w:p>
    <w:p w14:paraId="7410B794">
      <w:pPr>
        <w:numPr>
          <w:ilvl w:val="1"/>
          <w:numId w:val="5"/>
        </w:numPr>
        <w:snapToGrid w:val="0"/>
        <w:spacing w:after="0" w:afterLines="0"/>
        <w:ind w:left="1049" w:hanging="329"/>
        <w:rPr>
          <w:lang w:eastAsia="zh-CN"/>
        </w:rPr>
      </w:pPr>
      <w:r>
        <w:t>Adaptation of PRACH in time domain</w:t>
      </w:r>
    </w:p>
    <w:p w14:paraId="405FA153">
      <w:pPr>
        <w:numPr>
          <w:ilvl w:val="1"/>
          <w:numId w:val="5"/>
        </w:numPr>
        <w:snapToGrid w:val="0"/>
        <w:spacing w:after="0" w:afterLines="0"/>
        <w:ind w:left="1049" w:hanging="329"/>
        <w:rPr>
          <w:lang w:eastAsia="zh-CN"/>
        </w:rPr>
      </w:pPr>
      <w:r>
        <w:rPr>
          <w:lang w:eastAsia="zh-CN"/>
        </w:rPr>
        <w:t>Adaptation of paging occasions including confining the paging occasions in the time domain</w:t>
      </w:r>
    </w:p>
    <w:p w14:paraId="2FBCD108">
      <w:pPr>
        <w:numPr>
          <w:ilvl w:val="2"/>
          <w:numId w:val="5"/>
        </w:numPr>
        <w:snapToGrid w:val="0"/>
        <w:spacing w:after="0" w:afterLines="0"/>
        <w:rPr>
          <w:lang w:eastAsia="zh-CN"/>
        </w:rPr>
      </w:pPr>
      <w:r>
        <w:rPr>
          <w:lang w:eastAsia="zh-CN"/>
        </w:rPr>
        <w:t>Note: there shall be no paging latency increase</w:t>
      </w:r>
    </w:p>
    <w:p w14:paraId="79ABFE9D">
      <w:pPr>
        <w:numPr>
          <w:ilvl w:val="1"/>
          <w:numId w:val="5"/>
        </w:numPr>
        <w:spacing w:after="120"/>
        <w:ind w:left="1051" w:hanging="331"/>
        <w:rPr>
          <w:lang w:eastAsia="zh-CN"/>
        </w:rPr>
      </w:pPr>
      <w:r>
        <w:rPr>
          <w:lang w:eastAsia="zh-CN"/>
        </w:rPr>
        <w:t xml:space="preserve">Note: there shall be no negative impact to legacy UEs, unless significant benefits are shown </w:t>
      </w:r>
    </w:p>
    <w:p w14:paraId="5653BDA7">
      <w:pPr>
        <w:spacing w:after="120"/>
        <w:rPr>
          <w:rFonts w:eastAsia="Times New Roman"/>
          <w:lang w:val="en-US" w:eastAsia="zh-CN"/>
        </w:rPr>
      </w:pPr>
      <w:r>
        <w:rPr>
          <w:rFonts w:eastAsia="Times New Roman"/>
          <w:lang w:val="en-US" w:eastAsia="zh-CN"/>
        </w:rPr>
        <w:t xml:space="preserve">In this contribution, we provide further details on how these common signals/channels should be adapted and the corresponding impacts to UE. </w:t>
      </w:r>
    </w:p>
    <w:p w14:paraId="659F89CE">
      <w:pPr>
        <w:keepNext/>
        <w:keepLines/>
        <w:numPr>
          <w:ilvl w:val="0"/>
          <w:numId w:val="3"/>
        </w:numPr>
        <w:pBdr>
          <w:top w:val="single" w:color="auto" w:sz="12" w:space="3"/>
        </w:pBdr>
        <w:overflowPunct w:val="0"/>
        <w:adjustRightInd w:val="0"/>
        <w:spacing w:before="240" w:after="120"/>
        <w:textAlignment w:val="baseline"/>
        <w:outlineLvl w:val="0"/>
        <w:rPr>
          <w:rFonts w:eastAsia="Malgun Gothic"/>
          <w:sz w:val="36"/>
          <w:szCs w:val="36"/>
          <w:lang w:val="en-US" w:eastAsia="zh-CN"/>
        </w:rPr>
      </w:pPr>
      <w:r>
        <w:rPr>
          <w:rFonts w:eastAsia="Malgun Gothic"/>
          <w:sz w:val="36"/>
          <w:szCs w:val="36"/>
          <w:lang w:val="en-US" w:eastAsia="zh-CN"/>
        </w:rPr>
        <w:t xml:space="preserve"> SSB adaptation</w:t>
      </w:r>
      <w:r>
        <w:rPr>
          <w:rFonts w:eastAsia="Malgun Gothic"/>
          <w:sz w:val="36"/>
          <w:szCs w:val="36"/>
          <w:lang w:val="en-US" w:eastAsia="zh-CN"/>
        </w:rPr>
        <w:tab/>
      </w:r>
    </w:p>
    <w:p w14:paraId="34769162">
      <w:pPr>
        <w:pStyle w:val="3"/>
        <w:numPr>
          <w:ilvl w:val="1"/>
          <w:numId w:val="3"/>
        </w:numPr>
        <w:spacing w:after="120"/>
        <w:rPr>
          <w:lang w:val="en-US" w:eastAsia="zh-CN"/>
        </w:rPr>
      </w:pPr>
      <w:r>
        <w:rPr>
          <w:rFonts w:ascii="Times New Roman" w:hAnsi="Times New Roman"/>
          <w:iCs w:val="0"/>
          <w:lang w:val="en-US" w:eastAsia="sv-SE"/>
        </w:rPr>
        <w:t xml:space="preserve"> SSB adaptation scenarios</w:t>
      </w:r>
    </w:p>
    <w:p w14:paraId="43B42582">
      <w:pPr>
        <w:spacing w:after="120"/>
        <w:rPr>
          <w:lang w:val="en-US" w:eastAsia="zh-CN"/>
        </w:rPr>
      </w:pPr>
      <w:r>
        <w:rPr>
          <w:lang w:val="en-US" w:eastAsia="zh-CN"/>
        </w:rPr>
        <w:t>RAN1 made the following agreements on the applicable scenarios for SSB adaptation.</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057"/>
      </w:tblGrid>
      <w:tr w14:paraId="7B2C23C2">
        <w:tc>
          <w:tcPr>
            <w:tcW w:w="9057" w:type="dxa"/>
          </w:tcPr>
          <w:p w14:paraId="710FBBF3">
            <w:pPr>
              <w:tabs>
                <w:tab w:val="left" w:pos="1440"/>
              </w:tabs>
              <w:overflowPunct w:val="0"/>
              <w:adjustRightInd w:val="0"/>
              <w:spacing w:after="120"/>
              <w:contextualSpacing/>
              <w:textAlignment w:val="baseline"/>
              <w:rPr>
                <w:b/>
                <w:bCs/>
                <w:lang w:val="en-US"/>
              </w:rPr>
            </w:pPr>
            <w:r>
              <w:rPr>
                <w:b/>
                <w:bCs/>
              </w:rPr>
              <w:t>Conclusion</w:t>
            </w:r>
            <w:r>
              <w:rPr>
                <w:b/>
                <w:bCs/>
                <w:lang w:val="en-US"/>
              </w:rPr>
              <w:t xml:space="preserve"> (RAN1 #118bis)</w:t>
            </w:r>
          </w:p>
          <w:p w14:paraId="03AA3D50">
            <w:pPr>
              <w:tabs>
                <w:tab w:val="left" w:pos="1440"/>
              </w:tabs>
              <w:overflowPunct w:val="0"/>
              <w:adjustRightInd w:val="0"/>
              <w:spacing w:after="120"/>
              <w:contextualSpacing/>
              <w:textAlignment w:val="baseline"/>
            </w:pPr>
            <w:r>
              <w:t>There is no consensus on the support of adaptation of SSB for idle mode UEs in Rel-19</w:t>
            </w:r>
          </w:p>
          <w:p w14:paraId="34FEC60F">
            <w:pPr>
              <w:tabs>
                <w:tab w:val="left" w:pos="1440"/>
              </w:tabs>
              <w:spacing w:after="0" w:afterLines="0"/>
              <w:rPr>
                <w:rFonts w:cs="Times"/>
                <w:b/>
                <w:bCs/>
                <w:highlight w:val="green"/>
                <w:lang w:eastAsia="zh-CN"/>
              </w:rPr>
            </w:pPr>
          </w:p>
          <w:p w14:paraId="2D00F66E">
            <w:pPr>
              <w:tabs>
                <w:tab w:val="left" w:pos="1440"/>
              </w:tabs>
              <w:spacing w:after="0" w:afterLines="0" w:line="259" w:lineRule="auto"/>
              <w:rPr>
                <w:b/>
                <w:bCs/>
                <w:lang w:val="en-US"/>
              </w:rPr>
            </w:pPr>
            <w:r>
              <w:rPr>
                <w:b/>
                <w:bCs/>
              </w:rPr>
              <w:t>Conclusion</w:t>
            </w:r>
            <w:r>
              <w:rPr>
                <w:b/>
                <w:bCs/>
                <w:lang w:val="en-US"/>
              </w:rPr>
              <w:t xml:space="preserve"> (RAN1 #119)</w:t>
            </w:r>
          </w:p>
          <w:p w14:paraId="18FAB0A8">
            <w:pPr>
              <w:tabs>
                <w:tab w:val="left" w:pos="0"/>
              </w:tabs>
              <w:spacing w:after="0" w:afterLines="0"/>
            </w:pPr>
            <w:r>
              <w:t xml:space="preserve">There is no RAN1 consensus to support SSB adaptation in time domain for Rel-19 NES-capable UE’s PCell (connected </w:t>
            </w:r>
            <w:r>
              <w:rPr>
                <w:rFonts w:cs="Times"/>
                <w:iCs/>
                <w:lang w:eastAsia="zh-TW"/>
              </w:rPr>
              <w:t>mode</w:t>
            </w:r>
            <w:r>
              <w:t>)</w:t>
            </w:r>
          </w:p>
          <w:p w14:paraId="6457D693">
            <w:pPr>
              <w:tabs>
                <w:tab w:val="left" w:pos="1440"/>
              </w:tabs>
              <w:spacing w:after="0" w:afterLines="0"/>
              <w:rPr>
                <w:rFonts w:cs="Times"/>
                <w:b/>
                <w:bCs/>
                <w:highlight w:val="green"/>
                <w:lang w:eastAsia="zh-CN"/>
              </w:rPr>
            </w:pPr>
          </w:p>
          <w:p w14:paraId="18CFB26D">
            <w:pPr>
              <w:tabs>
                <w:tab w:val="left" w:pos="1440"/>
              </w:tabs>
              <w:spacing w:after="0" w:afterLines="0"/>
              <w:rPr>
                <w:rFonts w:cs="Times"/>
                <w:b/>
                <w:bCs/>
                <w:highlight w:val="green"/>
                <w:lang w:val="en-US" w:eastAsia="zh-CN"/>
              </w:rPr>
            </w:pPr>
            <w:r>
              <w:rPr>
                <w:rFonts w:cs="Times"/>
                <w:b/>
                <w:bCs/>
                <w:highlight w:val="green"/>
                <w:lang w:eastAsia="zh-CN"/>
              </w:rPr>
              <w:t>Agreement</w:t>
            </w:r>
            <w:r>
              <w:rPr>
                <w:rFonts w:cs="Times"/>
                <w:b/>
                <w:bCs/>
                <w:highlight w:val="green"/>
                <w:lang w:val="en-US" w:eastAsia="zh-CN"/>
              </w:rPr>
              <w:t xml:space="preserve"> (RAN1 #118)</w:t>
            </w:r>
          </w:p>
          <w:p w14:paraId="72FCBE16">
            <w:pPr>
              <w:tabs>
                <w:tab w:val="left" w:pos="1440"/>
              </w:tabs>
              <w:spacing w:after="0" w:afterLines="0"/>
            </w:pPr>
            <w:r>
              <w:t>For adaptation mechanism(s) of SSB in time-domain,</w:t>
            </w:r>
          </w:p>
          <w:p w14:paraId="65153E90">
            <w:pPr>
              <w:pStyle w:val="14"/>
              <w:numPr>
                <w:ilvl w:val="0"/>
                <w:numId w:val="6"/>
              </w:numPr>
              <w:tabs>
                <w:tab w:val="clear" w:pos="1440"/>
              </w:tabs>
              <w:overflowPunct w:val="0"/>
              <w:adjustRightInd w:val="0"/>
              <w:spacing w:after="0" w:afterLines="0"/>
              <w:jc w:val="left"/>
              <w:textAlignment w:val="baseline"/>
            </w:pPr>
            <w:r>
              <w:t xml:space="preserve">For Rel-19 NES-capable UE’s PCell (Connected mode), adaptation of CD-SSB on sync raster is not supported </w:t>
            </w:r>
          </w:p>
          <w:p w14:paraId="7B0DFBCA">
            <w:pPr>
              <w:numPr>
                <w:ilvl w:val="1"/>
                <w:numId w:val="7"/>
              </w:numPr>
              <w:tabs>
                <w:tab w:val="left" w:pos="1440"/>
              </w:tabs>
              <w:spacing w:after="0" w:afterLines="0"/>
              <w:contextualSpacing/>
            </w:pPr>
            <w:r>
              <w:t>FFS</w:t>
            </w:r>
            <w:r>
              <w:rPr>
                <w:lang w:val="en-US"/>
              </w:rPr>
              <w:t xml:space="preserve">: </w:t>
            </w:r>
            <w:r>
              <w:t>Adaptation for SSB that is not CD-SSB is supported (A2)</w:t>
            </w:r>
          </w:p>
          <w:p w14:paraId="628180A6">
            <w:pPr>
              <w:numPr>
                <w:ilvl w:val="1"/>
                <w:numId w:val="7"/>
              </w:numPr>
              <w:tabs>
                <w:tab w:val="left" w:pos="1440"/>
              </w:tabs>
              <w:spacing w:after="0" w:afterLines="0"/>
              <w:contextualSpacing/>
            </w:pPr>
            <w:r>
              <w:t>FFS: Adaptation for SSB not on sync raster is supported (A3)</w:t>
            </w:r>
          </w:p>
          <w:p w14:paraId="1D313B58">
            <w:pPr>
              <w:pStyle w:val="14"/>
              <w:numPr>
                <w:ilvl w:val="0"/>
                <w:numId w:val="6"/>
              </w:numPr>
              <w:tabs>
                <w:tab w:val="clear" w:pos="1440"/>
              </w:tabs>
              <w:overflowPunct w:val="0"/>
              <w:adjustRightInd w:val="0"/>
              <w:spacing w:after="0" w:afterLines="0"/>
              <w:jc w:val="left"/>
              <w:textAlignment w:val="baseline"/>
            </w:pPr>
            <w:r>
              <w:t>For Rel-19 NES-capable UE’s SCell</w:t>
            </w:r>
          </w:p>
          <w:p w14:paraId="04BE6D0C">
            <w:pPr>
              <w:numPr>
                <w:ilvl w:val="1"/>
                <w:numId w:val="7"/>
              </w:numPr>
              <w:tabs>
                <w:tab w:val="left" w:pos="1440"/>
              </w:tabs>
              <w:spacing w:after="0" w:afterLines="0"/>
              <w:contextualSpacing/>
            </w:pPr>
            <w:r>
              <w:rPr>
                <w:lang w:val="en-US"/>
              </w:rPr>
              <w:t xml:space="preserve">Adaptation </w:t>
            </w:r>
            <w:r>
              <w:t>of SSB configured for the SCell is supported for the following cases</w:t>
            </w:r>
          </w:p>
          <w:p w14:paraId="186A232E">
            <w:pPr>
              <w:numPr>
                <w:ilvl w:val="2"/>
                <w:numId w:val="8"/>
              </w:numPr>
              <w:tabs>
                <w:tab w:val="left" w:pos="1440"/>
              </w:tabs>
              <w:spacing w:after="0" w:afterLines="0"/>
            </w:pPr>
            <w:r>
              <w:t>FFS: Adaptation for CD-SSB (B1) including UE impact compared to legacy operation where the SSB is configured with periodicity&gt;20msec for SCell</w:t>
            </w:r>
          </w:p>
          <w:p w14:paraId="3AD44991">
            <w:pPr>
              <w:numPr>
                <w:ilvl w:val="2"/>
                <w:numId w:val="8"/>
              </w:numPr>
              <w:tabs>
                <w:tab w:val="left" w:pos="1440"/>
              </w:tabs>
              <w:spacing w:after="0" w:afterLines="0"/>
            </w:pPr>
            <w:r>
              <w:t>Adaptation for SSB that is not CD-SSB on sync raster (B2’)</w:t>
            </w:r>
          </w:p>
          <w:p w14:paraId="7D171FCE">
            <w:pPr>
              <w:numPr>
                <w:ilvl w:val="2"/>
                <w:numId w:val="8"/>
              </w:numPr>
              <w:tabs>
                <w:tab w:val="left" w:pos="1440"/>
              </w:tabs>
              <w:spacing w:after="0" w:afterLines="0"/>
              <w:rPr>
                <w:lang w:val="en-US"/>
              </w:rPr>
            </w:pPr>
            <w:r>
              <w:t>Adaptation for SSB that is not CD-SSB not on sync raster (B3’)</w:t>
            </w:r>
          </w:p>
        </w:tc>
      </w:tr>
    </w:tbl>
    <w:p w14:paraId="6764C854">
      <w:pPr>
        <w:spacing w:after="120"/>
        <w:rPr>
          <w:lang w:val="en-US" w:eastAsia="zh-CN"/>
        </w:rPr>
      </w:pPr>
    </w:p>
    <w:p w14:paraId="20662C4A">
      <w:pPr>
        <w:spacing w:after="120"/>
        <w:rPr>
          <w:lang w:val="en-US" w:eastAsia="zh-CN"/>
        </w:rPr>
      </w:pPr>
      <w:r>
        <w:rPr>
          <w:lang w:val="en-US" w:eastAsia="zh-CN"/>
        </w:rPr>
        <w:t xml:space="preserve">Regarding whether to support CD-SSBs larger than 20ms periodicity, during the discussion, the intention of not considering larger than 20ms periodicity SSBs is to </w:t>
      </w:r>
      <w:r>
        <w:rPr>
          <w:rFonts w:hint="default"/>
          <w:lang w:val="en-US" w:eastAsia="zh-CN"/>
        </w:rPr>
        <w:t xml:space="preserve">not </w:t>
      </w:r>
      <w:r>
        <w:rPr>
          <w:lang w:val="en-US" w:eastAsia="zh-CN"/>
        </w:rPr>
        <w:t xml:space="preserve">impact UE initial cell search assumptions. </w:t>
      </w:r>
      <w:r>
        <w:rPr>
          <w:rFonts w:hint="default"/>
          <w:lang w:val="en-US" w:eastAsia="zh-CN"/>
        </w:rPr>
        <w:t>A</w:t>
      </w:r>
      <w:r>
        <w:rPr>
          <w:lang w:val="en-US" w:eastAsia="zh-CN"/>
        </w:rPr>
        <w:t xml:space="preserve"> UE performing initial access cannot obtain the corresponding periodicity until it decodes the SIB1. Moreover, it should be noted that adaptation of CD-SSBs on sync raster is not supported for PCell, then there is no reason to support it for SCell.  </w:t>
      </w:r>
    </w:p>
    <w:p w14:paraId="2E07E23E">
      <w:pPr>
        <w:spacing w:after="120"/>
        <w:rPr>
          <w:rFonts w:hint="default"/>
          <w:lang w:val="en-US" w:eastAsia="zh-CN"/>
        </w:rPr>
      </w:pPr>
      <w:r>
        <w:rPr>
          <w:rFonts w:ascii="Times New Roman Bold" w:hAnsi="Times New Roman Bold" w:cs="Times New Roman Bold"/>
          <w:b/>
          <w:bCs/>
          <w:lang w:val="en-US" w:eastAsia="zh-CN"/>
        </w:rPr>
        <w:t>Proposal 1: Do not support adaptation for CD-SSBs on sync raster where SSB is configured with periodicity &gt;20ms for SCell</w:t>
      </w:r>
      <w:r>
        <w:rPr>
          <w:rFonts w:hint="default" w:ascii="Times New Roman Bold" w:hAnsi="Times New Roman Bold" w:cs="Times New Roman Bold"/>
          <w:b/>
          <w:bCs/>
          <w:lang w:val="en-US" w:eastAsia="zh-CN"/>
        </w:rPr>
        <w:t>, while adaptation for CD-SSB not on sync raster can be supported.</w:t>
      </w:r>
    </w:p>
    <w:p w14:paraId="7F7F234F">
      <w:pPr>
        <w:spacing w:after="120"/>
        <w:rPr>
          <w:lang w:val="en-US" w:eastAsia="zh-CN"/>
        </w:rPr>
      </w:pPr>
      <w:r>
        <w:rPr>
          <w:rFonts w:hint="eastAsia"/>
          <w:lang w:val="en-US" w:eastAsia="zh-CN"/>
        </w:rPr>
        <w:t>Based</w:t>
      </w:r>
      <w:r>
        <w:rPr>
          <w:lang w:val="en-US" w:eastAsia="zh-CN"/>
        </w:rPr>
        <w:t xml:space="preserve"> on the agreements in RAN1 so far and the above proposal, the scenario for SSB adaptation is only </w:t>
      </w:r>
      <w:r>
        <w:rPr>
          <w:rFonts w:hint="eastAsia"/>
          <w:lang w:val="en-US" w:eastAsia="zh-CN"/>
        </w:rPr>
        <w:t>agreed</w:t>
      </w:r>
      <w:r>
        <w:rPr>
          <w:lang w:val="en-US" w:eastAsia="zh-CN"/>
        </w:rPr>
        <w:t xml:space="preserve"> for NCD-SSBs on SCell. This scenario is quite similar to OD-SSB which is applicable to SCell only. Then the question comes to what is the difference between OD-SSB design and SSB adaptation design, in terms of use cases and mechanism. </w:t>
      </w:r>
    </w:p>
    <w:p w14:paraId="4B7A9625">
      <w:pPr>
        <w:spacing w:after="120"/>
        <w:rPr>
          <w:lang w:val="en-US" w:eastAsia="zh-CN"/>
        </w:rPr>
      </w:pPr>
      <w:r>
        <w:rPr>
          <w:lang w:val="en-US" w:eastAsia="zh-CN"/>
        </w:rPr>
        <w:t xml:space="preserve">According to our understanding, OD-SSB for SCell is to provide dense SSBs before/during SCell activation to facilitate SCell activation when there is no always-on SSBs (AO-SSB) on the SCell (Case #1) or the periodicity of </w:t>
      </w:r>
      <w:r>
        <w:rPr>
          <w:rFonts w:hint="default"/>
          <w:lang w:val="en-US" w:eastAsia="zh-CN"/>
        </w:rPr>
        <w:t>AO-</w:t>
      </w:r>
      <w:r>
        <w:rPr>
          <w:lang w:val="en-US" w:eastAsia="zh-CN"/>
        </w:rPr>
        <w:t xml:space="preserve">SSBs on the SCell is large (Case #2). </w:t>
      </w:r>
    </w:p>
    <w:p w14:paraId="38DEDA71">
      <w:pPr>
        <w:spacing w:after="120"/>
        <w:rPr>
          <w:lang w:val="en-US" w:eastAsia="zh-CN"/>
        </w:rPr>
      </w:pPr>
      <w:r>
        <w:rPr>
          <w:lang w:val="en-US" w:eastAsia="zh-CN"/>
        </w:rPr>
        <w:t>Therefore, for SSB adaptation in conjunction with OD-SSB, one of the use cases is to allow larger periodicity for always-on SSB on the SCell when the load on the SCell is low. Note that here, the SCell may not need to provide OD-SSBs, but rather, would like to provide sparser periodicity for energy saving.</w:t>
      </w:r>
    </w:p>
    <w:p w14:paraId="73B7F021">
      <w:pPr>
        <w:spacing w:after="120"/>
        <w:rPr>
          <w:lang w:val="en-US" w:eastAsia="zh-CN"/>
        </w:rPr>
      </w:pPr>
      <w:r>
        <w:rPr>
          <w:lang w:val="en-US" w:eastAsia="zh-CN"/>
        </w:rPr>
        <w:t xml:space="preserve">In the following, we discuss about the support of SSB adaptation in three cases in terms of with/without OD-SSB, and Case 1/Case 2 of OD-SSB. </w:t>
      </w:r>
    </w:p>
    <w:p w14:paraId="30E4594F">
      <w:pPr>
        <w:spacing w:after="120"/>
        <w:rPr>
          <w:rFonts w:hint="default" w:ascii="Times New Roman Bold" w:hAnsi="Times New Roman Bold" w:cs="Times New Roman Bold"/>
          <w:b/>
          <w:bCs/>
          <w:lang w:val="en-US" w:eastAsia="zh-CN"/>
        </w:rPr>
      </w:pPr>
      <w:r>
        <w:rPr>
          <w:rFonts w:hint="default" w:ascii="Times New Roman Bold" w:hAnsi="Times New Roman Bold" w:cs="Times New Roman Bold"/>
          <w:b/>
          <w:bCs/>
          <w:lang w:val="en-US" w:eastAsia="zh-CN"/>
        </w:rPr>
        <w:t>Case A: SCell without OD-SSB feature/configuration</w:t>
      </w:r>
    </w:p>
    <w:p w14:paraId="4342F414">
      <w:pPr>
        <w:spacing w:after="120"/>
        <w:rPr>
          <w:rFonts w:hint="eastAsia"/>
          <w:lang w:val="en-US" w:eastAsia="ko-KR"/>
        </w:rPr>
      </w:pPr>
      <w:r>
        <w:rPr>
          <w:lang w:val="en-US" w:eastAsia="zh-CN"/>
        </w:rPr>
        <w:t>In this case, we think SSB adaptation can be supported to adapt the SSBs on the SCell with a larger periodicity to achieve NES gain.</w:t>
      </w:r>
    </w:p>
    <w:p w14:paraId="7A9A8EEF">
      <w:pPr>
        <w:spacing w:after="120"/>
        <w:rPr>
          <w:rFonts w:hint="default" w:ascii="Times New Roman Bold" w:hAnsi="Times New Roman Bold" w:cs="Times New Roman Bold"/>
          <w:b/>
          <w:bCs/>
          <w:lang w:val="en-US" w:eastAsia="zh-CN"/>
        </w:rPr>
      </w:pPr>
      <w:r>
        <w:rPr>
          <w:rFonts w:hint="default" w:ascii="Times New Roman Bold" w:hAnsi="Times New Roman Bold" w:cs="Times New Roman Bold"/>
          <w:b/>
          <w:bCs/>
          <w:lang w:val="en-US" w:eastAsia="zh-CN"/>
        </w:rPr>
        <w:t>Case B: SCell with OD-SSB Case #1</w:t>
      </w:r>
    </w:p>
    <w:p w14:paraId="166A67B4">
      <w:pPr>
        <w:spacing w:after="120"/>
        <w:rPr>
          <w:lang w:val="en-US" w:eastAsia="zh-CN"/>
        </w:rPr>
      </w:pPr>
      <w:r>
        <w:rPr>
          <w:lang w:val="en-US" w:eastAsia="zh-CN"/>
        </w:rPr>
        <w:t xml:space="preserve">In this case, since there is no AO-SSB, adaptation for OD-SSB can be considered. </w:t>
      </w:r>
    </w:p>
    <w:p w14:paraId="0B19280E">
      <w:pPr>
        <w:spacing w:after="120"/>
        <w:rPr>
          <w:lang w:val="en-US" w:eastAsia="zh-CN"/>
        </w:rPr>
      </w:pPr>
      <w:r>
        <w:rPr>
          <w:lang w:val="en-US" w:eastAsia="zh-CN"/>
        </w:rPr>
        <w:t>It is noted that for OD-SSB deactivation, there were two options supported:</w:t>
      </w:r>
    </w:p>
    <w:p w14:paraId="5F225562">
      <w:pPr>
        <w:pStyle w:val="56"/>
        <w:numPr>
          <w:ilvl w:val="0"/>
          <w:numId w:val="9"/>
        </w:numPr>
        <w:tabs>
          <w:tab w:val="left" w:pos="800"/>
          <w:tab w:val="clear" w:pos="1440"/>
        </w:tabs>
        <w:spacing w:after="120"/>
        <w:ind w:left="1240" w:hanging="440"/>
        <w:contextualSpacing/>
        <w:rPr>
          <w:lang w:val="en-US" w:eastAsia="ko-KR"/>
        </w:rPr>
      </w:pPr>
      <w:r>
        <w:rPr>
          <w:lang w:val="en-US"/>
        </w:rPr>
        <w:t xml:space="preserve">Option 1: </w:t>
      </w:r>
      <w:r>
        <w:rPr>
          <w:lang w:eastAsia="ko-KR"/>
        </w:rPr>
        <w:t>Explicit indication of deactivation for on-demand SSB via MAC-CE for on-demand SSB transmission indication</w:t>
      </w:r>
    </w:p>
    <w:p w14:paraId="43328890">
      <w:pPr>
        <w:pStyle w:val="56"/>
        <w:numPr>
          <w:ilvl w:val="0"/>
          <w:numId w:val="9"/>
        </w:numPr>
        <w:tabs>
          <w:tab w:val="left" w:pos="800"/>
          <w:tab w:val="clear" w:pos="1440"/>
        </w:tabs>
        <w:spacing w:after="120"/>
        <w:ind w:left="1240" w:hanging="440"/>
        <w:contextualSpacing/>
        <w:rPr>
          <w:lang w:val="en-US" w:eastAsia="ko-KR"/>
        </w:rPr>
      </w:pPr>
      <w:r>
        <w:rPr>
          <w:lang w:eastAsia="ko-KR"/>
        </w:rPr>
        <w:t>Option 2: Configuration/indication of the number N of on-demand SSB bursts to be transmitted after on-demand SSB is indicate</w:t>
      </w:r>
      <w:r>
        <w:rPr>
          <w:lang w:val="en-US" w:eastAsia="ko-KR"/>
        </w:rPr>
        <w:t>d</w:t>
      </w:r>
    </w:p>
    <w:p w14:paraId="04ADCEBD">
      <w:pPr>
        <w:spacing w:after="120"/>
        <w:rPr>
          <w:lang w:val="en-US" w:eastAsia="ko-KR"/>
        </w:rPr>
      </w:pPr>
      <w:r>
        <w:rPr>
          <w:lang w:val="en-US" w:eastAsia="ko-KR"/>
        </w:rPr>
        <w:t>For Option 2, the OD-SSB is used for the purpose of fast SCell activation and after the N transmissions, the SCell stops transmitting OD-SSB, further adapting the periodicity is optimizing without clear benefit.</w:t>
      </w:r>
    </w:p>
    <w:p w14:paraId="1AE0D4A5">
      <w:pPr>
        <w:spacing w:after="120"/>
        <w:rPr>
          <w:lang w:val="en-US" w:eastAsia="zh-CN"/>
        </w:rPr>
      </w:pPr>
      <w:r>
        <w:rPr>
          <w:lang w:val="en-US" w:eastAsia="ko-KR"/>
        </w:rPr>
        <w:t xml:space="preserve">For Option 1, the OD-SSB could last until SCell deactivation, the periodicity adaptation could be supported to achieve NES gain. </w:t>
      </w:r>
    </w:p>
    <w:p w14:paraId="3E4A8952">
      <w:pPr>
        <w:spacing w:after="120"/>
        <w:rPr>
          <w:rFonts w:hint="default" w:ascii="Times New Roman Bold" w:hAnsi="Times New Roman Bold" w:cs="Times New Roman Bold"/>
          <w:b/>
          <w:bCs/>
          <w:lang w:val="en-US" w:eastAsia="zh-CN"/>
        </w:rPr>
      </w:pPr>
      <w:r>
        <w:rPr>
          <w:rFonts w:hint="default" w:ascii="Times New Roman Bold" w:hAnsi="Times New Roman Bold" w:cs="Times New Roman Bold"/>
          <w:b/>
          <w:bCs/>
          <w:lang w:val="en-US" w:eastAsia="zh-CN"/>
        </w:rPr>
        <w:t>Case C: SCell with OD-SSB Case #2</w:t>
      </w:r>
    </w:p>
    <w:p w14:paraId="4C82DE4A">
      <w:pPr>
        <w:spacing w:after="120"/>
        <w:rPr>
          <w:lang w:val="en-US" w:eastAsia="zh-CN"/>
        </w:rPr>
      </w:pPr>
      <w:r>
        <w:rPr>
          <w:lang w:val="en-US" w:eastAsia="zh-CN"/>
        </w:rPr>
        <w:t xml:space="preserve">In this case, there are both AO-SSB and OD-SSB, we prefer to keep the adaptation on AO-SSB only while the adaptation of OD-SSB is not applied. </w:t>
      </w:r>
    </w:p>
    <w:p w14:paraId="53968C02">
      <w:pPr>
        <w:spacing w:after="120"/>
        <w:rPr>
          <w:lang w:val="en-US" w:eastAsia="zh-CN"/>
        </w:rPr>
      </w:pPr>
    </w:p>
    <w:p w14:paraId="5185FB5F">
      <w:pPr>
        <w:spacing w:after="120"/>
        <w:rPr>
          <w:lang w:val="en-US" w:eastAsia="zh-CN"/>
        </w:rPr>
      </w:pPr>
      <w:r>
        <w:rPr>
          <w:lang w:val="en-US" w:eastAsia="zh-CN"/>
        </w:rPr>
        <w:t xml:space="preserve">In summary, we have the following supported cases for SSB adaptation: </w:t>
      </w:r>
    </w:p>
    <w:p w14:paraId="1C0952C4">
      <w:pPr>
        <w:spacing w:after="120"/>
        <w:rPr>
          <w:rFonts w:ascii="Times New Roman Bold" w:hAnsi="Times New Roman Bold" w:cs="Times New Roman Bold"/>
          <w:b/>
          <w:bCs/>
          <w:lang w:val="en-US" w:eastAsia="zh-CN"/>
        </w:rPr>
      </w:pPr>
      <w:r>
        <w:rPr>
          <w:rFonts w:ascii="Times New Roman Bold" w:hAnsi="Times New Roman Bold" w:cs="Times New Roman Bold"/>
          <w:b/>
          <w:bCs/>
          <w:lang w:val="en-US" w:eastAsia="zh-CN"/>
        </w:rPr>
        <w:t xml:space="preserve">Proposal 2: SSB adaptation can be applied to NCD-SSBs on SCell without OD-SSB feature, i.e. applied to SCell without OD-SSB configuration. </w:t>
      </w:r>
    </w:p>
    <w:p w14:paraId="2CB8E838">
      <w:pPr>
        <w:spacing w:after="120"/>
        <w:rPr>
          <w:rFonts w:ascii="Times New Roman Bold" w:hAnsi="Times New Roman Bold" w:cs="Times New Roman Bold"/>
          <w:b/>
          <w:bCs/>
          <w:lang w:val="en-US" w:eastAsia="zh-CN"/>
        </w:rPr>
      </w:pPr>
      <w:r>
        <w:rPr>
          <w:rFonts w:ascii="Times New Roman Bold" w:hAnsi="Times New Roman Bold" w:cs="Times New Roman Bold"/>
          <w:b/>
          <w:bCs/>
          <w:lang w:val="en-US" w:eastAsia="zh-CN"/>
        </w:rPr>
        <w:t>Proposal 3: For SCell with OD-SSB case #1, support OD-SSB periodicity adaptation if the number of N of OD-SSB bursts is not configured/indicated.</w:t>
      </w:r>
    </w:p>
    <w:p w14:paraId="4CB17CF7">
      <w:pPr>
        <w:spacing w:after="120"/>
        <w:rPr>
          <w:rFonts w:ascii="Times New Roman Bold" w:hAnsi="Times New Roman Bold" w:cs="Times New Roman Bold"/>
          <w:b/>
          <w:bCs/>
          <w:lang w:val="en-US" w:eastAsia="zh-CN"/>
        </w:rPr>
      </w:pPr>
      <w:r>
        <w:rPr>
          <w:rFonts w:ascii="Times New Roman Bold" w:hAnsi="Times New Roman Bold" w:cs="Times New Roman Bold"/>
          <w:b/>
          <w:bCs/>
          <w:lang w:val="en-US" w:eastAsia="zh-CN"/>
        </w:rPr>
        <w:t xml:space="preserve">Proposal 4: For SCell with OD-SSB case #2, support AO-SSB periodicity adaptation </w:t>
      </w:r>
      <w:r>
        <w:rPr>
          <w:rFonts w:hint="default" w:ascii="Times New Roman Bold" w:hAnsi="Times New Roman Bold" w:cs="Times New Roman Bold"/>
          <w:b/>
          <w:bCs/>
          <w:lang w:val="en-US" w:eastAsia="zh-CN"/>
        </w:rPr>
        <w:t xml:space="preserve">while </w:t>
      </w:r>
      <w:r>
        <w:rPr>
          <w:rFonts w:ascii="Times New Roman Bold" w:hAnsi="Times New Roman Bold" w:cs="Times New Roman Bold"/>
          <w:b/>
          <w:bCs/>
          <w:lang w:val="en-US" w:eastAsia="zh-CN"/>
        </w:rPr>
        <w:t>OD-SSB adaptation is not applied.</w:t>
      </w:r>
    </w:p>
    <w:p w14:paraId="5013FAA7">
      <w:pPr>
        <w:spacing w:after="120"/>
        <w:rPr>
          <w:rFonts w:ascii="Times New Roman Bold" w:hAnsi="Times New Roman Bold" w:cs="Times New Roman Bold"/>
          <w:b/>
          <w:bCs/>
          <w:lang w:val="en-US" w:eastAsia="zh-CN"/>
        </w:rPr>
      </w:pPr>
    </w:p>
    <w:p w14:paraId="2983BA3A">
      <w:pPr>
        <w:pStyle w:val="3"/>
        <w:numPr>
          <w:ilvl w:val="1"/>
          <w:numId w:val="3"/>
        </w:numPr>
        <w:spacing w:after="120"/>
        <w:rPr>
          <w:lang w:val="en-US" w:eastAsia="zh-CN"/>
        </w:rPr>
      </w:pPr>
      <w:r>
        <w:rPr>
          <w:rFonts w:ascii="Times New Roman" w:hAnsi="Times New Roman"/>
          <w:iCs w:val="0"/>
          <w:lang w:val="en-US" w:eastAsia="sv-SE"/>
        </w:rPr>
        <w:t xml:space="preserve"> SSB adaptation mechanisms</w:t>
      </w:r>
    </w:p>
    <w:p w14:paraId="3D8C0994">
      <w:pPr>
        <w:spacing w:after="120"/>
        <w:rPr>
          <w:lang w:val="en-US" w:eastAsia="zh-CN"/>
        </w:rPr>
      </w:pPr>
      <w:r>
        <w:rPr>
          <w:lang w:val="en-US" w:eastAsia="zh-CN"/>
        </w:rPr>
        <w:t xml:space="preserve">In RAN1 #117, it was agreed to support adaptation of SSB burst period using one or more SSB burst periodicity value(s). </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057"/>
      </w:tblGrid>
      <w:tr w14:paraId="20DEDF5D">
        <w:tc>
          <w:tcPr>
            <w:tcW w:w="9057" w:type="dxa"/>
          </w:tcPr>
          <w:p w14:paraId="405849AF">
            <w:pPr>
              <w:tabs>
                <w:tab w:val="left" w:pos="1440"/>
              </w:tabs>
              <w:spacing w:after="0" w:afterLines="0"/>
              <w:rPr>
                <w:b/>
                <w:bCs/>
                <w:lang w:val="en-US" w:eastAsia="zh-CN"/>
              </w:rPr>
            </w:pPr>
            <w:r>
              <w:rPr>
                <w:b/>
                <w:bCs/>
                <w:highlight w:val="green"/>
                <w:lang w:val="en-US" w:eastAsia="zh-CN"/>
              </w:rPr>
              <w:t>Agreement (RAN1 #117)</w:t>
            </w:r>
          </w:p>
          <w:p w14:paraId="160F8D07">
            <w:pPr>
              <w:tabs>
                <w:tab w:val="left" w:pos="1440"/>
              </w:tabs>
              <w:spacing w:after="0" w:afterLines="0"/>
              <w:rPr>
                <w:lang w:eastAsia="zh-CN"/>
              </w:rPr>
            </w:pPr>
            <w:r>
              <w:rPr>
                <w:lang w:eastAsia="zh-CN"/>
              </w:rPr>
              <w:t>For adaptation of SSB in time-domain, Option 1 is supported</w:t>
            </w:r>
          </w:p>
          <w:p w14:paraId="6DA1FFD6">
            <w:pPr>
              <w:pStyle w:val="56"/>
              <w:numPr>
                <w:ilvl w:val="0"/>
                <w:numId w:val="10"/>
              </w:numPr>
              <w:tabs>
                <w:tab w:val="left" w:pos="800"/>
                <w:tab w:val="clear" w:pos="1440"/>
              </w:tabs>
              <w:overflowPunct w:val="0"/>
              <w:adjustRightInd w:val="0"/>
              <w:spacing w:after="0" w:afterLines="0"/>
              <w:ind w:left="800" w:leftChars="200" w:hanging="400" w:hangingChars="200"/>
              <w:contextualSpacing/>
              <w:textAlignment w:val="baseline"/>
              <w:rPr>
                <w:rFonts w:cs="Times"/>
              </w:rPr>
            </w:pPr>
            <w:r>
              <w:rPr>
                <w:rFonts w:cs="Times"/>
              </w:rPr>
              <w:t>Option 1: Adaptation of SSB burst periodicity using one or more SSB burst periodicity value(s)</w:t>
            </w:r>
          </w:p>
          <w:p w14:paraId="7AE09AB7">
            <w:pPr>
              <w:pStyle w:val="56"/>
              <w:numPr>
                <w:ilvl w:val="0"/>
                <w:numId w:val="10"/>
              </w:numPr>
              <w:tabs>
                <w:tab w:val="left" w:pos="800"/>
                <w:tab w:val="clear" w:pos="1440"/>
              </w:tabs>
              <w:overflowPunct w:val="0"/>
              <w:adjustRightInd w:val="0"/>
              <w:spacing w:after="0" w:afterLines="0"/>
              <w:ind w:left="800" w:leftChars="200" w:hanging="400" w:hangingChars="200"/>
              <w:contextualSpacing/>
              <w:textAlignment w:val="baseline"/>
              <w:rPr>
                <w:rFonts w:cs="Times"/>
              </w:rPr>
            </w:pPr>
            <w:r>
              <w:rPr>
                <w:rFonts w:cs="Times"/>
                <w:lang w:eastAsia="ko-KR"/>
              </w:rPr>
              <w:t>Note: Using Option 2 to realize Option 1 is not precluded</w:t>
            </w:r>
          </w:p>
          <w:p w14:paraId="159C66EE">
            <w:pPr>
              <w:pStyle w:val="56"/>
              <w:numPr>
                <w:ilvl w:val="1"/>
                <w:numId w:val="10"/>
              </w:numPr>
              <w:overflowPunct w:val="0"/>
              <w:adjustRightInd w:val="0"/>
              <w:spacing w:after="0" w:afterLines="0"/>
              <w:ind w:leftChars="0"/>
              <w:contextualSpacing/>
              <w:textAlignment w:val="baseline"/>
              <w:rPr>
                <w:rFonts w:cs="Times"/>
              </w:rPr>
            </w:pPr>
            <w:r>
              <w:rPr>
                <w:color w:val="000000" w:themeColor="text1"/>
                <w14:textFill>
                  <w14:solidFill>
                    <w14:schemeClr w14:val="tx1"/>
                  </w14:solidFill>
                </w14:textFill>
              </w:rPr>
              <w:t xml:space="preserve">Option </w:t>
            </w:r>
            <w:r>
              <w:rPr>
                <w:rFonts w:cs="Times"/>
              </w:rPr>
              <w:t>2: Adaptation based on two SSB configurations [where up to two configurations can be active]</w:t>
            </w:r>
          </w:p>
          <w:p w14:paraId="2C256319">
            <w:pPr>
              <w:numPr>
                <w:ilvl w:val="2"/>
                <w:numId w:val="11"/>
              </w:numPr>
              <w:tabs>
                <w:tab w:val="left" w:pos="2200"/>
              </w:tabs>
              <w:suppressAutoHyphens/>
              <w:spacing w:after="0" w:afterLines="0"/>
              <w:ind w:left="2200" w:hanging="400"/>
              <w:rPr>
                <w:rFonts w:cs="Times"/>
              </w:rPr>
            </w:pPr>
            <w:r>
              <w:rPr>
                <w:rFonts w:cs="Times"/>
              </w:rPr>
              <w:t>FFS: details of the differences between the two SSB configurations, e.g. two different periodicities</w:t>
            </w:r>
          </w:p>
          <w:p w14:paraId="3157771F">
            <w:pPr>
              <w:pStyle w:val="56"/>
              <w:numPr>
                <w:ilvl w:val="0"/>
                <w:numId w:val="10"/>
              </w:numPr>
              <w:tabs>
                <w:tab w:val="left" w:pos="800"/>
                <w:tab w:val="clear" w:pos="1440"/>
              </w:tabs>
              <w:overflowPunct w:val="0"/>
              <w:adjustRightInd w:val="0"/>
              <w:spacing w:after="0" w:afterLines="0"/>
              <w:ind w:left="800" w:leftChars="200" w:hanging="400" w:hangingChars="200"/>
              <w:contextualSpacing/>
              <w:textAlignment w:val="baseline"/>
              <w:rPr>
                <w:rFonts w:cs="Times"/>
              </w:rPr>
            </w:pPr>
            <w:r>
              <w:rPr>
                <w:rFonts w:cs="Times"/>
              </w:rPr>
              <w:t xml:space="preserve">FFS: Details including applicable scenarios </w:t>
            </w:r>
          </w:p>
          <w:p w14:paraId="0381AD38">
            <w:pPr>
              <w:pStyle w:val="56"/>
              <w:numPr>
                <w:ilvl w:val="0"/>
                <w:numId w:val="10"/>
              </w:numPr>
              <w:tabs>
                <w:tab w:val="left" w:pos="800"/>
                <w:tab w:val="clear" w:pos="1440"/>
              </w:tabs>
              <w:overflowPunct w:val="0"/>
              <w:adjustRightInd w:val="0"/>
              <w:spacing w:after="0" w:afterLines="0"/>
              <w:ind w:left="800" w:leftChars="200" w:hanging="400" w:hangingChars="200"/>
              <w:contextualSpacing/>
              <w:textAlignment w:val="baseline"/>
              <w:rPr>
                <w:lang w:val="en-US"/>
              </w:rPr>
            </w:pPr>
            <w:r>
              <w:rPr>
                <w:rFonts w:cs="Times"/>
              </w:rPr>
              <w:t>FFS: Support of Cell DTX for connected mode UEs for SSB</w:t>
            </w:r>
          </w:p>
        </w:tc>
      </w:tr>
    </w:tbl>
    <w:p w14:paraId="212BB819">
      <w:pPr>
        <w:spacing w:after="120"/>
        <w:rPr>
          <w:iCs/>
          <w:szCs w:val="22"/>
          <w:lang w:val="en-US" w:eastAsia="zh-CN"/>
        </w:rPr>
      </w:pPr>
    </w:p>
    <w:p w14:paraId="25424B3C">
      <w:pPr>
        <w:spacing w:after="120"/>
        <w:rPr>
          <w:iCs/>
          <w:szCs w:val="22"/>
          <w:lang w:val="en-US" w:eastAsia="zh-CN"/>
        </w:rPr>
      </w:pPr>
      <w:r>
        <w:rPr>
          <w:iCs/>
          <w:szCs w:val="22"/>
          <w:lang w:val="en-US" w:eastAsia="zh-CN"/>
        </w:rPr>
        <w:t xml:space="preserve">In RAN1 #119 meeting, the following responses were send to RAN4 in response to the questions in RAN4 LS to RAN1 [2].  </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657"/>
      </w:tblGrid>
      <w:tr w14:paraId="638C1730">
        <w:tc>
          <w:tcPr>
            <w:tcW w:w="9657" w:type="dxa"/>
          </w:tcPr>
          <w:p w14:paraId="7B4D0074">
            <w:pPr>
              <w:spacing w:after="0" w:afterLines="0"/>
              <w:rPr>
                <w:rFonts w:ascii="Arial" w:hAnsi="Arial" w:cs="Arial"/>
                <w:b/>
                <w:bCs/>
                <w:u w:val="single"/>
                <w:lang w:val="en-US" w:eastAsia="zh-CN"/>
              </w:rPr>
            </w:pPr>
            <w:r>
              <w:rPr>
                <w:rFonts w:hint="eastAsia" w:ascii="Arial" w:hAnsi="Arial" w:cs="Arial"/>
                <w:b/>
                <w:bCs/>
                <w:u w:val="single"/>
                <w:lang w:val="en-US" w:eastAsia="zh-CN"/>
              </w:rPr>
              <w:t>Obj.3</w:t>
            </w:r>
            <w:r>
              <w:rPr>
                <w:rFonts w:ascii="Arial" w:hAnsi="Arial" w:cs="Arial"/>
                <w:b/>
                <w:bCs/>
                <w:u w:val="single"/>
                <w:lang w:val="en-US" w:eastAsia="zh-CN"/>
              </w:rPr>
              <w:t xml:space="preserve"> related to </w:t>
            </w:r>
            <w:r>
              <w:rPr>
                <w:rFonts w:hint="eastAsia" w:ascii="Arial" w:hAnsi="Arial" w:cs="Arial"/>
                <w:b/>
                <w:bCs/>
                <w:u w:val="single"/>
                <w:lang w:val="en-US" w:eastAsia="zh-CN"/>
              </w:rPr>
              <w:t>SSB adaptation</w:t>
            </w:r>
            <w:r>
              <w:rPr>
                <w:rFonts w:ascii="Arial" w:hAnsi="Arial" w:cs="Arial"/>
                <w:b/>
                <w:bCs/>
                <w:u w:val="single"/>
                <w:lang w:val="en-US" w:eastAsia="zh-CN"/>
              </w:rPr>
              <w:t xml:space="preserve"> in time domain</w:t>
            </w:r>
          </w:p>
          <w:p w14:paraId="5417632B">
            <w:pPr>
              <w:spacing w:after="0" w:afterLines="0"/>
              <w:rPr>
                <w:rFonts w:ascii="Arial" w:hAnsi="Arial" w:cs="Arial"/>
                <w:lang w:val="en-US"/>
              </w:rPr>
            </w:pPr>
            <w:r>
              <w:rPr>
                <w:rFonts w:ascii="Arial" w:hAnsi="Arial" w:cs="Arial"/>
                <w:lang w:val="en-US"/>
              </w:rPr>
              <w:t xml:space="preserve">For the SSB adaption in the objective of adaptation of common signal/channel transmits, RAN4 would also like RAN1 to clarify the relation </w:t>
            </w:r>
            <w:r>
              <w:rPr>
                <w:rFonts w:hint="eastAsia" w:ascii="Arial" w:hAnsi="Arial" w:cs="Arial"/>
                <w:lang w:val="en-US" w:eastAsia="zh-CN"/>
              </w:rPr>
              <w:t xml:space="preserve">for </w:t>
            </w:r>
            <w:r>
              <w:rPr>
                <w:rFonts w:ascii="Arial" w:hAnsi="Arial" w:cs="Arial"/>
                <w:lang w:val="en-US"/>
              </w:rPr>
              <w:t>SSB adaptation at least for following aspects.</w:t>
            </w:r>
          </w:p>
          <w:p w14:paraId="20443A38">
            <w:pPr>
              <w:pStyle w:val="56"/>
              <w:numPr>
                <w:ilvl w:val="0"/>
                <w:numId w:val="12"/>
              </w:numPr>
              <w:spacing w:after="0" w:afterLines="0"/>
              <w:ind w:left="1160"/>
              <w:rPr>
                <w:rFonts w:cs="Arial"/>
              </w:rPr>
            </w:pPr>
            <w:r>
              <w:rPr>
                <w:rFonts w:hint="eastAsia" w:cs="Arial"/>
              </w:rPr>
              <w:t xml:space="preserve">Q1: </w:t>
            </w:r>
            <w:r>
              <w:rPr>
                <w:rFonts w:cs="Arial"/>
              </w:rPr>
              <w:t>What is the relation in terms of time location</w:t>
            </w:r>
            <w:r>
              <w:rPr>
                <w:rFonts w:hint="eastAsia" w:cs="Arial"/>
              </w:rPr>
              <w:t xml:space="preserve"> </w:t>
            </w:r>
            <w:r>
              <w:rPr>
                <w:rFonts w:cs="Arial"/>
              </w:rPr>
              <w:t xml:space="preserve">before and after </w:t>
            </w:r>
            <w:r>
              <w:rPr>
                <w:rFonts w:hint="eastAsia" w:cs="Arial"/>
              </w:rPr>
              <w:t xml:space="preserve">SSB </w:t>
            </w:r>
            <w:r>
              <w:rPr>
                <w:rFonts w:cs="Arial"/>
              </w:rPr>
              <w:t xml:space="preserve">adaptation? </w:t>
            </w:r>
          </w:p>
          <w:p w14:paraId="747A48C3">
            <w:pPr>
              <w:pStyle w:val="56"/>
              <w:numPr>
                <w:ilvl w:val="0"/>
                <w:numId w:val="12"/>
              </w:numPr>
              <w:spacing w:after="0" w:afterLines="0"/>
              <w:ind w:left="1160"/>
              <w:rPr>
                <w:rFonts w:cs="Arial"/>
              </w:rPr>
            </w:pPr>
            <w:r>
              <w:rPr>
                <w:rFonts w:hint="eastAsia" w:cs="Arial"/>
              </w:rPr>
              <w:t xml:space="preserve">Q2: </w:t>
            </w:r>
            <w:r>
              <w:rPr>
                <w:rFonts w:cs="Arial"/>
              </w:rPr>
              <w:t>What is the relation in terms of frequency location before and after SSB adaptation?</w:t>
            </w:r>
          </w:p>
          <w:p w14:paraId="1246598D">
            <w:pPr>
              <w:pStyle w:val="56"/>
              <w:numPr>
                <w:ilvl w:val="0"/>
                <w:numId w:val="12"/>
              </w:numPr>
              <w:spacing w:after="0" w:afterLines="0"/>
              <w:ind w:left="1160"/>
              <w:rPr>
                <w:iCs/>
                <w:szCs w:val="22"/>
                <w:lang w:val="en-US"/>
              </w:rPr>
            </w:pPr>
            <w:r>
              <w:rPr>
                <w:rFonts w:hint="eastAsia" w:cs="Arial"/>
              </w:rPr>
              <w:t xml:space="preserve">Q3: </w:t>
            </w:r>
            <w:r>
              <w:rPr>
                <w:rFonts w:cs="Arial"/>
              </w:rPr>
              <w:t xml:space="preserve">What is </w:t>
            </w:r>
            <w:r>
              <w:rPr>
                <w:rFonts w:hint="eastAsia" w:cs="Arial"/>
              </w:rPr>
              <w:t xml:space="preserve">the spatial relation </w:t>
            </w:r>
            <w:r>
              <w:rPr>
                <w:rFonts w:cs="Arial"/>
              </w:rPr>
              <w:t>before and after SSB adaptation?</w:t>
            </w:r>
          </w:p>
          <w:p w14:paraId="2FE641AD">
            <w:pPr>
              <w:tabs>
                <w:tab w:val="left" w:pos="1440"/>
              </w:tabs>
              <w:spacing w:after="0" w:afterLines="0"/>
              <w:rPr>
                <w:b/>
                <w:bCs/>
                <w:highlight w:val="green"/>
                <w:lang w:eastAsia="zh-CN"/>
              </w:rPr>
            </w:pPr>
          </w:p>
          <w:p w14:paraId="2F726051">
            <w:pPr>
              <w:tabs>
                <w:tab w:val="left" w:pos="1440"/>
              </w:tabs>
              <w:spacing w:after="0" w:afterLines="0"/>
              <w:rPr>
                <w:b/>
                <w:bCs/>
                <w:lang w:eastAsia="zh-CN"/>
              </w:rPr>
            </w:pPr>
            <w:r>
              <w:rPr>
                <w:b/>
                <w:bCs/>
                <w:highlight w:val="green"/>
                <w:lang w:eastAsia="zh-CN"/>
              </w:rPr>
              <w:t>Agreement</w:t>
            </w:r>
          </w:p>
          <w:p w14:paraId="51E5CE6E">
            <w:pPr>
              <w:tabs>
                <w:tab w:val="left" w:pos="1440"/>
              </w:tabs>
              <w:spacing w:after="0" w:afterLines="0"/>
              <w:rPr>
                <w:lang w:eastAsia="zh-CN"/>
              </w:rPr>
            </w:pPr>
            <w:r>
              <w:rPr>
                <w:lang w:eastAsia="zh-CN"/>
              </w:rPr>
              <w:t>Reply to Q1(What is the relation in terms of time location before and after SSB adaptation?):</w:t>
            </w:r>
          </w:p>
          <w:p w14:paraId="782D24FA">
            <w:pPr>
              <w:pStyle w:val="56"/>
              <w:numPr>
                <w:ilvl w:val="0"/>
                <w:numId w:val="13"/>
              </w:numPr>
              <w:tabs>
                <w:tab w:val="left" w:pos="800"/>
                <w:tab w:val="clear" w:pos="1440"/>
              </w:tabs>
              <w:spacing w:after="0" w:afterLines="0"/>
              <w:ind w:left="800" w:leftChars="0" w:hanging="440"/>
            </w:pPr>
            <w:r>
              <w:t xml:space="preserve">RAN1 agreed that at least SSB burst periodicity is adapted. </w:t>
            </w:r>
          </w:p>
          <w:p w14:paraId="76F094E9">
            <w:pPr>
              <w:pStyle w:val="56"/>
              <w:numPr>
                <w:ilvl w:val="0"/>
                <w:numId w:val="13"/>
              </w:numPr>
              <w:tabs>
                <w:tab w:val="left" w:pos="800"/>
                <w:tab w:val="clear" w:pos="1440"/>
              </w:tabs>
              <w:spacing w:after="0" w:afterLines="0"/>
              <w:ind w:left="800" w:leftChars="0" w:hanging="440"/>
            </w:pPr>
            <w:r>
              <w:t>There are no RAN1 agreements to adapt the time location of the SSB burst other than the periodicity but RAN1 is still discussing other options.</w:t>
            </w:r>
          </w:p>
          <w:p w14:paraId="068DA5DC">
            <w:pPr>
              <w:tabs>
                <w:tab w:val="left" w:pos="1440"/>
              </w:tabs>
              <w:spacing w:after="0" w:afterLines="0"/>
              <w:rPr>
                <w:lang w:eastAsia="zh-CN"/>
              </w:rPr>
            </w:pPr>
          </w:p>
          <w:p w14:paraId="03209C1A">
            <w:pPr>
              <w:tabs>
                <w:tab w:val="left" w:pos="1440"/>
              </w:tabs>
              <w:spacing w:after="0" w:afterLines="0"/>
              <w:rPr>
                <w:b/>
                <w:bCs/>
                <w:lang w:eastAsia="zh-CN"/>
              </w:rPr>
            </w:pPr>
            <w:r>
              <w:rPr>
                <w:b/>
                <w:bCs/>
                <w:highlight w:val="green"/>
                <w:lang w:eastAsia="zh-CN"/>
              </w:rPr>
              <w:t>Agreement</w:t>
            </w:r>
          </w:p>
          <w:p w14:paraId="1511473F">
            <w:pPr>
              <w:tabs>
                <w:tab w:val="left" w:pos="1440"/>
              </w:tabs>
              <w:spacing w:after="0" w:afterLines="0"/>
              <w:rPr>
                <w:lang w:eastAsia="zh-CN"/>
              </w:rPr>
            </w:pPr>
            <w:r>
              <w:rPr>
                <w:lang w:eastAsia="zh-CN"/>
              </w:rPr>
              <w:t>Reply to Q2(What is the relation in terms of frequency location before and after SSB adaptation?):</w:t>
            </w:r>
          </w:p>
          <w:p w14:paraId="52E6FF66">
            <w:pPr>
              <w:pStyle w:val="56"/>
              <w:numPr>
                <w:ilvl w:val="0"/>
                <w:numId w:val="13"/>
              </w:numPr>
              <w:tabs>
                <w:tab w:val="left" w:pos="800"/>
                <w:tab w:val="clear" w:pos="1440"/>
              </w:tabs>
              <w:spacing w:after="0" w:afterLines="0"/>
              <w:ind w:left="800" w:leftChars="0" w:hanging="440"/>
            </w:pPr>
            <w:r>
              <w:t>The frequency location is same before and after SSB adaptation.</w:t>
            </w:r>
          </w:p>
          <w:p w14:paraId="02E0CFCA">
            <w:pPr>
              <w:tabs>
                <w:tab w:val="left" w:pos="1440"/>
              </w:tabs>
              <w:spacing w:after="0" w:afterLines="0"/>
            </w:pPr>
          </w:p>
          <w:p w14:paraId="059022CC">
            <w:pPr>
              <w:tabs>
                <w:tab w:val="left" w:pos="1440"/>
              </w:tabs>
              <w:spacing w:after="0" w:afterLines="0"/>
              <w:rPr>
                <w:b/>
                <w:bCs/>
                <w:lang w:val="en-US" w:eastAsia="zh-CN"/>
              </w:rPr>
            </w:pPr>
            <w:r>
              <w:rPr>
                <w:b/>
                <w:bCs/>
                <w:highlight w:val="green"/>
                <w:lang w:val="en-US" w:eastAsia="zh-CN"/>
              </w:rPr>
              <w:t>Agreement</w:t>
            </w:r>
          </w:p>
          <w:p w14:paraId="05939840">
            <w:pPr>
              <w:tabs>
                <w:tab w:val="left" w:pos="1440"/>
              </w:tabs>
              <w:spacing w:after="0" w:afterLines="0"/>
            </w:pPr>
            <w:r>
              <w:t>Reply to Q3(What is the spatial relation before and after SSB adaptation?):</w:t>
            </w:r>
          </w:p>
          <w:p w14:paraId="0A4472D7">
            <w:pPr>
              <w:pStyle w:val="56"/>
              <w:numPr>
                <w:ilvl w:val="0"/>
                <w:numId w:val="13"/>
              </w:numPr>
              <w:tabs>
                <w:tab w:val="left" w:pos="800"/>
                <w:tab w:val="clear" w:pos="1440"/>
              </w:tabs>
              <w:spacing w:after="0" w:afterLines="0"/>
              <w:ind w:left="800" w:leftChars="0" w:hanging="440"/>
            </w:pPr>
            <w:r>
              <w:t xml:space="preserve">There is no change to spatial relation (in terms of QCL assumption) for the same SSB index before and after SSB adaptation. </w:t>
            </w:r>
          </w:p>
          <w:p w14:paraId="7EF658AA">
            <w:pPr>
              <w:pStyle w:val="56"/>
              <w:numPr>
                <w:ilvl w:val="0"/>
                <w:numId w:val="13"/>
              </w:numPr>
              <w:tabs>
                <w:tab w:val="left" w:pos="800"/>
                <w:tab w:val="clear" w:pos="1440"/>
              </w:tabs>
              <w:spacing w:after="0" w:afterLines="0"/>
              <w:ind w:left="800" w:leftChars="0" w:hanging="440"/>
            </w:pPr>
            <w:r>
              <w:t>At least the case where there is no change to actually transmitted SSBs within a burst before and after SSB adaptation is supported.</w:t>
            </w:r>
          </w:p>
          <w:p w14:paraId="4BB46B7A">
            <w:pPr>
              <w:tabs>
                <w:tab w:val="left" w:pos="1440"/>
              </w:tabs>
              <w:spacing w:after="0" w:afterLines="0"/>
              <w:contextualSpacing/>
              <w:rPr>
                <w:rFonts w:cs="Arial"/>
                <w:lang w:val="en-US" w:eastAsia="zh-CN"/>
              </w:rPr>
            </w:pPr>
            <w:r>
              <w:rPr>
                <w:rFonts w:eastAsia="Malgun Gothic"/>
                <w:lang w:eastAsia="zh-CN"/>
              </w:rPr>
              <w:t>Further update to be made based on RAN1#119 progress if any.</w:t>
            </w:r>
          </w:p>
        </w:tc>
      </w:tr>
    </w:tbl>
    <w:p w14:paraId="10626D8C">
      <w:pPr>
        <w:spacing w:after="120"/>
        <w:rPr>
          <w:iCs/>
          <w:szCs w:val="22"/>
          <w:lang w:val="en-US" w:eastAsia="zh-CN"/>
        </w:rPr>
      </w:pPr>
    </w:p>
    <w:p w14:paraId="2B1156EC">
      <w:pPr>
        <w:spacing w:after="120"/>
        <w:rPr>
          <w:lang w:val="en-US"/>
        </w:rPr>
      </w:pPr>
      <w:r>
        <w:rPr>
          <w:lang w:val="en-US"/>
        </w:rPr>
        <w:t>Regarding time domain location before and after SSB adaptation, we think besides the SSB locations within a half radio frame, the other important factor is the half frame offset of the SSB within SSB periodicity.</w:t>
      </w:r>
    </w:p>
    <w:p w14:paraId="53406503">
      <w:pPr>
        <w:spacing w:after="120"/>
        <w:rPr>
          <w:iCs/>
          <w:szCs w:val="22"/>
          <w:lang w:val="en-US" w:eastAsia="zh-CN"/>
        </w:rPr>
      </w:pPr>
      <w:r>
        <w:rPr>
          <w:lang w:val="en-US"/>
        </w:rPr>
        <w:t>S</w:t>
      </w:r>
      <w:r>
        <w:rPr>
          <w:iCs/>
          <w:szCs w:val="22"/>
          <w:lang w:val="en-US" w:eastAsia="zh-CN"/>
        </w:rPr>
        <w:t>ince SSB-based measurement is always based on the smtc configuration, the change of SSB adaptation periodicity would cause impact to the smtc configuration. Assuming only the adapted periodicity is configured for the SSB adaptation, and when UE receives the SSB adaptation indication, after a sufficient time gap, UE assumes the SSB is transmitted at a second value. In Fig.1, we illus</w:t>
      </w:r>
      <w:bookmarkStart w:id="4" w:name="_GoBack"/>
      <w:bookmarkEnd w:id="4"/>
      <w:r>
        <w:rPr>
          <w:iCs/>
          <w:szCs w:val="22"/>
          <w:lang w:val="en-US" w:eastAsia="zh-CN"/>
        </w:rPr>
        <w:t xml:space="preserve">trate the case when SSB adaptation results in SSB transmission outside smtc window. </w:t>
      </w:r>
    </w:p>
    <w:p w14:paraId="687016A7">
      <w:pPr>
        <w:spacing w:after="120"/>
        <w:rPr>
          <w:rFonts w:ascii="Times New Roman Bold" w:hAnsi="Times New Roman Bold" w:cs="Times New Roman Bold"/>
          <w:b/>
          <w:bCs/>
        </w:rPr>
      </w:pPr>
      <w:r>
        <w:drawing>
          <wp:inline distT="0" distB="0" distL="114300" distR="114300">
            <wp:extent cx="5982335" cy="890270"/>
            <wp:effectExtent l="0" t="0" r="12065" b="24130"/>
            <wp:docPr id="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a:blip r:embed="rId5"/>
                    <a:stretch>
                      <a:fillRect/>
                    </a:stretch>
                  </pic:blipFill>
                  <pic:spPr>
                    <a:xfrm>
                      <a:off x="0" y="0"/>
                      <a:ext cx="5982335" cy="890270"/>
                    </a:xfrm>
                    <a:prstGeom prst="rect">
                      <a:avLst/>
                    </a:prstGeom>
                    <a:noFill/>
                    <a:ln>
                      <a:noFill/>
                    </a:ln>
                  </pic:spPr>
                </pic:pic>
              </a:graphicData>
            </a:graphic>
          </wp:inline>
        </w:drawing>
      </w:r>
    </w:p>
    <w:p w14:paraId="2F21FA75">
      <w:pPr>
        <w:spacing w:after="120"/>
        <w:jc w:val="center"/>
        <w:rPr>
          <w:rFonts w:ascii="Times New Roman Bold" w:hAnsi="Times New Roman Bold" w:cs="Times New Roman Bold"/>
          <w:b/>
          <w:bCs/>
          <w:lang w:val="en-US" w:eastAsia="zh-CN"/>
        </w:rPr>
      </w:pPr>
      <w:r>
        <w:rPr>
          <w:rFonts w:ascii="Times New Roman Bold" w:hAnsi="Times New Roman Bold" w:cs="Times New Roman Bold"/>
          <w:b/>
          <w:bCs/>
          <w:lang w:val="en-US"/>
        </w:rPr>
        <w:t>Fig. 1 SSB adaptation causing miss match of SSB transmission and smtc window</w:t>
      </w:r>
    </w:p>
    <w:p w14:paraId="459222A9">
      <w:pPr>
        <w:spacing w:after="120"/>
        <w:rPr>
          <w:iCs/>
          <w:szCs w:val="22"/>
          <w:lang w:val="en-US" w:eastAsia="zh-CN"/>
        </w:rPr>
      </w:pPr>
    </w:p>
    <w:p w14:paraId="1248842A">
      <w:pPr>
        <w:spacing w:after="120"/>
        <w:rPr>
          <w:iCs/>
          <w:szCs w:val="22"/>
          <w:lang w:val="en-US" w:eastAsia="zh-CN"/>
        </w:rPr>
      </w:pPr>
      <w:r>
        <w:rPr>
          <w:iCs/>
          <w:szCs w:val="22"/>
          <w:lang w:val="en-US" w:eastAsia="zh-CN"/>
        </w:rPr>
        <w:t xml:space="preserve">To solve this issue, there are several options to be considered: </w:t>
      </w:r>
    </w:p>
    <w:p w14:paraId="0302FFC6">
      <w:pPr>
        <w:spacing w:after="120"/>
        <w:rPr>
          <w:iCs/>
          <w:szCs w:val="22"/>
          <w:lang w:val="en-US" w:eastAsia="zh-CN"/>
        </w:rPr>
      </w:pPr>
      <w:r>
        <w:rPr>
          <w:iCs/>
          <w:szCs w:val="22"/>
          <w:lang w:val="en-US" w:eastAsia="zh-CN"/>
        </w:rPr>
        <w:t xml:space="preserve">Option 1: Adapt the smtc start offset along with the SSB adaptation. </w:t>
      </w:r>
    </w:p>
    <w:p w14:paraId="251B1178">
      <w:pPr>
        <w:spacing w:after="120"/>
        <w:rPr>
          <w:iCs/>
          <w:szCs w:val="22"/>
          <w:lang w:val="en-US" w:eastAsia="zh-CN"/>
        </w:rPr>
      </w:pPr>
      <w:r>
        <w:rPr>
          <w:iCs/>
          <w:szCs w:val="22"/>
          <w:lang w:val="en-US" w:eastAsia="zh-CN"/>
        </w:rPr>
        <w:t>For serving cell, this can be achieved by configuring a second smtc configuration related to the adapted SSB and adapt it with on-demand SSB adaptation signaling. However, for neighbor cell, it is challenging to also adapt the smtc configuration in the neighbor</w:t>
      </w:r>
      <w:r>
        <w:rPr>
          <w:rFonts w:hint="default"/>
          <w:iCs/>
          <w:szCs w:val="22"/>
          <w:lang w:val="en-US" w:eastAsia="zh-CN"/>
        </w:rPr>
        <w:t xml:space="preserve"> </w:t>
      </w:r>
      <w:r>
        <w:rPr>
          <w:iCs/>
          <w:szCs w:val="22"/>
          <w:lang w:val="en-US" w:eastAsia="zh-CN"/>
        </w:rPr>
        <w:t xml:space="preserve">cell timely as in the serving cell. </w:t>
      </w:r>
    </w:p>
    <w:p w14:paraId="1A79E777">
      <w:pPr>
        <w:spacing w:after="120"/>
        <w:rPr>
          <w:iCs/>
          <w:szCs w:val="22"/>
          <w:lang w:val="en-US" w:eastAsia="zh-CN"/>
        </w:rPr>
      </w:pPr>
      <w:r>
        <w:rPr>
          <w:iCs/>
          <w:szCs w:val="22"/>
          <w:lang w:val="en-US" w:eastAsia="zh-CN"/>
        </w:rPr>
        <w:t xml:space="preserve">Option 2: The SSB adaptation ensures that SSBs after adaptation still fall in the same smtc configuration before SSB adaptation. </w:t>
      </w:r>
    </w:p>
    <w:p w14:paraId="51B1738E">
      <w:pPr>
        <w:spacing w:after="120"/>
        <w:rPr>
          <w:iCs/>
          <w:szCs w:val="22"/>
          <w:lang w:val="en-US" w:eastAsia="zh-CN"/>
        </w:rPr>
      </w:pPr>
      <w:r>
        <w:rPr>
          <w:iCs/>
          <w:szCs w:val="22"/>
          <w:lang w:val="en-US" w:eastAsia="zh-CN"/>
        </w:rPr>
        <w:t xml:space="preserve">For Option 2, the spec impacts include configuring the periodicity and determining the start offset of the SSB so that after adaptation, the SSBs still fall in the same smtc configuration as before. In this way, the UE in neighbor cell would still be able to measure the adapted SSB. To achieve this, we think that the start offset of an SSB within the periodicity should be known to UE via explicit configuration or implicit derivation, so that they fall into the same smtc configuration window before and after adaptation.  </w:t>
      </w:r>
    </w:p>
    <w:p w14:paraId="1FAAF8B0">
      <w:pPr>
        <w:spacing w:after="120"/>
        <w:rPr>
          <w:iCs/>
          <w:szCs w:val="22"/>
          <w:lang w:val="en-US" w:eastAsia="zh-CN"/>
        </w:rPr>
      </w:pPr>
      <w:r>
        <w:rPr>
          <w:iCs/>
          <w:szCs w:val="22"/>
          <w:lang w:val="en-US" w:eastAsia="zh-CN"/>
        </w:rPr>
        <w:t xml:space="preserve">Note that the smtc periodicity still needs to be adapted according to the configuration when the SSB periodicity is adapted from a larger value to a smaller value. </w:t>
      </w:r>
    </w:p>
    <w:p w14:paraId="7D133334">
      <w:pPr>
        <w:spacing w:after="120"/>
      </w:pPr>
      <w:r>
        <w:drawing>
          <wp:inline distT="0" distB="0" distL="114300" distR="114300">
            <wp:extent cx="5989320" cy="1684655"/>
            <wp:effectExtent l="0" t="0" r="5080" b="17145"/>
            <wp:docPr id="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2"/>
                    <pic:cNvPicPr>
                      <a:picLocks noChangeAspect="1"/>
                    </pic:cNvPicPr>
                  </pic:nvPicPr>
                  <pic:blipFill>
                    <a:blip r:embed="rId6"/>
                    <a:stretch>
                      <a:fillRect/>
                    </a:stretch>
                  </pic:blipFill>
                  <pic:spPr>
                    <a:xfrm>
                      <a:off x="0" y="0"/>
                      <a:ext cx="5989320" cy="1684655"/>
                    </a:xfrm>
                    <a:prstGeom prst="rect">
                      <a:avLst/>
                    </a:prstGeom>
                    <a:noFill/>
                    <a:ln>
                      <a:noFill/>
                    </a:ln>
                  </pic:spPr>
                </pic:pic>
              </a:graphicData>
            </a:graphic>
          </wp:inline>
        </w:drawing>
      </w:r>
    </w:p>
    <w:p w14:paraId="64A045BA">
      <w:pPr>
        <w:spacing w:after="120"/>
        <w:jc w:val="center"/>
        <w:rPr>
          <w:iCs/>
          <w:szCs w:val="22"/>
          <w:lang w:val="en-US" w:eastAsia="zh-CN"/>
        </w:rPr>
      </w:pPr>
      <w:r>
        <w:rPr>
          <w:b/>
          <w:bCs/>
          <w:lang w:val="en-US" w:eastAsia="zh-CN"/>
        </w:rPr>
        <w:t>Fig.2</w:t>
      </w:r>
      <w:r>
        <w:rPr>
          <w:rFonts w:ascii="Times New Roman Bold" w:hAnsi="Times New Roman Bold" w:cs="Times New Roman Bold"/>
          <w:b/>
          <w:bCs/>
          <w:lang w:val="en-US"/>
        </w:rPr>
        <w:t xml:space="preserve"> SSB adaptation avoiding miss match of SSB transmission and smtc window</w:t>
      </w:r>
    </w:p>
    <w:p w14:paraId="739FE9BA">
      <w:pPr>
        <w:spacing w:after="120"/>
        <w:rPr>
          <w:rFonts w:ascii="Times New Roman Bold" w:hAnsi="Times New Roman Bold" w:cs="Times New Roman Bold"/>
          <w:b/>
          <w:bCs/>
          <w:lang w:val="en-US" w:eastAsia="zh-CN"/>
        </w:rPr>
      </w:pPr>
      <w:r>
        <w:rPr>
          <w:rFonts w:ascii="Times New Roman Bold" w:hAnsi="Times New Roman Bold" w:cs="Times New Roman Bold"/>
          <w:b/>
          <w:bCs/>
          <w:lang w:val="en-US" w:eastAsia="zh-CN"/>
        </w:rPr>
        <w:t xml:space="preserve">Proposal 5: Offset of SSB in half frame level within the periodicity should be both configured/derived for the adapted SSB pattern so that both SSBs before and after adaptation can fall in the same smtc configuration. </w:t>
      </w:r>
    </w:p>
    <w:p w14:paraId="58D679C2">
      <w:pPr>
        <w:spacing w:after="120"/>
        <w:rPr>
          <w:rFonts w:ascii="Times New Roman Bold" w:hAnsi="Times New Roman Bold" w:cs="Times New Roman Bold"/>
          <w:b/>
          <w:bCs/>
          <w:lang w:val="en-US" w:eastAsia="zh-CN"/>
        </w:rPr>
      </w:pPr>
      <w:r>
        <w:rPr>
          <w:rFonts w:ascii="Times New Roman Bold" w:hAnsi="Times New Roman Bold" w:cs="Times New Roman Bold"/>
          <w:b/>
          <w:bCs/>
          <w:lang w:val="en-US" w:eastAsia="zh-CN"/>
        </w:rPr>
        <w:t xml:space="preserve">Proposal 6: UE assumes SSB is transmitted with the adapted periodicity and offset after a sufficient time gap after the indication signaling. </w:t>
      </w:r>
    </w:p>
    <w:p w14:paraId="3709E49D">
      <w:pPr>
        <w:spacing w:after="120"/>
        <w:rPr>
          <w:iCs/>
          <w:szCs w:val="22"/>
          <w:lang w:val="en-US" w:eastAsia="zh-CN"/>
        </w:rPr>
      </w:pPr>
      <w:r>
        <w:rPr>
          <w:iCs/>
          <w:szCs w:val="22"/>
          <w:lang w:val="en-US" w:eastAsia="zh-CN"/>
        </w:rPr>
        <w:t>The time gap between UE receiving the indication of SSB adaptation and UE assuming the SSB periodicity change shall be above certain value (value can be FFS) to give UE sufficient preparation time to implement new RRM behavior on new SSB periodicity. Note that in current spec, SSB periodicity adaptation can be achieved by using RRC reconfiguration, which allows 10ms processing and application. The exact values should be determined considering the SCell scenarios.</w:t>
      </w:r>
    </w:p>
    <w:p w14:paraId="11942C69">
      <w:pPr>
        <w:spacing w:after="120"/>
        <w:rPr>
          <w:rFonts w:ascii="Times New Roman Bold" w:hAnsi="Times New Roman Bold" w:cs="Times New Roman Bold"/>
          <w:b/>
          <w:bCs/>
          <w:lang w:val="en-US" w:eastAsia="zh-CN"/>
        </w:rPr>
      </w:pPr>
      <w:r>
        <w:rPr>
          <w:rFonts w:ascii="Times New Roman Bold" w:hAnsi="Times New Roman Bold" w:cs="Times New Roman Bold"/>
          <w:b/>
          <w:bCs/>
          <w:lang w:val="en-US"/>
        </w:rPr>
        <w:t xml:space="preserve">Proposal 7: </w:t>
      </w:r>
      <w:r>
        <w:rPr>
          <w:rFonts w:ascii="Times New Roman Bold" w:hAnsi="Times New Roman Bold" w:cs="Times New Roman Bold"/>
          <w:b/>
          <w:bCs/>
          <w:lang w:val="en-US" w:eastAsia="zh-CN"/>
        </w:rPr>
        <w:t>The time gap between UE receiving the indication of SSB adaptation and UE assuming the SSB periodicity change shall be above certain value to give UE sufficient preparation time to implement new RRM behavior on new SSB periodicity.</w:t>
      </w:r>
    </w:p>
    <w:p w14:paraId="7C7875A8">
      <w:pPr>
        <w:spacing w:after="120"/>
        <w:rPr>
          <w:rFonts w:ascii="Times New Roman Bold" w:hAnsi="Times New Roman Bold" w:cs="Times New Roman Bold"/>
          <w:b/>
          <w:bCs/>
          <w:lang w:val="en-US" w:eastAsia="zh-CN"/>
        </w:rPr>
      </w:pPr>
    </w:p>
    <w:p w14:paraId="3446B31B">
      <w:pPr>
        <w:keepNext/>
        <w:keepLines/>
        <w:numPr>
          <w:ilvl w:val="0"/>
          <w:numId w:val="3"/>
        </w:numPr>
        <w:pBdr>
          <w:top w:val="single" w:color="auto" w:sz="12" w:space="3"/>
        </w:pBdr>
        <w:overflowPunct w:val="0"/>
        <w:adjustRightInd w:val="0"/>
        <w:spacing w:before="240" w:after="120"/>
        <w:textAlignment w:val="baseline"/>
        <w:outlineLvl w:val="0"/>
        <w:rPr>
          <w:rFonts w:eastAsia="Malgun Gothic"/>
          <w:sz w:val="36"/>
          <w:szCs w:val="36"/>
          <w:lang w:val="en-US" w:eastAsia="zh-CN"/>
        </w:rPr>
      </w:pPr>
      <w:r>
        <w:rPr>
          <w:rFonts w:eastAsia="Malgun Gothic"/>
          <w:sz w:val="36"/>
          <w:szCs w:val="36"/>
          <w:lang w:val="en-US" w:eastAsia="zh-CN"/>
        </w:rPr>
        <w:t xml:space="preserve"> PRACH adaptation </w:t>
      </w:r>
    </w:p>
    <w:p w14:paraId="1751DD11">
      <w:pPr>
        <w:spacing w:after="120"/>
        <w:rPr>
          <w:lang w:val="en-US" w:eastAsia="sv-SE"/>
        </w:rPr>
      </w:pPr>
      <w:r>
        <w:rPr>
          <w:lang w:val="en-US" w:eastAsia="sv-SE"/>
        </w:rPr>
        <w:t>In RAN1 #119 meeting, there were further discussion on the relation between additionally configured PRACH resources and the PRACH resource for legacy UEs. Also the adaptation mechanisms were discussed. In this section, we provide further considerations on these aspects.</w:t>
      </w:r>
    </w:p>
    <w:p w14:paraId="3A9A88E1">
      <w:pPr>
        <w:pStyle w:val="3"/>
        <w:spacing w:after="120"/>
        <w:rPr>
          <w:lang w:val="en-US"/>
        </w:rPr>
      </w:pPr>
      <w:r>
        <w:rPr>
          <w:lang w:val="en-US" w:eastAsia="sv-SE"/>
        </w:rPr>
        <w:t xml:space="preserve"> Adaptation on the additional PRACH resources </w:t>
      </w:r>
    </w:p>
    <w:p w14:paraId="5581DFF3">
      <w:pPr>
        <w:spacing w:after="120"/>
        <w:rPr>
          <w:lang w:val="en-US"/>
        </w:rPr>
      </w:pPr>
      <w:r>
        <w:rPr>
          <w:lang w:val="en-US"/>
        </w:rPr>
        <w:t xml:space="preserve">For adaptation mechanisms for the additional PRACH resources, the agreement in last RAN1 #119 meeting was narrowed down to indicating whether the additional PRACH resources by semi-static signaling are available or not with an FFS on whether a single PRACH mask can be provided to identify a subset of the additional PRACH resources: </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657"/>
      </w:tblGrid>
      <w:tr w14:paraId="7D359734">
        <w:tc>
          <w:tcPr>
            <w:tcW w:w="9657" w:type="dxa"/>
          </w:tcPr>
          <w:p w14:paraId="727960AA">
            <w:pPr>
              <w:tabs>
                <w:tab w:val="left" w:pos="1440"/>
              </w:tabs>
              <w:spacing w:after="0" w:afterLines="0"/>
              <w:rPr>
                <w:b/>
                <w:bCs/>
                <w:lang w:val="en-US" w:eastAsia="zh-CN"/>
              </w:rPr>
            </w:pPr>
            <w:r>
              <w:rPr>
                <w:b/>
                <w:bCs/>
                <w:highlight w:val="green"/>
                <w:lang w:val="en-US" w:eastAsia="zh-CN"/>
              </w:rPr>
              <w:t>Agreement (RAN1 #119)</w:t>
            </w:r>
          </w:p>
          <w:p w14:paraId="357E4F79">
            <w:pPr>
              <w:tabs>
                <w:tab w:val="left" w:pos="1440"/>
              </w:tabs>
              <w:spacing w:after="0" w:afterLines="0"/>
            </w:pPr>
            <w:r>
              <w:t>For DCI-based adaptation for additional PRACH resources, select only from the following alternatives:</w:t>
            </w:r>
          </w:p>
          <w:p w14:paraId="49BB9638">
            <w:pPr>
              <w:numPr>
                <w:ilvl w:val="0"/>
                <w:numId w:val="14"/>
              </w:numPr>
              <w:tabs>
                <w:tab w:val="left" w:pos="800"/>
              </w:tabs>
              <w:spacing w:after="0" w:afterLines="0"/>
              <w:ind w:left="800" w:hanging="440"/>
            </w:pPr>
            <w:r>
              <w:t xml:space="preserve">Alt 1: DCI-based adaptation to indicate whether the additional PRACH resources provided by semi-static signalling are available or not </w:t>
            </w:r>
          </w:p>
          <w:p w14:paraId="3C7EC433">
            <w:pPr>
              <w:numPr>
                <w:ilvl w:val="1"/>
                <w:numId w:val="14"/>
              </w:numPr>
              <w:tabs>
                <w:tab w:val="left" w:pos="1440"/>
              </w:tabs>
              <w:spacing w:after="0" w:afterLines="0"/>
            </w:pPr>
            <w:r>
              <w:t>[DCI payload size = 1 bit]</w:t>
            </w:r>
          </w:p>
          <w:p w14:paraId="6639BAE8">
            <w:pPr>
              <w:numPr>
                <w:ilvl w:val="1"/>
                <w:numId w:val="14"/>
              </w:numPr>
              <w:tabs>
                <w:tab w:val="left" w:pos="1440"/>
              </w:tabs>
              <w:spacing w:after="0" w:afterLines="0"/>
            </w:pPr>
            <w:r>
              <w:t>FFS: A single PRACH mask provided by semi-static signalling is used to identify the subset of the additional PRACH resources</w:t>
            </w:r>
          </w:p>
          <w:p w14:paraId="4FC44314">
            <w:pPr>
              <w:numPr>
                <w:ilvl w:val="1"/>
                <w:numId w:val="14"/>
              </w:numPr>
              <w:tabs>
                <w:tab w:val="left" w:pos="1440"/>
              </w:tabs>
              <w:spacing w:after="0" w:afterLines="0"/>
              <w:rPr>
                <w:lang w:val="en-US"/>
              </w:rPr>
            </w:pPr>
            <w:r>
              <w:t>FFS: details</w:t>
            </w:r>
          </w:p>
          <w:p w14:paraId="374E2637">
            <w:pPr>
              <w:tabs>
                <w:tab w:val="left" w:pos="1440"/>
              </w:tabs>
              <w:spacing w:after="0" w:afterLines="0"/>
            </w:pPr>
          </w:p>
          <w:p w14:paraId="4C1CDE8D">
            <w:pPr>
              <w:tabs>
                <w:tab w:val="left" w:pos="1440"/>
              </w:tabs>
              <w:spacing w:after="0" w:afterLines="0"/>
              <w:rPr>
                <w:b/>
                <w:bCs/>
              </w:rPr>
            </w:pPr>
            <w:r>
              <w:rPr>
                <w:b/>
                <w:bCs/>
                <w:highlight w:val="darkYellow"/>
              </w:rPr>
              <w:t>Working Assumption</w:t>
            </w:r>
          </w:p>
          <w:p w14:paraId="0A92A782">
            <w:pPr>
              <w:pStyle w:val="14"/>
              <w:spacing w:after="0" w:afterLines="0"/>
            </w:pPr>
            <w:r>
              <w:t xml:space="preserve">For DCI-based adaptation for additional PRACH resources, </w:t>
            </w:r>
          </w:p>
          <w:p w14:paraId="3730E95D">
            <w:pPr>
              <w:numPr>
                <w:ilvl w:val="0"/>
                <w:numId w:val="14"/>
              </w:numPr>
              <w:tabs>
                <w:tab w:val="left" w:pos="800"/>
              </w:tabs>
              <w:spacing w:after="0" w:afterLines="0"/>
              <w:ind w:left="800" w:hanging="440"/>
            </w:pPr>
            <w:r>
              <w:t>Select from the following options for carrying the adaptation indication in DCI format 1_0 with P-RNTI</w:t>
            </w:r>
          </w:p>
          <w:p w14:paraId="6A756508">
            <w:pPr>
              <w:pStyle w:val="14"/>
              <w:numPr>
                <w:ilvl w:val="0"/>
                <w:numId w:val="15"/>
              </w:numPr>
              <w:tabs>
                <w:tab w:val="left" w:pos="1000"/>
                <w:tab w:val="clear" w:pos="1440"/>
              </w:tabs>
              <w:overflowPunct w:val="0"/>
              <w:adjustRightInd w:val="0"/>
              <w:spacing w:after="0" w:afterLines="0"/>
              <w:ind w:left="1000" w:hanging="280"/>
              <w:textAlignment w:val="baseline"/>
            </w:pPr>
            <w:r>
              <w:t>Option 1: Use reserved bits in the DCI format</w:t>
            </w:r>
          </w:p>
          <w:p w14:paraId="34B1D25A">
            <w:pPr>
              <w:pStyle w:val="14"/>
              <w:numPr>
                <w:ilvl w:val="1"/>
                <w:numId w:val="15"/>
              </w:numPr>
              <w:overflowPunct w:val="0"/>
              <w:adjustRightInd w:val="0"/>
              <w:spacing w:after="0" w:afterLines="0"/>
              <w:textAlignment w:val="baseline"/>
            </w:pPr>
            <w:r>
              <w:t xml:space="preserve">FFS: relation (if any) to TRS availability bits / short message indicator in the DCI format  </w:t>
            </w:r>
          </w:p>
          <w:p w14:paraId="24DF967F">
            <w:pPr>
              <w:pStyle w:val="14"/>
              <w:numPr>
                <w:ilvl w:val="0"/>
                <w:numId w:val="15"/>
              </w:numPr>
              <w:tabs>
                <w:tab w:val="left" w:pos="1000"/>
                <w:tab w:val="clear" w:pos="1440"/>
              </w:tabs>
              <w:overflowPunct w:val="0"/>
              <w:adjustRightInd w:val="0"/>
              <w:spacing w:after="0" w:afterLines="0"/>
              <w:ind w:left="1000" w:hanging="280"/>
              <w:textAlignment w:val="baseline"/>
            </w:pPr>
            <w:r>
              <w:t>Option 2: Use Bits 5-8 within the Short Message (from upper layers)</w:t>
            </w:r>
          </w:p>
          <w:p w14:paraId="309D4AC6">
            <w:pPr>
              <w:pStyle w:val="14"/>
              <w:numPr>
                <w:ilvl w:val="1"/>
                <w:numId w:val="15"/>
              </w:numPr>
              <w:overflowPunct w:val="0"/>
              <w:adjustRightInd w:val="0"/>
              <w:spacing w:after="0" w:afterLines="0"/>
              <w:textAlignment w:val="baseline"/>
            </w:pPr>
            <w:r>
              <w:t>Note: Availability should be confirmed by checking with RAN2.</w:t>
            </w:r>
          </w:p>
          <w:p w14:paraId="1D4A5018">
            <w:pPr>
              <w:pStyle w:val="14"/>
              <w:numPr>
                <w:ilvl w:val="0"/>
                <w:numId w:val="15"/>
              </w:numPr>
              <w:tabs>
                <w:tab w:val="left" w:pos="1000"/>
                <w:tab w:val="clear" w:pos="1440"/>
              </w:tabs>
              <w:overflowPunct w:val="0"/>
              <w:adjustRightInd w:val="0"/>
              <w:spacing w:after="0" w:afterLines="0"/>
              <w:ind w:left="1000" w:hanging="280"/>
              <w:textAlignment w:val="baseline"/>
            </w:pPr>
            <w:r>
              <w:t>Option 3: Use bits available for both Option 1 and Option 2</w:t>
            </w:r>
          </w:p>
          <w:p w14:paraId="46EF6B1B">
            <w:pPr>
              <w:pStyle w:val="14"/>
              <w:spacing w:after="0" w:afterLines="0"/>
            </w:pPr>
            <w:r>
              <w:rPr>
                <w:rFonts w:cs="Arial"/>
              </w:rPr>
              <w:t xml:space="preserve">FFS: Payload size for </w:t>
            </w:r>
            <w:r>
              <w:t>adaptation for additional PRACH resources</w:t>
            </w:r>
          </w:p>
          <w:p w14:paraId="69ECC219">
            <w:pPr>
              <w:pStyle w:val="14"/>
              <w:spacing w:after="0" w:afterLines="0"/>
              <w:rPr>
                <w:rFonts w:cs="Arial"/>
              </w:rPr>
            </w:pPr>
          </w:p>
          <w:p w14:paraId="3ADF2A60">
            <w:pPr>
              <w:tabs>
                <w:tab w:val="left" w:pos="1440"/>
              </w:tabs>
              <w:spacing w:after="0" w:afterLines="0"/>
              <w:rPr>
                <w:b/>
                <w:bCs/>
              </w:rPr>
            </w:pPr>
            <w:r>
              <w:rPr>
                <w:b/>
                <w:bCs/>
                <w:highlight w:val="green"/>
              </w:rPr>
              <w:t>Agreement</w:t>
            </w:r>
          </w:p>
          <w:p w14:paraId="1E6970EE">
            <w:pPr>
              <w:pStyle w:val="14"/>
              <w:spacing w:after="0" w:afterLines="0"/>
            </w:pPr>
            <w:r>
              <w:t xml:space="preserve">Confirm the following working assumption from RAN1#118bis. </w:t>
            </w:r>
          </w:p>
          <w:p w14:paraId="4E1E1BF3">
            <w:pPr>
              <w:tabs>
                <w:tab w:val="left" w:pos="1440"/>
              </w:tabs>
              <w:spacing w:after="0" w:afterLines="0"/>
              <w:rPr>
                <w:b/>
                <w:bCs/>
              </w:rPr>
            </w:pPr>
            <w:r>
              <w:rPr>
                <w:b/>
                <w:bCs/>
                <w:highlight w:val="darkYellow"/>
              </w:rPr>
              <w:t>Working Assumption</w:t>
            </w:r>
          </w:p>
          <w:p w14:paraId="742309AC">
            <w:pPr>
              <w:tabs>
                <w:tab w:val="left" w:pos="0"/>
              </w:tabs>
              <w:spacing w:after="0" w:afterLines="0"/>
            </w:pPr>
            <w:bookmarkStart w:id="3" w:name="_Hlk182811792"/>
            <w:r>
              <w:t xml:space="preserve">For DCI-based adaptation for additional PRACH resources, </w:t>
            </w:r>
            <w:bookmarkEnd w:id="3"/>
            <w:r>
              <w:t>at least DCI format 1_0 can carry the adaptation indication for UEs in idle/inactive and connected mode.</w:t>
            </w:r>
          </w:p>
          <w:p w14:paraId="7F3707DD">
            <w:pPr>
              <w:pStyle w:val="56"/>
              <w:numPr>
                <w:ilvl w:val="0"/>
                <w:numId w:val="13"/>
              </w:numPr>
              <w:tabs>
                <w:tab w:val="left" w:pos="800"/>
                <w:tab w:val="clear" w:pos="1440"/>
              </w:tabs>
              <w:spacing w:after="0" w:afterLines="0"/>
              <w:ind w:leftChars="0"/>
              <w:rPr>
                <w:lang w:val="en-US"/>
              </w:rPr>
            </w:pPr>
            <w:r>
              <w:t>P-RNTI is used</w:t>
            </w:r>
          </w:p>
        </w:tc>
      </w:tr>
    </w:tbl>
    <w:p w14:paraId="0BF691B7">
      <w:pPr>
        <w:spacing w:after="120"/>
        <w:rPr>
          <w:lang w:val="en-US"/>
        </w:rPr>
      </w:pPr>
    </w:p>
    <w:p w14:paraId="0D40DBA5">
      <w:pPr>
        <w:spacing w:after="120"/>
        <w:rPr>
          <w:lang w:val="en-US"/>
        </w:rPr>
      </w:pPr>
      <w:r>
        <w:rPr>
          <w:lang w:val="en-US"/>
        </w:rPr>
        <w:t xml:space="preserve">In general, we consider it necessary to configure condensed/clustered RACH resources for Rel-19 NES-capable UEs to achieve higher NES gain with increased UE access latency. The reason is re-stated as follows: </w:t>
      </w:r>
    </w:p>
    <w:p w14:paraId="0C370B55">
      <w:pPr>
        <w:spacing w:after="120"/>
        <w:rPr>
          <w:lang w:val="en-US"/>
        </w:rPr>
      </w:pPr>
      <w:r>
        <w:rPr>
          <w:lang w:val="en-US"/>
        </w:rPr>
        <w:t>Assuming that legacy UEs are configured with a PRACH resource with 80ms periodicity (illustrated in Fig.4 (a), assuming 2 SSBs and resulting in 160ms PRACH association pattern period for simplicity), for the additional PRACH resource, the maximum NES gain can be obtained when the additional PRACH resources are configured with 40ms periodicity, where 80ms PRACH association pattern period is resulted, see Fig.4(b). NW could enter sleep mode for almost 40ms if the additional PRACH resources are activated. If 10ms periodicity for additional PRACH resources are configured, NW could sleep for only 10ms, see Fig. 4(c)</w:t>
      </w:r>
    </w:p>
    <w:p w14:paraId="36BA6CCF">
      <w:pPr>
        <w:spacing w:after="120"/>
        <w:rPr>
          <w:lang w:val="en-US"/>
        </w:rPr>
      </w:pPr>
      <w:r>
        <w:rPr>
          <w:lang w:val="en-US"/>
        </w:rPr>
        <w:t>If a muting pattern is configured on top of the additional PRACH resources, either in SSB-to-RO mapping cycle level, PRACH association period level or PRACH association pattern period level, resulting in a condensed PRACH resource effect, then it would create more opportunities for NW sleeping without sacrificing UE RACH latency. In Fig.4(d), three PRACH association pattern periods (20ms) are muted, while the available pattern periods provides a 80ms access latency which is the same as Fig.4(b), while the NW sleep time is around 70ms which is almost doubled compared to Fig.4(b) by using 40ms PRACH configuration periodicity.</w:t>
      </w:r>
    </w:p>
    <w:p w14:paraId="28ED0C21">
      <w:pPr>
        <w:spacing w:after="120"/>
      </w:pPr>
      <w:r>
        <w:drawing>
          <wp:inline distT="0" distB="0" distL="114300" distR="114300">
            <wp:extent cx="5993130" cy="2999740"/>
            <wp:effectExtent l="0" t="0" r="1270" b="22860"/>
            <wp:docPr id="1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3"/>
                    <pic:cNvPicPr>
                      <a:picLocks noChangeAspect="1"/>
                    </pic:cNvPicPr>
                  </pic:nvPicPr>
                  <pic:blipFill>
                    <a:blip r:embed="rId7"/>
                    <a:stretch>
                      <a:fillRect/>
                    </a:stretch>
                  </pic:blipFill>
                  <pic:spPr>
                    <a:xfrm>
                      <a:off x="0" y="0"/>
                      <a:ext cx="5993130" cy="2999740"/>
                    </a:xfrm>
                    <a:prstGeom prst="rect">
                      <a:avLst/>
                    </a:prstGeom>
                    <a:noFill/>
                    <a:ln>
                      <a:noFill/>
                    </a:ln>
                  </pic:spPr>
                </pic:pic>
              </a:graphicData>
            </a:graphic>
          </wp:inline>
        </w:drawing>
      </w:r>
    </w:p>
    <w:p w14:paraId="28F71A0B">
      <w:pPr>
        <w:spacing w:after="120"/>
        <w:jc w:val="center"/>
        <w:rPr>
          <w:lang w:val="en-US"/>
        </w:rPr>
      </w:pPr>
      <w:r>
        <w:rPr>
          <w:rFonts w:ascii="Times New Roman Bold" w:hAnsi="Times New Roman Bold" w:cs="Times New Roman Bold"/>
          <w:b/>
          <w:bCs/>
          <w:lang w:val="en-US"/>
        </w:rPr>
        <w:t>Fig.4 Muting in Association pattern period to create condensed PRACH resources</w:t>
      </w:r>
    </w:p>
    <w:p w14:paraId="2AAED97C">
      <w:pPr>
        <w:spacing w:after="120"/>
        <w:rPr>
          <w:lang w:val="en-US"/>
        </w:rPr>
      </w:pPr>
    </w:p>
    <w:p w14:paraId="10DA3A73">
      <w:pPr>
        <w:spacing w:after="120"/>
        <w:rPr>
          <w:lang w:val="en-US"/>
        </w:rPr>
      </w:pPr>
      <w:r>
        <w:rPr>
          <w:lang w:val="en-US"/>
        </w:rPr>
        <w:t>To provide more design details and narrow down the options, we propose to consider providing the PRACH mask in PRACH association period level for the following reasons:</w:t>
      </w:r>
    </w:p>
    <w:p w14:paraId="1F00FD6F">
      <w:pPr>
        <w:numPr>
          <w:ilvl w:val="0"/>
          <w:numId w:val="16"/>
        </w:numPr>
        <w:spacing w:after="120"/>
        <w:rPr>
          <w:lang w:val="en-US"/>
        </w:rPr>
      </w:pPr>
      <w:r>
        <w:rPr>
          <w:lang w:val="en-US"/>
        </w:rPr>
        <w:t>PRACH association period provides full time-domain PRACH adaptation</w:t>
      </w:r>
    </w:p>
    <w:p w14:paraId="040752E2">
      <w:pPr>
        <w:numPr>
          <w:ilvl w:val="0"/>
          <w:numId w:val="16"/>
        </w:numPr>
        <w:spacing w:after="120"/>
        <w:rPr>
          <w:lang w:val="en-US"/>
        </w:rPr>
      </w:pPr>
      <w:r>
        <w:rPr>
          <w:lang w:val="en-US"/>
        </w:rPr>
        <w:t>PRACH association period level mask provides more flexibility than PRACH association pattern period</w:t>
      </w:r>
    </w:p>
    <w:p w14:paraId="28036D7D">
      <w:pPr>
        <w:spacing w:after="120"/>
        <w:rPr>
          <w:lang w:val="en-US"/>
        </w:rPr>
      </w:pPr>
      <w:r>
        <w:rPr>
          <w:lang w:val="en-US"/>
        </w:rPr>
        <w:t>Examples of the PRACH mask are provided in the following tables.</w:t>
      </w:r>
    </w:p>
    <w:p w14:paraId="268C0F88">
      <w:pPr>
        <w:spacing w:after="120"/>
        <w:jc w:val="center"/>
        <w:rPr>
          <w:lang w:val="en-US"/>
        </w:rPr>
      </w:pPr>
      <w:r>
        <w:rPr>
          <w:lang w:val="en-US"/>
        </w:rPr>
        <w:t>Table 1 PRACH association period mask Example 1 with 2bits Mask index</w:t>
      </w:r>
    </w:p>
    <w:tbl>
      <w:tblPr>
        <w:tblStyle w:val="2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05"/>
        <w:gridCol w:w="3973"/>
      </w:tblGrid>
      <w:tr w14:paraId="7193AFB7">
        <w:trPr>
          <w:jc w:val="center"/>
        </w:trPr>
        <w:tc>
          <w:tcPr>
            <w:tcW w:w="1405" w:type="dxa"/>
          </w:tcPr>
          <w:p w14:paraId="663C93F2">
            <w:pPr>
              <w:spacing w:after="120"/>
              <w:jc w:val="center"/>
              <w:rPr>
                <w:lang w:val="en-US"/>
              </w:rPr>
            </w:pPr>
            <w:r>
              <w:rPr>
                <w:lang w:val="en-US"/>
              </w:rPr>
              <w:t>Mask index</w:t>
            </w:r>
          </w:p>
        </w:tc>
        <w:tc>
          <w:tcPr>
            <w:tcW w:w="3973" w:type="dxa"/>
          </w:tcPr>
          <w:p w14:paraId="3D0485F4">
            <w:pPr>
              <w:spacing w:after="120"/>
              <w:jc w:val="center"/>
              <w:rPr>
                <w:lang w:val="en-US"/>
              </w:rPr>
            </w:pPr>
            <w:r>
              <w:rPr>
                <w:lang w:val="en-US"/>
              </w:rPr>
              <w:t>PRACH association period mask</w:t>
            </w:r>
          </w:p>
        </w:tc>
      </w:tr>
      <w:tr w14:paraId="3D1EAD0A">
        <w:trPr>
          <w:jc w:val="center"/>
        </w:trPr>
        <w:tc>
          <w:tcPr>
            <w:tcW w:w="1405" w:type="dxa"/>
          </w:tcPr>
          <w:p w14:paraId="49C8E3A9">
            <w:pPr>
              <w:spacing w:after="120"/>
              <w:jc w:val="center"/>
              <w:rPr>
                <w:lang w:val="en-US"/>
              </w:rPr>
            </w:pPr>
            <w:r>
              <w:rPr>
                <w:lang w:val="en-US"/>
              </w:rPr>
              <w:t>0</w:t>
            </w:r>
          </w:p>
        </w:tc>
        <w:tc>
          <w:tcPr>
            <w:tcW w:w="3973" w:type="dxa"/>
          </w:tcPr>
          <w:p w14:paraId="3AD29EB1">
            <w:pPr>
              <w:spacing w:after="120"/>
              <w:jc w:val="center"/>
              <w:rPr>
                <w:lang w:val="en-US"/>
              </w:rPr>
            </w:pPr>
            <w:r>
              <w:rPr>
                <w:lang w:val="en-US"/>
              </w:rPr>
              <w:t>1</w:t>
            </w:r>
            <w:r>
              <w:rPr>
                <w:vertAlign w:val="superscript"/>
                <w:lang w:val="en-US"/>
              </w:rPr>
              <w:t>st</w:t>
            </w:r>
            <w:r>
              <w:rPr>
                <w:lang w:val="en-US"/>
              </w:rPr>
              <w:t xml:space="preserve"> half of N PRACH association periods </w:t>
            </w:r>
          </w:p>
        </w:tc>
      </w:tr>
      <w:tr w14:paraId="41624660">
        <w:trPr>
          <w:trHeight w:val="326" w:hRule="atLeast"/>
          <w:jc w:val="center"/>
        </w:trPr>
        <w:tc>
          <w:tcPr>
            <w:tcW w:w="1405" w:type="dxa"/>
          </w:tcPr>
          <w:p w14:paraId="5CE13013">
            <w:pPr>
              <w:spacing w:after="120"/>
              <w:jc w:val="center"/>
              <w:rPr>
                <w:lang w:val="en-US"/>
              </w:rPr>
            </w:pPr>
            <w:r>
              <w:rPr>
                <w:lang w:val="en-US"/>
              </w:rPr>
              <w:t>1</w:t>
            </w:r>
          </w:p>
        </w:tc>
        <w:tc>
          <w:tcPr>
            <w:tcW w:w="3973" w:type="dxa"/>
          </w:tcPr>
          <w:p w14:paraId="45FE21C4">
            <w:pPr>
              <w:spacing w:after="120"/>
              <w:jc w:val="center"/>
              <w:rPr>
                <w:lang w:val="en-US"/>
              </w:rPr>
            </w:pPr>
            <w:r>
              <w:rPr>
                <w:lang w:val="en-US"/>
              </w:rPr>
              <w:t>2</w:t>
            </w:r>
            <w:r>
              <w:rPr>
                <w:vertAlign w:val="superscript"/>
                <w:lang w:val="en-US"/>
              </w:rPr>
              <w:t>nd</w:t>
            </w:r>
            <w:r>
              <w:rPr>
                <w:lang w:val="en-US"/>
              </w:rPr>
              <w:t xml:space="preserve"> half of N PRACH association periods</w:t>
            </w:r>
          </w:p>
        </w:tc>
      </w:tr>
      <w:tr w14:paraId="355E2E18">
        <w:trPr>
          <w:jc w:val="center"/>
        </w:trPr>
        <w:tc>
          <w:tcPr>
            <w:tcW w:w="1405" w:type="dxa"/>
          </w:tcPr>
          <w:p w14:paraId="7232B979">
            <w:pPr>
              <w:spacing w:after="120"/>
              <w:jc w:val="center"/>
              <w:rPr>
                <w:lang w:val="en-US"/>
              </w:rPr>
            </w:pPr>
            <w:r>
              <w:rPr>
                <w:lang w:val="en-US"/>
              </w:rPr>
              <w:t>2</w:t>
            </w:r>
          </w:p>
        </w:tc>
        <w:tc>
          <w:tcPr>
            <w:tcW w:w="3973" w:type="dxa"/>
            <w:shd w:val="clear" w:color="auto" w:fill="auto"/>
          </w:tcPr>
          <w:p w14:paraId="1F0246AD">
            <w:pPr>
              <w:spacing w:after="120"/>
              <w:jc w:val="center"/>
              <w:rPr>
                <w:lang w:val="en-US"/>
              </w:rPr>
            </w:pPr>
            <w:r>
              <w:rPr>
                <w:lang w:val="en-US"/>
              </w:rPr>
              <w:t>Every odd PRACH association periods</w:t>
            </w:r>
          </w:p>
        </w:tc>
      </w:tr>
      <w:tr w14:paraId="05023146">
        <w:trPr>
          <w:jc w:val="center"/>
        </w:trPr>
        <w:tc>
          <w:tcPr>
            <w:tcW w:w="1405" w:type="dxa"/>
          </w:tcPr>
          <w:p w14:paraId="791B20FD">
            <w:pPr>
              <w:spacing w:after="120"/>
              <w:jc w:val="center"/>
              <w:rPr>
                <w:lang w:val="en-US"/>
              </w:rPr>
            </w:pPr>
            <w:r>
              <w:rPr>
                <w:lang w:val="en-US"/>
              </w:rPr>
              <w:t>3</w:t>
            </w:r>
          </w:p>
        </w:tc>
        <w:tc>
          <w:tcPr>
            <w:tcW w:w="3973" w:type="dxa"/>
            <w:shd w:val="clear" w:color="auto" w:fill="auto"/>
          </w:tcPr>
          <w:p w14:paraId="20CD74AF">
            <w:pPr>
              <w:spacing w:after="120"/>
              <w:jc w:val="center"/>
              <w:rPr>
                <w:lang w:val="en-US"/>
              </w:rPr>
            </w:pPr>
            <w:r>
              <w:rPr>
                <w:lang w:val="en-US"/>
              </w:rPr>
              <w:t>Every even PRACH association periods</w:t>
            </w:r>
          </w:p>
        </w:tc>
      </w:tr>
    </w:tbl>
    <w:p w14:paraId="4028F9C9">
      <w:pPr>
        <w:spacing w:after="120"/>
        <w:jc w:val="center"/>
        <w:rPr>
          <w:lang w:val="en-US"/>
        </w:rPr>
      </w:pPr>
    </w:p>
    <w:p w14:paraId="7F036610">
      <w:pPr>
        <w:spacing w:after="120"/>
        <w:jc w:val="center"/>
        <w:rPr>
          <w:lang w:val="en-US"/>
        </w:rPr>
      </w:pPr>
      <w:r>
        <w:rPr>
          <w:lang w:val="en-US"/>
        </w:rPr>
        <w:t>Table 2 PRACH association period mask Example 2 with 2bits Mask index</w:t>
      </w:r>
    </w:p>
    <w:tbl>
      <w:tblPr>
        <w:tblStyle w:val="2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05"/>
        <w:gridCol w:w="3986"/>
      </w:tblGrid>
      <w:tr w14:paraId="0465ABD0">
        <w:trPr>
          <w:jc w:val="center"/>
        </w:trPr>
        <w:tc>
          <w:tcPr>
            <w:tcW w:w="1405" w:type="dxa"/>
          </w:tcPr>
          <w:p w14:paraId="406F700B">
            <w:pPr>
              <w:spacing w:after="120"/>
              <w:jc w:val="center"/>
              <w:rPr>
                <w:lang w:val="en-US"/>
              </w:rPr>
            </w:pPr>
            <w:r>
              <w:rPr>
                <w:lang w:val="en-US"/>
              </w:rPr>
              <w:t>Mask index</w:t>
            </w:r>
          </w:p>
        </w:tc>
        <w:tc>
          <w:tcPr>
            <w:tcW w:w="3986" w:type="dxa"/>
          </w:tcPr>
          <w:p w14:paraId="0E2A35FC">
            <w:pPr>
              <w:spacing w:after="120"/>
              <w:jc w:val="center"/>
              <w:rPr>
                <w:lang w:val="en-US"/>
              </w:rPr>
            </w:pPr>
            <w:r>
              <w:rPr>
                <w:lang w:val="en-US"/>
              </w:rPr>
              <w:t>PRACH association period mask</w:t>
            </w:r>
          </w:p>
        </w:tc>
      </w:tr>
      <w:tr w14:paraId="3F4972AB">
        <w:trPr>
          <w:jc w:val="center"/>
        </w:trPr>
        <w:tc>
          <w:tcPr>
            <w:tcW w:w="1405" w:type="dxa"/>
          </w:tcPr>
          <w:p w14:paraId="4B7D04EE">
            <w:pPr>
              <w:spacing w:after="120"/>
              <w:jc w:val="center"/>
              <w:rPr>
                <w:lang w:val="en-US"/>
              </w:rPr>
            </w:pPr>
            <w:r>
              <w:rPr>
                <w:lang w:val="en-US"/>
              </w:rPr>
              <w:t>0</w:t>
            </w:r>
          </w:p>
        </w:tc>
        <w:tc>
          <w:tcPr>
            <w:tcW w:w="3986" w:type="dxa"/>
          </w:tcPr>
          <w:p w14:paraId="16330B69">
            <w:pPr>
              <w:spacing w:after="120"/>
              <w:jc w:val="center"/>
              <w:rPr>
                <w:lang w:val="en-US"/>
              </w:rPr>
            </w:pPr>
            <w:r>
              <w:rPr>
                <w:lang w:val="en-US"/>
              </w:rPr>
              <w:t>1</w:t>
            </w:r>
            <w:r>
              <w:rPr>
                <w:vertAlign w:val="superscript"/>
                <w:lang w:val="en-US"/>
              </w:rPr>
              <w:t>st</w:t>
            </w:r>
            <w:r>
              <w:rPr>
                <w:lang w:val="en-US"/>
              </w:rPr>
              <w:t xml:space="preserve"> half of N PRACH association periods</w:t>
            </w:r>
          </w:p>
        </w:tc>
      </w:tr>
      <w:tr w14:paraId="442E87BB">
        <w:trPr>
          <w:jc w:val="center"/>
        </w:trPr>
        <w:tc>
          <w:tcPr>
            <w:tcW w:w="1405" w:type="dxa"/>
          </w:tcPr>
          <w:p w14:paraId="7FC0D472">
            <w:pPr>
              <w:spacing w:after="120"/>
              <w:jc w:val="center"/>
              <w:rPr>
                <w:lang w:val="en-US"/>
              </w:rPr>
            </w:pPr>
            <w:r>
              <w:rPr>
                <w:lang w:val="en-US"/>
              </w:rPr>
              <w:t>1</w:t>
            </w:r>
          </w:p>
        </w:tc>
        <w:tc>
          <w:tcPr>
            <w:tcW w:w="3986" w:type="dxa"/>
          </w:tcPr>
          <w:p w14:paraId="23A320D0">
            <w:pPr>
              <w:spacing w:after="120"/>
              <w:jc w:val="center"/>
              <w:rPr>
                <w:lang w:val="en-US"/>
              </w:rPr>
            </w:pPr>
            <w:r>
              <w:rPr>
                <w:lang w:val="en-US"/>
              </w:rPr>
              <w:t>Every odd PRACH association periods</w:t>
            </w:r>
          </w:p>
        </w:tc>
      </w:tr>
      <w:tr w14:paraId="2A27DE51">
        <w:trPr>
          <w:jc w:val="center"/>
        </w:trPr>
        <w:tc>
          <w:tcPr>
            <w:tcW w:w="1405" w:type="dxa"/>
          </w:tcPr>
          <w:p w14:paraId="4819E54D">
            <w:pPr>
              <w:spacing w:after="120"/>
              <w:jc w:val="center"/>
              <w:rPr>
                <w:lang w:val="en-US"/>
              </w:rPr>
            </w:pPr>
            <w:r>
              <w:rPr>
                <w:lang w:val="en-US"/>
              </w:rPr>
              <w:t>2</w:t>
            </w:r>
          </w:p>
        </w:tc>
        <w:tc>
          <w:tcPr>
            <w:tcW w:w="3986" w:type="dxa"/>
            <w:shd w:val="clear" w:color="auto" w:fill="auto"/>
          </w:tcPr>
          <w:p w14:paraId="247EA90B">
            <w:pPr>
              <w:spacing w:after="120"/>
              <w:jc w:val="center"/>
              <w:rPr>
                <w:lang w:val="en-US"/>
              </w:rPr>
            </w:pPr>
            <w:r>
              <w:rPr>
                <w:lang w:val="en-US"/>
              </w:rPr>
              <w:t>1</w:t>
            </w:r>
            <w:r>
              <w:rPr>
                <w:vertAlign w:val="superscript"/>
                <w:lang w:val="en-US"/>
              </w:rPr>
              <w:t>st</w:t>
            </w:r>
            <w:r>
              <w:rPr>
                <w:lang w:val="en-US"/>
              </w:rPr>
              <w:t xml:space="preserve"> quarter of N PRACH association periods</w:t>
            </w:r>
          </w:p>
        </w:tc>
      </w:tr>
      <w:tr w14:paraId="592EA223">
        <w:trPr>
          <w:jc w:val="center"/>
        </w:trPr>
        <w:tc>
          <w:tcPr>
            <w:tcW w:w="1405" w:type="dxa"/>
          </w:tcPr>
          <w:p w14:paraId="5688A2AA">
            <w:pPr>
              <w:spacing w:after="120"/>
              <w:jc w:val="center"/>
              <w:rPr>
                <w:lang w:val="en-US"/>
              </w:rPr>
            </w:pPr>
            <w:r>
              <w:rPr>
                <w:lang w:val="en-US"/>
              </w:rPr>
              <w:t>3</w:t>
            </w:r>
          </w:p>
        </w:tc>
        <w:tc>
          <w:tcPr>
            <w:tcW w:w="3986" w:type="dxa"/>
            <w:shd w:val="clear" w:color="auto" w:fill="auto"/>
          </w:tcPr>
          <w:p w14:paraId="52D53A69">
            <w:pPr>
              <w:spacing w:after="120"/>
              <w:jc w:val="center"/>
              <w:rPr>
                <w:lang w:val="en-US"/>
              </w:rPr>
            </w:pPr>
            <w:r>
              <w:rPr>
                <w:lang w:val="en-US"/>
              </w:rPr>
              <w:t>1</w:t>
            </w:r>
            <w:r>
              <w:rPr>
                <w:vertAlign w:val="superscript"/>
                <w:lang w:val="en-US"/>
              </w:rPr>
              <w:t>st</w:t>
            </w:r>
            <w:r>
              <w:rPr>
                <w:lang w:val="en-US"/>
              </w:rPr>
              <w:t xml:space="preserve"> of N PRACH association periods</w:t>
            </w:r>
          </w:p>
        </w:tc>
      </w:tr>
    </w:tbl>
    <w:p w14:paraId="6D0F0A4E">
      <w:pPr>
        <w:spacing w:after="120"/>
        <w:rPr>
          <w:lang w:val="en-US"/>
        </w:rPr>
      </w:pPr>
    </w:p>
    <w:p w14:paraId="750B3A42">
      <w:pPr>
        <w:spacing w:after="120"/>
        <w:jc w:val="center"/>
        <w:rPr>
          <w:lang w:val="en-US"/>
        </w:rPr>
      </w:pPr>
      <w:r>
        <w:rPr>
          <w:lang w:val="en-US"/>
        </w:rPr>
        <w:t>Table3 PRACH association period mask Example 3 with 3bits Mask index</w:t>
      </w:r>
    </w:p>
    <w:tbl>
      <w:tblPr>
        <w:tblStyle w:val="2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05"/>
        <w:gridCol w:w="3986"/>
      </w:tblGrid>
      <w:tr w14:paraId="3953705C">
        <w:trPr>
          <w:jc w:val="center"/>
        </w:trPr>
        <w:tc>
          <w:tcPr>
            <w:tcW w:w="1405" w:type="dxa"/>
          </w:tcPr>
          <w:p w14:paraId="4AC6F3C8">
            <w:pPr>
              <w:spacing w:after="120"/>
              <w:jc w:val="center"/>
              <w:rPr>
                <w:lang w:val="en-US"/>
              </w:rPr>
            </w:pPr>
            <w:r>
              <w:rPr>
                <w:lang w:val="en-US"/>
              </w:rPr>
              <w:t>Mask index</w:t>
            </w:r>
          </w:p>
        </w:tc>
        <w:tc>
          <w:tcPr>
            <w:tcW w:w="3986" w:type="dxa"/>
          </w:tcPr>
          <w:p w14:paraId="4D831898">
            <w:pPr>
              <w:spacing w:after="120"/>
              <w:jc w:val="center"/>
              <w:rPr>
                <w:lang w:val="en-US"/>
              </w:rPr>
            </w:pPr>
            <w:r>
              <w:rPr>
                <w:lang w:val="en-US"/>
              </w:rPr>
              <w:t>PRACH association period mask</w:t>
            </w:r>
          </w:p>
        </w:tc>
      </w:tr>
      <w:tr w14:paraId="2F741FF4">
        <w:trPr>
          <w:jc w:val="center"/>
        </w:trPr>
        <w:tc>
          <w:tcPr>
            <w:tcW w:w="1405" w:type="dxa"/>
          </w:tcPr>
          <w:p w14:paraId="510A5DE6">
            <w:pPr>
              <w:spacing w:after="120"/>
              <w:jc w:val="center"/>
              <w:rPr>
                <w:lang w:val="en-US"/>
              </w:rPr>
            </w:pPr>
            <w:r>
              <w:rPr>
                <w:lang w:val="en-US"/>
              </w:rPr>
              <w:t>0</w:t>
            </w:r>
          </w:p>
        </w:tc>
        <w:tc>
          <w:tcPr>
            <w:tcW w:w="3986" w:type="dxa"/>
          </w:tcPr>
          <w:p w14:paraId="15C130A6">
            <w:pPr>
              <w:spacing w:after="120"/>
              <w:jc w:val="center"/>
              <w:rPr>
                <w:lang w:val="en-US"/>
              </w:rPr>
            </w:pPr>
            <w:r>
              <w:rPr>
                <w:lang w:val="en-US"/>
              </w:rPr>
              <w:t>1</w:t>
            </w:r>
            <w:r>
              <w:rPr>
                <w:vertAlign w:val="superscript"/>
                <w:lang w:val="en-US"/>
              </w:rPr>
              <w:t>st</w:t>
            </w:r>
            <w:r>
              <w:rPr>
                <w:lang w:val="en-US"/>
              </w:rPr>
              <w:t xml:space="preserve"> half of N PRACH association periods </w:t>
            </w:r>
          </w:p>
        </w:tc>
      </w:tr>
      <w:tr w14:paraId="3C535ABF">
        <w:trPr>
          <w:jc w:val="center"/>
        </w:trPr>
        <w:tc>
          <w:tcPr>
            <w:tcW w:w="1405" w:type="dxa"/>
          </w:tcPr>
          <w:p w14:paraId="14FAB0B4">
            <w:pPr>
              <w:spacing w:after="120"/>
              <w:jc w:val="center"/>
              <w:rPr>
                <w:lang w:val="en-US"/>
              </w:rPr>
            </w:pPr>
            <w:r>
              <w:rPr>
                <w:lang w:val="en-US"/>
              </w:rPr>
              <w:t>1</w:t>
            </w:r>
          </w:p>
        </w:tc>
        <w:tc>
          <w:tcPr>
            <w:tcW w:w="3986" w:type="dxa"/>
          </w:tcPr>
          <w:p w14:paraId="7059B3CB">
            <w:pPr>
              <w:spacing w:after="120"/>
              <w:jc w:val="center"/>
              <w:rPr>
                <w:lang w:val="en-US"/>
              </w:rPr>
            </w:pPr>
            <w:r>
              <w:rPr>
                <w:lang w:val="en-US"/>
              </w:rPr>
              <w:t>2</w:t>
            </w:r>
            <w:r>
              <w:rPr>
                <w:vertAlign w:val="superscript"/>
                <w:lang w:val="en-US"/>
              </w:rPr>
              <w:t>nd</w:t>
            </w:r>
            <w:r>
              <w:rPr>
                <w:lang w:val="en-US"/>
              </w:rPr>
              <w:t xml:space="preserve"> half of N PRACH association periods</w:t>
            </w:r>
          </w:p>
        </w:tc>
      </w:tr>
      <w:tr w14:paraId="2E9C20DB">
        <w:trPr>
          <w:jc w:val="center"/>
        </w:trPr>
        <w:tc>
          <w:tcPr>
            <w:tcW w:w="1405" w:type="dxa"/>
          </w:tcPr>
          <w:p w14:paraId="64CD2FB8">
            <w:pPr>
              <w:spacing w:after="120"/>
              <w:jc w:val="center"/>
              <w:rPr>
                <w:lang w:val="en-US"/>
              </w:rPr>
            </w:pPr>
            <w:r>
              <w:rPr>
                <w:lang w:val="en-US"/>
              </w:rPr>
              <w:t>2</w:t>
            </w:r>
          </w:p>
        </w:tc>
        <w:tc>
          <w:tcPr>
            <w:tcW w:w="3986" w:type="dxa"/>
            <w:shd w:val="clear" w:color="auto" w:fill="auto"/>
          </w:tcPr>
          <w:p w14:paraId="2EAC99FC">
            <w:pPr>
              <w:spacing w:after="120"/>
              <w:jc w:val="center"/>
              <w:rPr>
                <w:lang w:val="en-US"/>
              </w:rPr>
            </w:pPr>
            <w:r>
              <w:rPr>
                <w:lang w:val="en-US"/>
              </w:rPr>
              <w:t>Every odd PRACH association periods</w:t>
            </w:r>
          </w:p>
        </w:tc>
      </w:tr>
      <w:tr w14:paraId="6E6F4015">
        <w:trPr>
          <w:jc w:val="center"/>
        </w:trPr>
        <w:tc>
          <w:tcPr>
            <w:tcW w:w="1405" w:type="dxa"/>
          </w:tcPr>
          <w:p w14:paraId="36A52FE6">
            <w:pPr>
              <w:spacing w:after="120"/>
              <w:jc w:val="center"/>
              <w:rPr>
                <w:lang w:val="en-US"/>
              </w:rPr>
            </w:pPr>
            <w:r>
              <w:rPr>
                <w:lang w:val="en-US"/>
              </w:rPr>
              <w:t>3</w:t>
            </w:r>
          </w:p>
        </w:tc>
        <w:tc>
          <w:tcPr>
            <w:tcW w:w="3986" w:type="dxa"/>
            <w:shd w:val="clear" w:color="auto" w:fill="auto"/>
          </w:tcPr>
          <w:p w14:paraId="7A2B6930">
            <w:pPr>
              <w:spacing w:after="120"/>
              <w:jc w:val="center"/>
              <w:rPr>
                <w:lang w:val="en-US"/>
              </w:rPr>
            </w:pPr>
            <w:r>
              <w:rPr>
                <w:lang w:val="en-US"/>
              </w:rPr>
              <w:t>Every even PRACH association periods</w:t>
            </w:r>
          </w:p>
        </w:tc>
      </w:tr>
      <w:tr w14:paraId="327E9FA4">
        <w:trPr>
          <w:jc w:val="center"/>
        </w:trPr>
        <w:tc>
          <w:tcPr>
            <w:tcW w:w="1405" w:type="dxa"/>
          </w:tcPr>
          <w:p w14:paraId="3CFA6A2D">
            <w:pPr>
              <w:spacing w:after="120"/>
              <w:jc w:val="center"/>
              <w:rPr>
                <w:lang w:val="en-US"/>
              </w:rPr>
            </w:pPr>
            <w:r>
              <w:rPr>
                <w:lang w:val="en-US"/>
              </w:rPr>
              <w:t>4</w:t>
            </w:r>
          </w:p>
        </w:tc>
        <w:tc>
          <w:tcPr>
            <w:tcW w:w="3986" w:type="dxa"/>
            <w:shd w:val="clear" w:color="auto" w:fill="auto"/>
          </w:tcPr>
          <w:p w14:paraId="6DC8269F">
            <w:pPr>
              <w:spacing w:after="120"/>
              <w:jc w:val="center"/>
              <w:rPr>
                <w:lang w:val="en-US"/>
              </w:rPr>
            </w:pPr>
            <w:r>
              <w:rPr>
                <w:lang w:val="en-US"/>
              </w:rPr>
              <w:t>1</w:t>
            </w:r>
            <w:r>
              <w:rPr>
                <w:vertAlign w:val="superscript"/>
                <w:lang w:val="en-US"/>
              </w:rPr>
              <w:t>st</w:t>
            </w:r>
            <w:r>
              <w:rPr>
                <w:lang w:val="en-US"/>
              </w:rPr>
              <w:t xml:space="preserve"> quarter of N PRACH association periods</w:t>
            </w:r>
          </w:p>
        </w:tc>
      </w:tr>
      <w:tr w14:paraId="6D86A723">
        <w:trPr>
          <w:jc w:val="center"/>
        </w:trPr>
        <w:tc>
          <w:tcPr>
            <w:tcW w:w="1405" w:type="dxa"/>
          </w:tcPr>
          <w:p w14:paraId="3EBF3669">
            <w:pPr>
              <w:spacing w:after="120"/>
              <w:jc w:val="center"/>
              <w:rPr>
                <w:lang w:val="en-US"/>
              </w:rPr>
            </w:pPr>
            <w:r>
              <w:rPr>
                <w:lang w:val="en-US"/>
              </w:rPr>
              <w:t>5</w:t>
            </w:r>
          </w:p>
        </w:tc>
        <w:tc>
          <w:tcPr>
            <w:tcW w:w="3986" w:type="dxa"/>
            <w:shd w:val="clear" w:color="auto" w:fill="auto"/>
          </w:tcPr>
          <w:p w14:paraId="48974032">
            <w:pPr>
              <w:spacing w:after="120"/>
              <w:jc w:val="center"/>
              <w:rPr>
                <w:lang w:val="en-US"/>
              </w:rPr>
            </w:pPr>
            <w:r>
              <w:rPr>
                <w:lang w:val="en-US"/>
              </w:rPr>
              <w:t>2</w:t>
            </w:r>
            <w:r>
              <w:rPr>
                <w:vertAlign w:val="superscript"/>
                <w:lang w:val="en-US"/>
              </w:rPr>
              <w:t>nd</w:t>
            </w:r>
            <w:r>
              <w:rPr>
                <w:lang w:val="en-US"/>
              </w:rPr>
              <w:t xml:space="preserve"> quarter of N PRACH association periods</w:t>
            </w:r>
          </w:p>
        </w:tc>
      </w:tr>
      <w:tr w14:paraId="0F994495">
        <w:trPr>
          <w:jc w:val="center"/>
        </w:trPr>
        <w:tc>
          <w:tcPr>
            <w:tcW w:w="1405" w:type="dxa"/>
          </w:tcPr>
          <w:p w14:paraId="61C6D5E9">
            <w:pPr>
              <w:spacing w:after="120"/>
              <w:jc w:val="center"/>
              <w:rPr>
                <w:lang w:val="en-US"/>
              </w:rPr>
            </w:pPr>
            <w:r>
              <w:rPr>
                <w:lang w:val="en-US"/>
              </w:rPr>
              <w:t>6</w:t>
            </w:r>
          </w:p>
        </w:tc>
        <w:tc>
          <w:tcPr>
            <w:tcW w:w="3986" w:type="dxa"/>
            <w:shd w:val="clear" w:color="auto" w:fill="auto"/>
          </w:tcPr>
          <w:p w14:paraId="24093093">
            <w:pPr>
              <w:spacing w:after="120"/>
              <w:jc w:val="center"/>
              <w:rPr>
                <w:lang w:val="en-US"/>
              </w:rPr>
            </w:pPr>
            <w:r>
              <w:rPr>
                <w:lang w:val="en-US"/>
              </w:rPr>
              <w:t>3</w:t>
            </w:r>
            <w:r>
              <w:rPr>
                <w:vertAlign w:val="superscript"/>
                <w:lang w:val="en-US"/>
              </w:rPr>
              <w:t>rd</w:t>
            </w:r>
            <w:r>
              <w:rPr>
                <w:lang w:val="en-US"/>
              </w:rPr>
              <w:t xml:space="preserve"> quarter of N PRACH association periods</w:t>
            </w:r>
          </w:p>
        </w:tc>
      </w:tr>
      <w:tr w14:paraId="1C5D4F8C">
        <w:trPr>
          <w:jc w:val="center"/>
        </w:trPr>
        <w:tc>
          <w:tcPr>
            <w:tcW w:w="1405" w:type="dxa"/>
          </w:tcPr>
          <w:p w14:paraId="05E8BF0E">
            <w:pPr>
              <w:spacing w:after="120"/>
              <w:jc w:val="center"/>
              <w:rPr>
                <w:lang w:val="en-US"/>
              </w:rPr>
            </w:pPr>
            <w:r>
              <w:rPr>
                <w:lang w:val="en-US"/>
              </w:rPr>
              <w:t>7</w:t>
            </w:r>
          </w:p>
        </w:tc>
        <w:tc>
          <w:tcPr>
            <w:tcW w:w="3986" w:type="dxa"/>
            <w:shd w:val="clear" w:color="auto" w:fill="auto"/>
          </w:tcPr>
          <w:p w14:paraId="4CF63508">
            <w:pPr>
              <w:spacing w:after="120"/>
              <w:jc w:val="center"/>
              <w:rPr>
                <w:lang w:val="en-US"/>
              </w:rPr>
            </w:pPr>
            <w:r>
              <w:rPr>
                <w:lang w:val="en-US"/>
              </w:rPr>
              <w:t>4</w:t>
            </w:r>
            <w:r>
              <w:rPr>
                <w:vertAlign w:val="superscript"/>
                <w:lang w:val="en-US"/>
              </w:rPr>
              <w:t>th</w:t>
            </w:r>
            <w:r>
              <w:rPr>
                <w:lang w:val="en-US"/>
              </w:rPr>
              <w:t xml:space="preserve"> quarter of N PRACH association periods</w:t>
            </w:r>
          </w:p>
        </w:tc>
      </w:tr>
    </w:tbl>
    <w:p w14:paraId="42C166F4">
      <w:pPr>
        <w:spacing w:after="120"/>
        <w:rPr>
          <w:lang w:val="en-US"/>
        </w:rPr>
      </w:pPr>
    </w:p>
    <w:p w14:paraId="10978838">
      <w:pPr>
        <w:spacing w:after="120"/>
        <w:rPr>
          <w:rFonts w:ascii="Times New Roman Bold" w:hAnsi="Times New Roman Bold" w:cs="Times New Roman Bold"/>
          <w:b/>
          <w:bCs/>
          <w:lang w:val="en-US"/>
        </w:rPr>
      </w:pPr>
      <w:r>
        <w:rPr>
          <w:rFonts w:ascii="Times New Roman Bold" w:hAnsi="Times New Roman Bold" w:cs="Times New Roman Bold"/>
          <w:b/>
          <w:bCs/>
          <w:lang w:val="en-US"/>
        </w:rPr>
        <w:t>Proposal 8: A single PRACH mask in PRACH association period level can be configured in SIB1.</w:t>
      </w:r>
    </w:p>
    <w:p w14:paraId="20517D33">
      <w:pPr>
        <w:spacing w:after="120"/>
        <w:rPr>
          <w:lang w:val="en-US"/>
        </w:rPr>
      </w:pPr>
      <w:r>
        <w:rPr>
          <w:lang w:val="en-US"/>
        </w:rPr>
        <w:t xml:space="preserve">For Table.1 and Table.2, only 2bits are needed for the PRACH mask. For Table.1, the same density of PRACH association patterns are assumed. For Table.2, we are trying to provide a solution to also consider different densities of the PRACH mask. As shown in Fig. 5, Mask #0 and Mask #1 are inherited from Table.1 while Mask #3 and Mask #4 are providing fewer usable PRACH association periods and the duration for NW to stop monitoring PRACH can be larger. However, due to the limited size of the table, the location of the usable PRACH association periods are limited. In Table.3, a larger table with 3bits is provided, trying to leverage between signaling overhead and flexibility to achieve higher NES gain. </w:t>
      </w:r>
    </w:p>
    <w:p w14:paraId="713CD17C">
      <w:pPr>
        <w:spacing w:after="120"/>
      </w:pPr>
    </w:p>
    <w:p w14:paraId="453D7895">
      <w:pPr>
        <w:spacing w:after="120"/>
        <w:jc w:val="center"/>
      </w:pPr>
      <w:r>
        <w:drawing>
          <wp:inline distT="0" distB="0" distL="114300" distR="114300">
            <wp:extent cx="3641090" cy="1699260"/>
            <wp:effectExtent l="0" t="0" r="16510" b="2540"/>
            <wp:docPr id="1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2"/>
                    <pic:cNvPicPr>
                      <a:picLocks noChangeAspect="1"/>
                    </pic:cNvPicPr>
                  </pic:nvPicPr>
                  <pic:blipFill>
                    <a:blip r:embed="rId8"/>
                    <a:stretch>
                      <a:fillRect/>
                    </a:stretch>
                  </pic:blipFill>
                  <pic:spPr>
                    <a:xfrm>
                      <a:off x="0" y="0"/>
                      <a:ext cx="3641090" cy="1699260"/>
                    </a:xfrm>
                    <a:prstGeom prst="rect">
                      <a:avLst/>
                    </a:prstGeom>
                    <a:noFill/>
                    <a:ln>
                      <a:noFill/>
                    </a:ln>
                  </pic:spPr>
                </pic:pic>
              </a:graphicData>
            </a:graphic>
          </wp:inline>
        </w:drawing>
      </w:r>
    </w:p>
    <w:p w14:paraId="6247D39A">
      <w:pPr>
        <w:spacing w:after="120"/>
        <w:jc w:val="center"/>
        <w:rPr>
          <w:lang w:val="en-US"/>
        </w:rPr>
      </w:pPr>
      <w:r>
        <w:rPr>
          <w:lang w:val="en-US"/>
        </w:rPr>
        <w:t>Fig.5 Illustration of muting pattern of association periods in Table 2</w:t>
      </w:r>
    </w:p>
    <w:p w14:paraId="788DB53A">
      <w:pPr>
        <w:spacing w:after="120"/>
        <w:rPr>
          <w:lang w:val="en-US"/>
        </w:rPr>
      </w:pPr>
    </w:p>
    <w:p w14:paraId="6F6E5CB1">
      <w:pPr>
        <w:spacing w:after="120"/>
        <w:rPr>
          <w:rFonts w:ascii="Times New Roman Bold" w:hAnsi="Times New Roman Bold" w:cs="Times New Roman Bold"/>
          <w:b/>
          <w:bCs/>
          <w:lang w:val="en-US"/>
        </w:rPr>
      </w:pPr>
      <w:r>
        <w:rPr>
          <w:rFonts w:ascii="Times New Roman Bold" w:hAnsi="Times New Roman Bold" w:cs="Times New Roman Bold"/>
          <w:b/>
          <w:bCs/>
          <w:lang w:val="en-US"/>
        </w:rPr>
        <w:t>Proposal 9: Consider using one of Table 1, Table 2 or Table 3 to configure the PRACH mask in SIB1, where the single PRACH mask can be indicated from the chosen table.</w:t>
      </w:r>
    </w:p>
    <w:p w14:paraId="77E6DE6B">
      <w:pPr>
        <w:spacing w:after="120"/>
        <w:rPr>
          <w:lang w:val="en-US"/>
        </w:rPr>
      </w:pPr>
    </w:p>
    <w:p w14:paraId="6EEFB344">
      <w:pPr>
        <w:spacing w:after="120"/>
        <w:rPr>
          <w:lang w:val="en-US"/>
        </w:rPr>
      </w:pPr>
      <w:r>
        <w:rPr>
          <w:lang w:val="en-US"/>
        </w:rPr>
        <w:t>Regarding the how to carry the DCI, considering the reserved bit in Paging DCI is (8-M) or (6-M), where M is the number of bits for the field ‘TRS availability indication’ which ranges from 1 to 6. The reserved number of bit could be zero in certain scenarios, therefore, we consider it more suitable to use Option 2 for this purpose.</w:t>
      </w:r>
    </w:p>
    <w:p w14:paraId="7CBD3667">
      <w:pPr>
        <w:spacing w:after="120"/>
        <w:rPr>
          <w:lang w:val="en-US"/>
        </w:rPr>
      </w:pPr>
      <w:r>
        <w:rPr>
          <w:lang w:val="en-US"/>
        </w:rPr>
        <w:t xml:space="preserve">If the Short Message Indicator indicates that only short massage is present in the DCI ‘10’ or both scheduling information for Paging and short message are present in the DCI ‘11’, the UE reads the Short Message field. There are 4 bits reserved in the Short Message to provide the PRACH adaptation information. </w:t>
      </w:r>
    </w:p>
    <w:p w14:paraId="01DD139E">
      <w:pPr>
        <w:spacing w:after="120"/>
        <w:jc w:val="center"/>
        <w:rPr>
          <w:lang w:val="en-US"/>
        </w:rPr>
      </w:pPr>
      <w:r>
        <w:drawing>
          <wp:inline distT="0" distB="0" distL="114300" distR="114300">
            <wp:extent cx="5105400" cy="1466850"/>
            <wp:effectExtent l="0" t="0" r="0" b="6350"/>
            <wp:docPr id="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2"/>
                    <pic:cNvPicPr>
                      <a:picLocks noChangeAspect="1"/>
                    </pic:cNvPicPr>
                  </pic:nvPicPr>
                  <pic:blipFill>
                    <a:blip r:embed="rId9"/>
                    <a:stretch>
                      <a:fillRect/>
                    </a:stretch>
                  </pic:blipFill>
                  <pic:spPr>
                    <a:xfrm>
                      <a:off x="0" y="0"/>
                      <a:ext cx="5105400" cy="1466850"/>
                    </a:xfrm>
                    <a:prstGeom prst="rect">
                      <a:avLst/>
                    </a:prstGeom>
                    <a:noFill/>
                    <a:ln>
                      <a:noFill/>
                    </a:ln>
                  </pic:spPr>
                </pic:pic>
              </a:graphicData>
            </a:graphic>
          </wp:inline>
        </w:drawing>
      </w:r>
    </w:p>
    <w:p w14:paraId="1946542A">
      <w:pPr>
        <w:spacing w:after="120"/>
        <w:jc w:val="center"/>
        <w:rPr>
          <w:lang w:val="en-US"/>
        </w:rPr>
      </w:pPr>
      <w:r>
        <w:drawing>
          <wp:inline distT="0" distB="0" distL="114300" distR="114300">
            <wp:extent cx="5993130" cy="1568450"/>
            <wp:effectExtent l="0" t="0" r="1270" b="635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10"/>
                    <a:stretch>
                      <a:fillRect/>
                    </a:stretch>
                  </pic:blipFill>
                  <pic:spPr>
                    <a:xfrm>
                      <a:off x="0" y="0"/>
                      <a:ext cx="5993130" cy="1568450"/>
                    </a:xfrm>
                    <a:prstGeom prst="rect">
                      <a:avLst/>
                    </a:prstGeom>
                    <a:noFill/>
                    <a:ln>
                      <a:noFill/>
                    </a:ln>
                  </pic:spPr>
                </pic:pic>
              </a:graphicData>
            </a:graphic>
          </wp:inline>
        </w:drawing>
      </w:r>
    </w:p>
    <w:p w14:paraId="3A1798D7">
      <w:pPr>
        <w:spacing w:after="120"/>
        <w:rPr>
          <w:rFonts w:ascii="Times New Roman Bold" w:hAnsi="Times New Roman Bold" w:cs="Times New Roman Bold"/>
          <w:b/>
          <w:bCs/>
          <w:lang w:val="en-US"/>
        </w:rPr>
      </w:pPr>
      <w:r>
        <w:rPr>
          <w:rFonts w:ascii="Times New Roman Bold" w:hAnsi="Times New Roman Bold" w:cs="Times New Roman Bold"/>
          <w:b/>
          <w:bCs/>
          <w:lang w:val="en-US"/>
        </w:rPr>
        <w:t>Proposal 10: For DCI-based adaptation for additional PRACH resources, support option 2: Use Bits 5-8 within the Short Message (from upper layers)</w:t>
      </w:r>
    </w:p>
    <w:p w14:paraId="364F48D2">
      <w:pPr>
        <w:spacing w:after="120"/>
        <w:rPr>
          <w:lang w:val="en-US"/>
        </w:rPr>
      </w:pPr>
      <w:r>
        <w:rPr>
          <w:lang w:val="en-US"/>
        </w:rPr>
        <w:t>Regarding DCI payload size, there are three options to be considered.</w:t>
      </w:r>
    </w:p>
    <w:p w14:paraId="1AA97C87">
      <w:pPr>
        <w:spacing w:after="120"/>
        <w:rPr>
          <w:lang w:val="en-US"/>
        </w:rPr>
      </w:pPr>
      <w:r>
        <w:rPr>
          <w:lang w:val="en-US"/>
        </w:rPr>
        <w:t xml:space="preserve">Option 1: when the PRACH mask is configured in SIB1/RRC, one bit is enough to indicated whether the mask configured in the higher layer signaling is activated or not. </w:t>
      </w:r>
    </w:p>
    <w:p w14:paraId="731B1185">
      <w:pPr>
        <w:spacing w:after="120"/>
        <w:rPr>
          <w:lang w:val="en-US"/>
        </w:rPr>
      </w:pPr>
      <w:r>
        <w:rPr>
          <w:lang w:val="en-US"/>
        </w:rPr>
        <w:t>For example: ‘0’ indicates the subset of additional PRACH resources are deactivated; ‘1’ indicates the subset of PRACH resources indicated in the RRC are available.</w:t>
      </w:r>
    </w:p>
    <w:p w14:paraId="707C0A48">
      <w:pPr>
        <w:spacing w:after="120"/>
        <w:rPr>
          <w:lang w:val="en-US"/>
        </w:rPr>
      </w:pPr>
      <w:r>
        <w:rPr>
          <w:lang w:val="en-US"/>
        </w:rPr>
        <w:t xml:space="preserve">Option 2: 2bits can be used to indicate whether the whole additional RPACH resource or the configured mask is activated or not. </w:t>
      </w:r>
    </w:p>
    <w:p w14:paraId="61A36CCE">
      <w:pPr>
        <w:spacing w:after="120"/>
        <w:rPr>
          <w:lang w:val="en-US"/>
        </w:rPr>
      </w:pPr>
      <w:r>
        <w:rPr>
          <w:lang w:val="en-US"/>
        </w:rPr>
        <w:t>For example: ‘00’ indicates all additional PRACH resources are deactivated; ‘01’ indicates the whole PRACH resources are available; ‘10’ indicates the subset of PRACH resources indicated in the RRC are available; ‘11’ is reserved</w:t>
      </w:r>
    </w:p>
    <w:p w14:paraId="55921664">
      <w:pPr>
        <w:spacing w:after="120"/>
        <w:rPr>
          <w:lang w:val="en-US"/>
        </w:rPr>
      </w:pPr>
      <w:r>
        <w:rPr>
          <w:lang w:val="en-US"/>
        </w:rPr>
        <w:t xml:space="preserve">Option 3: At most 4 bits can be used, where one bit is used to indicate the activation/deactivation status, and the other 3 bits indicate the PRACH mask index. </w:t>
      </w:r>
    </w:p>
    <w:p w14:paraId="6071E852">
      <w:pPr>
        <w:spacing w:after="120"/>
        <w:rPr>
          <w:rFonts w:ascii="Times New Roman Bold" w:hAnsi="Times New Roman Bold" w:cs="Times New Roman Bold"/>
          <w:b/>
          <w:bCs/>
          <w:lang w:val="en-US"/>
        </w:rPr>
      </w:pPr>
      <w:r>
        <w:rPr>
          <w:rFonts w:ascii="Times New Roman Bold" w:hAnsi="Times New Roman Bold" w:cs="Times New Roman Bold"/>
          <w:b/>
          <w:bCs/>
          <w:lang w:val="en-US"/>
        </w:rPr>
        <w:t xml:space="preserve">Proposal 11: For DCI payload size, at most 4 bits can be considered, select from the following options: </w:t>
      </w:r>
    </w:p>
    <w:p w14:paraId="0CEA8482">
      <w:pPr>
        <w:numPr>
          <w:ilvl w:val="0"/>
          <w:numId w:val="17"/>
        </w:numPr>
        <w:spacing w:after="120"/>
        <w:rPr>
          <w:b/>
          <w:bCs/>
          <w:lang w:val="en-US"/>
        </w:rPr>
      </w:pPr>
      <w:r>
        <w:rPr>
          <w:b/>
          <w:bCs/>
          <w:lang w:val="en-US"/>
        </w:rPr>
        <w:t xml:space="preserve">Option 1: when the PRACH mask is configured in SIB1/RRC, one bit is used to indicated whether the mask configured in the higher layer signaling is activated or not. </w:t>
      </w:r>
    </w:p>
    <w:p w14:paraId="1BEA263A">
      <w:pPr>
        <w:numPr>
          <w:ilvl w:val="0"/>
          <w:numId w:val="17"/>
        </w:numPr>
        <w:spacing w:after="120"/>
        <w:rPr>
          <w:b/>
          <w:bCs/>
          <w:lang w:val="en-US"/>
        </w:rPr>
      </w:pPr>
      <w:r>
        <w:rPr>
          <w:b/>
          <w:bCs/>
          <w:lang w:val="en-US"/>
        </w:rPr>
        <w:t xml:space="preserve">Option 2: 2bits to indicate whether the whole additional RPACH resource or the configured mask is activated or not. </w:t>
      </w:r>
    </w:p>
    <w:p w14:paraId="00C93EFD">
      <w:pPr>
        <w:numPr>
          <w:ilvl w:val="0"/>
          <w:numId w:val="17"/>
        </w:numPr>
        <w:spacing w:after="120"/>
        <w:rPr>
          <w:b/>
          <w:bCs/>
          <w:lang w:val="en-US"/>
        </w:rPr>
      </w:pPr>
      <w:r>
        <w:rPr>
          <w:b/>
          <w:bCs/>
          <w:lang w:val="en-US"/>
        </w:rPr>
        <w:t xml:space="preserve">Option 3: At most 4 bits can be used, where one bit is used to indicate the activation/deactivation status, and the other 3 bits indicate the PRACH mask index. </w:t>
      </w:r>
    </w:p>
    <w:p w14:paraId="43822110">
      <w:pPr>
        <w:spacing w:after="120"/>
        <w:rPr>
          <w:rFonts w:ascii="Times New Roman Bold" w:hAnsi="Times New Roman Bold" w:cs="Times New Roman Bold"/>
          <w:b/>
          <w:bCs/>
          <w:lang w:val="en-US" w:eastAsia="sv-SE"/>
        </w:rPr>
      </w:pPr>
    </w:p>
    <w:p w14:paraId="723B42A5">
      <w:pPr>
        <w:pStyle w:val="3"/>
        <w:spacing w:after="120"/>
        <w:rPr>
          <w:lang w:val="en-US" w:eastAsia="sv-SE"/>
        </w:rPr>
      </w:pPr>
      <w:r>
        <w:rPr>
          <w:lang w:val="en-US" w:eastAsia="sv-SE"/>
        </w:rPr>
        <w:t xml:space="preserve"> Configuration for additional PRACH resources </w:t>
      </w:r>
    </w:p>
    <w:p w14:paraId="6678A575">
      <w:pPr>
        <w:spacing w:after="120"/>
        <w:rPr>
          <w:lang w:val="en-US"/>
        </w:rPr>
      </w:pPr>
      <w:r>
        <w:rPr>
          <w:lang w:val="en-US"/>
        </w:rPr>
        <w:t xml:space="preserve">There were discussions on whether PRACH resources for legacy UEs and NES-capable UEs could overlap in time and frequency domain. </w:t>
      </w:r>
    </w:p>
    <w:p w14:paraId="3D705A89">
      <w:pPr>
        <w:spacing w:after="120"/>
        <w:rPr>
          <w:lang w:val="en-US"/>
        </w:rPr>
      </w:pPr>
      <w:r>
        <w:rPr>
          <w:lang w:val="en-US"/>
        </w:rPr>
        <w:t xml:space="preserve">In RAN1 #117 and RAN1 #118 meeting, the following agreements were made: </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657"/>
      </w:tblGrid>
      <w:tr w14:paraId="2417341B">
        <w:tc>
          <w:tcPr>
            <w:tcW w:w="9657" w:type="dxa"/>
          </w:tcPr>
          <w:p w14:paraId="1A4E1C3A">
            <w:pPr>
              <w:tabs>
                <w:tab w:val="left" w:pos="1440"/>
              </w:tabs>
              <w:spacing w:after="120"/>
              <w:rPr>
                <w:b/>
                <w:bCs/>
                <w:lang w:val="en-US" w:eastAsia="ko-KR"/>
              </w:rPr>
            </w:pPr>
            <w:r>
              <w:rPr>
                <w:b/>
                <w:bCs/>
                <w:highlight w:val="green"/>
                <w:lang w:val="en-US" w:eastAsia="ko-KR"/>
              </w:rPr>
              <w:t>Agreement (RAN1 #117)</w:t>
            </w:r>
          </w:p>
          <w:p w14:paraId="419DAA79">
            <w:pPr>
              <w:pStyle w:val="14"/>
              <w:jc w:val="left"/>
            </w:pPr>
            <w:r>
              <w:t xml:space="preserve">For adaptation of PRACH in time-domain, support at least the following case(s) </w:t>
            </w:r>
          </w:p>
          <w:p w14:paraId="58A1AFC9">
            <w:pPr>
              <w:pStyle w:val="56"/>
              <w:numPr>
                <w:ilvl w:val="0"/>
                <w:numId w:val="10"/>
              </w:numPr>
              <w:tabs>
                <w:tab w:val="left" w:pos="800"/>
                <w:tab w:val="clear" w:pos="1440"/>
              </w:tabs>
              <w:overflowPunct w:val="0"/>
              <w:adjustRightInd w:val="0"/>
              <w:spacing w:after="120"/>
              <w:ind w:left="800" w:leftChars="200" w:hanging="400" w:hangingChars="200"/>
              <w:contextualSpacing/>
              <w:textAlignment w:val="baseline"/>
            </w:pPr>
            <w:r>
              <w:t>Case 1: no time-domain overlap between the additional PRACH resources for NES-capable UEs and the PRACH resources for legacy UEs</w:t>
            </w:r>
          </w:p>
          <w:p w14:paraId="4DE184F7">
            <w:pPr>
              <w:pStyle w:val="56"/>
              <w:numPr>
                <w:ilvl w:val="0"/>
                <w:numId w:val="10"/>
              </w:numPr>
              <w:tabs>
                <w:tab w:val="left" w:pos="800"/>
                <w:tab w:val="clear" w:pos="1440"/>
              </w:tabs>
              <w:overflowPunct w:val="0"/>
              <w:adjustRightInd w:val="0"/>
              <w:spacing w:after="120"/>
              <w:ind w:left="800" w:leftChars="200" w:hanging="400" w:hangingChars="200"/>
              <w:contextualSpacing/>
              <w:textAlignment w:val="baseline"/>
            </w:pPr>
            <w:r>
              <w:t>Case 2: time-domain overlap but no overlap in frequency domain between the additional PRACH resources for NES-capable UEs and the PRACH resources for legacy UEs</w:t>
            </w:r>
          </w:p>
          <w:p w14:paraId="5FB6D47D">
            <w:pPr>
              <w:pStyle w:val="56"/>
              <w:numPr>
                <w:ilvl w:val="0"/>
                <w:numId w:val="10"/>
              </w:numPr>
              <w:tabs>
                <w:tab w:val="left" w:pos="800"/>
                <w:tab w:val="clear" w:pos="1440"/>
              </w:tabs>
              <w:overflowPunct w:val="0"/>
              <w:adjustRightInd w:val="0"/>
              <w:spacing w:after="120"/>
              <w:ind w:left="800" w:leftChars="200" w:hanging="400" w:hangingChars="200"/>
              <w:contextualSpacing/>
              <w:textAlignment w:val="baseline"/>
            </w:pPr>
            <w:r>
              <w:t>Case 3: additional PRACH resources for NES-capable UEs and legacy PRACH resources overlap neither in time nor frequency domains</w:t>
            </w:r>
          </w:p>
          <w:p w14:paraId="0402BAAC">
            <w:pPr>
              <w:pStyle w:val="56"/>
              <w:numPr>
                <w:ilvl w:val="0"/>
                <w:numId w:val="10"/>
              </w:numPr>
              <w:tabs>
                <w:tab w:val="left" w:pos="800"/>
                <w:tab w:val="clear" w:pos="1440"/>
              </w:tabs>
              <w:overflowPunct w:val="0"/>
              <w:adjustRightInd w:val="0"/>
              <w:spacing w:after="120"/>
              <w:ind w:left="800" w:leftChars="200" w:hanging="400" w:hangingChars="200"/>
              <w:contextualSpacing/>
              <w:textAlignment w:val="baseline"/>
            </w:pPr>
            <w:r>
              <w:rPr>
                <w:lang w:eastAsia="ko-KR"/>
              </w:rPr>
              <w:t>FFS: whether additional conditions are needed to support the above cases</w:t>
            </w:r>
          </w:p>
          <w:p w14:paraId="77C0043D">
            <w:pPr>
              <w:pStyle w:val="56"/>
              <w:numPr>
                <w:ilvl w:val="0"/>
                <w:numId w:val="10"/>
              </w:numPr>
              <w:tabs>
                <w:tab w:val="left" w:pos="800"/>
                <w:tab w:val="clear" w:pos="1440"/>
              </w:tabs>
              <w:overflowPunct w:val="0"/>
              <w:adjustRightInd w:val="0"/>
              <w:spacing w:after="120"/>
              <w:ind w:left="800" w:leftChars="200" w:hanging="400" w:hangingChars="200"/>
              <w:contextualSpacing/>
              <w:textAlignment w:val="baseline"/>
            </w:pPr>
            <w:r>
              <w:t>FFS: Additional case whether full/partial overlap in both time and frequency is allowed</w:t>
            </w:r>
          </w:p>
          <w:p w14:paraId="1C6F9B5D">
            <w:pPr>
              <w:pStyle w:val="56"/>
              <w:numPr>
                <w:ilvl w:val="0"/>
                <w:numId w:val="10"/>
              </w:numPr>
              <w:tabs>
                <w:tab w:val="left" w:pos="800"/>
                <w:tab w:val="clear" w:pos="1440"/>
              </w:tabs>
              <w:overflowPunct w:val="0"/>
              <w:adjustRightInd w:val="0"/>
              <w:spacing w:after="120"/>
              <w:ind w:left="800" w:leftChars="200" w:hanging="400" w:hangingChars="200"/>
              <w:contextualSpacing/>
              <w:textAlignment w:val="baseline"/>
              <w:rPr>
                <w:lang w:eastAsia="ko-KR"/>
              </w:rPr>
            </w:pPr>
            <w:r>
              <w:rPr>
                <w:lang w:eastAsia="ko-KR"/>
              </w:rPr>
              <w:t>Above does not preclude discussion for the case where the configuration for additional PRACH resources contains legacy PRACH resources</w:t>
            </w:r>
          </w:p>
          <w:p w14:paraId="00A7F45D">
            <w:pPr>
              <w:tabs>
                <w:tab w:val="left" w:pos="1440"/>
              </w:tabs>
              <w:spacing w:after="120"/>
              <w:rPr>
                <w:b/>
                <w:bCs/>
                <w:lang w:val="en-US" w:eastAsia="ko-KR"/>
              </w:rPr>
            </w:pPr>
            <w:r>
              <w:rPr>
                <w:b/>
                <w:bCs/>
                <w:highlight w:val="green"/>
                <w:lang w:val="en-US" w:eastAsia="ko-KR"/>
              </w:rPr>
              <w:t>Agreement (RAN1 #117)</w:t>
            </w:r>
          </w:p>
          <w:p w14:paraId="46564264">
            <w:pPr>
              <w:pStyle w:val="14"/>
              <w:tabs>
                <w:tab w:val="left" w:pos="0"/>
                <w:tab w:val="clear" w:pos="1440"/>
              </w:tabs>
              <w:jc w:val="left"/>
            </w:pPr>
            <w:r>
              <w:t>At least for the case where legacy ROs and additional ROs overlap in neither time nor frequency domain, for adaptation of PRACH in time-domain, the SSB-RO mapping rule for additional PRACH resources follows the legacy SSB-RO mapping rule.</w:t>
            </w:r>
          </w:p>
          <w:p w14:paraId="763DCF6B">
            <w:pPr>
              <w:pStyle w:val="56"/>
              <w:numPr>
                <w:ilvl w:val="0"/>
                <w:numId w:val="10"/>
              </w:numPr>
              <w:tabs>
                <w:tab w:val="left" w:pos="800"/>
                <w:tab w:val="clear" w:pos="1440"/>
              </w:tabs>
              <w:overflowPunct w:val="0"/>
              <w:adjustRightInd w:val="0"/>
              <w:spacing w:after="120"/>
              <w:ind w:left="800" w:leftChars="200" w:hanging="400" w:hangingChars="200"/>
              <w:contextualSpacing/>
              <w:textAlignment w:val="baseline"/>
            </w:pPr>
            <w:r>
              <w:t>Mapping SS/PBCH block indexes to valid additional PRACH occasions provided by semi-static signalling follows the legacy mapping order for preamble/time resource/frequency/PRACH slot indexes.</w:t>
            </w:r>
          </w:p>
          <w:p w14:paraId="3C4B200D">
            <w:pPr>
              <w:pStyle w:val="56"/>
              <w:numPr>
                <w:ilvl w:val="1"/>
                <w:numId w:val="10"/>
              </w:numPr>
              <w:overflowPunct w:val="0"/>
              <w:adjustRightInd w:val="0"/>
              <w:spacing w:after="120"/>
              <w:ind w:leftChars="0"/>
              <w:contextualSpacing/>
              <w:textAlignment w:val="baseline"/>
            </w:pPr>
            <w:r>
              <w:rPr>
                <w:rFonts w:hint="eastAsia"/>
                <w:lang w:eastAsia="ko-KR"/>
              </w:rPr>
              <w:t>N</w:t>
            </w:r>
            <w:r>
              <w:rPr>
                <w:lang w:eastAsia="ko-KR"/>
              </w:rPr>
              <w:t xml:space="preserve">ote: </w:t>
            </w:r>
            <w:r>
              <w:rPr>
                <w:color w:val="000000" w:themeColor="text1"/>
                <w:lang w:eastAsia="ko-KR"/>
                <w14:textFill>
                  <w14:solidFill>
                    <w14:schemeClr w14:val="tx1"/>
                  </w14:solidFill>
                </w14:textFill>
              </w:rPr>
              <w:t xml:space="preserve">This </w:t>
            </w:r>
            <w:r>
              <w:rPr>
                <w:lang w:eastAsia="ko-KR"/>
              </w:rPr>
              <w:t>mapping is not impacted by time domain PRACH adaptation</w:t>
            </w:r>
          </w:p>
          <w:p w14:paraId="29196705">
            <w:pPr>
              <w:pStyle w:val="56"/>
              <w:numPr>
                <w:ilvl w:val="0"/>
                <w:numId w:val="10"/>
              </w:numPr>
              <w:tabs>
                <w:tab w:val="left" w:pos="800"/>
                <w:tab w:val="clear" w:pos="1440"/>
              </w:tabs>
              <w:overflowPunct w:val="0"/>
              <w:adjustRightInd w:val="0"/>
              <w:spacing w:after="120"/>
              <w:ind w:left="800" w:leftChars="200" w:hanging="400" w:hangingChars="200"/>
              <w:contextualSpacing/>
              <w:textAlignment w:val="baseline"/>
              <w:rPr>
                <w:lang w:val="en-US"/>
              </w:rPr>
            </w:pPr>
            <w:r>
              <w:t>Validation rules for the additional PRACH resources follow the legacy validation rules for PRACH resources configured for legacy UEs.</w:t>
            </w:r>
          </w:p>
          <w:p w14:paraId="4E91EB8E">
            <w:pPr>
              <w:pStyle w:val="56"/>
              <w:tabs>
                <w:tab w:val="left" w:pos="800"/>
                <w:tab w:val="clear" w:pos="1440"/>
              </w:tabs>
              <w:overflowPunct w:val="0"/>
              <w:adjustRightInd w:val="0"/>
              <w:spacing w:after="120"/>
              <w:ind w:left="0" w:leftChars="0"/>
              <w:contextualSpacing/>
              <w:textAlignment w:val="baseline"/>
            </w:pPr>
          </w:p>
          <w:p w14:paraId="4F067E07">
            <w:pPr>
              <w:tabs>
                <w:tab w:val="left" w:pos="1440"/>
              </w:tabs>
              <w:spacing w:after="0" w:afterLines="0"/>
              <w:rPr>
                <w:rFonts w:cs="Times"/>
                <w:b/>
                <w:bCs/>
                <w:highlight w:val="green"/>
                <w:lang w:val="en-US" w:eastAsia="zh-CN"/>
              </w:rPr>
            </w:pPr>
            <w:r>
              <w:rPr>
                <w:rFonts w:cs="Times"/>
                <w:b/>
                <w:bCs/>
                <w:highlight w:val="green"/>
                <w:lang w:eastAsia="zh-CN"/>
              </w:rPr>
              <w:t>Agreement</w:t>
            </w:r>
            <w:r>
              <w:rPr>
                <w:rFonts w:cs="Times"/>
                <w:b/>
                <w:bCs/>
                <w:highlight w:val="green"/>
                <w:lang w:val="en-US" w:eastAsia="zh-CN"/>
              </w:rPr>
              <w:t xml:space="preserve"> (RAN1 #118)</w:t>
            </w:r>
          </w:p>
          <w:p w14:paraId="471DAB68">
            <w:pPr>
              <w:pStyle w:val="14"/>
              <w:spacing w:after="0" w:afterLines="0"/>
              <w:jc w:val="left"/>
            </w:pPr>
            <w:r>
              <w:t xml:space="preserve">Extend the RAN1#117 agreement on SSB-RO mapping rule for additional PRACH resources to Case 1 </w:t>
            </w:r>
          </w:p>
          <w:p w14:paraId="58459EF4">
            <w:pPr>
              <w:pStyle w:val="14"/>
              <w:numPr>
                <w:ilvl w:val="0"/>
                <w:numId w:val="6"/>
              </w:numPr>
              <w:tabs>
                <w:tab w:val="clear" w:pos="1440"/>
              </w:tabs>
              <w:overflowPunct w:val="0"/>
              <w:adjustRightInd w:val="0"/>
              <w:spacing w:after="0" w:afterLines="0"/>
              <w:jc w:val="left"/>
              <w:textAlignment w:val="baseline"/>
            </w:pPr>
            <w:r>
              <w:t>Case 1: no time-domain overlap between the additional PRACH resources for NES-capable UEs and the PRACH resources for legacy UEs</w:t>
            </w:r>
          </w:p>
          <w:p w14:paraId="01EFDF3F">
            <w:pPr>
              <w:tabs>
                <w:tab w:val="left" w:pos="1440"/>
              </w:tabs>
              <w:spacing w:after="0" w:afterLines="0"/>
              <w:rPr>
                <w:rFonts w:cs="Times"/>
                <w:b/>
                <w:bCs/>
                <w:highlight w:val="green"/>
                <w:lang w:eastAsia="zh-CN"/>
              </w:rPr>
            </w:pPr>
          </w:p>
          <w:p w14:paraId="6A5416E0">
            <w:pPr>
              <w:tabs>
                <w:tab w:val="left" w:pos="1440"/>
              </w:tabs>
              <w:spacing w:after="0" w:afterLines="0"/>
              <w:rPr>
                <w:rFonts w:cs="Times"/>
                <w:b/>
                <w:bCs/>
                <w:highlight w:val="green"/>
                <w:lang w:val="en-US" w:eastAsia="zh-CN"/>
              </w:rPr>
            </w:pPr>
            <w:r>
              <w:rPr>
                <w:rFonts w:cs="Times"/>
                <w:b/>
                <w:bCs/>
                <w:highlight w:val="green"/>
                <w:lang w:eastAsia="zh-CN"/>
              </w:rPr>
              <w:t>Agreement</w:t>
            </w:r>
            <w:r>
              <w:rPr>
                <w:rFonts w:cs="Times"/>
                <w:b/>
                <w:bCs/>
                <w:highlight w:val="green"/>
                <w:lang w:val="en-US" w:eastAsia="zh-CN"/>
              </w:rPr>
              <w:t xml:space="preserve"> (RAN1 #118)</w:t>
            </w:r>
          </w:p>
          <w:p w14:paraId="36FE88E9">
            <w:pPr>
              <w:pStyle w:val="14"/>
              <w:spacing w:after="0" w:afterLines="0"/>
              <w:jc w:val="left"/>
            </w:pPr>
            <w:r>
              <w:t xml:space="preserve">For SSB-RO mapping rule for additional PRACH resources for Case 2. </w:t>
            </w:r>
          </w:p>
          <w:p w14:paraId="5DD734F3">
            <w:pPr>
              <w:pStyle w:val="14"/>
              <w:numPr>
                <w:ilvl w:val="0"/>
                <w:numId w:val="6"/>
              </w:numPr>
              <w:tabs>
                <w:tab w:val="clear" w:pos="1440"/>
              </w:tabs>
              <w:overflowPunct w:val="0"/>
              <w:adjustRightInd w:val="0"/>
              <w:spacing w:after="0" w:afterLines="0"/>
              <w:jc w:val="left"/>
              <w:textAlignment w:val="baseline"/>
              <w:rPr>
                <w:lang w:val="en-US"/>
              </w:rPr>
            </w:pPr>
            <w:r>
              <w:t>Extend the RAN1#117 and RAN1#118 agreements on SSB-RO mapping</w:t>
            </w:r>
          </w:p>
        </w:tc>
      </w:tr>
    </w:tbl>
    <w:p w14:paraId="2936C3E1">
      <w:pPr>
        <w:spacing w:after="120"/>
        <w:rPr>
          <w:lang w:val="en-US"/>
        </w:rPr>
      </w:pPr>
    </w:p>
    <w:p w14:paraId="350560F0">
      <w:pPr>
        <w:spacing w:after="120"/>
        <w:rPr>
          <w:lang w:val="en-US"/>
        </w:rPr>
      </w:pPr>
      <w:r>
        <w:rPr>
          <w:lang w:val="en-US"/>
        </w:rPr>
        <w:t xml:space="preserve">The agreements show that Case 1, 2 and 3 are supported and the illustrations are provided in the following figure. </w:t>
      </w:r>
    </w:p>
    <w:p w14:paraId="2A6494A1">
      <w:pPr>
        <w:spacing w:after="120"/>
      </w:pPr>
      <w:r>
        <w:drawing>
          <wp:inline distT="0" distB="0" distL="114300" distR="114300">
            <wp:extent cx="5986145" cy="2526665"/>
            <wp:effectExtent l="0" t="0" r="8255" b="1333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pic:cNvPicPr>
                  </pic:nvPicPr>
                  <pic:blipFill>
                    <a:blip r:embed="rId11"/>
                    <a:stretch>
                      <a:fillRect/>
                    </a:stretch>
                  </pic:blipFill>
                  <pic:spPr>
                    <a:xfrm>
                      <a:off x="0" y="0"/>
                      <a:ext cx="5986145" cy="2526665"/>
                    </a:xfrm>
                    <a:prstGeom prst="rect">
                      <a:avLst/>
                    </a:prstGeom>
                    <a:noFill/>
                    <a:ln>
                      <a:noFill/>
                    </a:ln>
                  </pic:spPr>
                </pic:pic>
              </a:graphicData>
            </a:graphic>
          </wp:inline>
        </w:drawing>
      </w:r>
    </w:p>
    <w:p w14:paraId="6FA6BC3A">
      <w:pPr>
        <w:spacing w:after="120"/>
        <w:jc w:val="center"/>
        <w:rPr>
          <w:lang w:val="en-US"/>
        </w:rPr>
      </w:pPr>
      <w:r>
        <w:rPr>
          <w:lang w:val="en-US"/>
        </w:rPr>
        <w:t>Fig.3 PRACH resources for legacy and Rel-19 NES capable UEs</w:t>
      </w:r>
    </w:p>
    <w:p w14:paraId="6A8FF1CE">
      <w:pPr>
        <w:spacing w:after="120"/>
        <w:rPr>
          <w:lang w:val="en-US"/>
        </w:rPr>
      </w:pPr>
      <w:r>
        <w:rPr>
          <w:lang w:val="en-US"/>
        </w:rPr>
        <w:t xml:space="preserve">In our understanding, Case 1 and Case 3 are similar since the PRACH resources in time domain are non-overlapping. It needs to be investigated that whether the current PRACH configuration options can provide the above configuration flexibility. </w:t>
      </w:r>
    </w:p>
    <w:p w14:paraId="2F3C6BE4">
      <w:pPr>
        <w:spacing w:after="120"/>
        <w:rPr>
          <w:lang w:val="en-US"/>
        </w:rPr>
      </w:pPr>
      <w:r>
        <w:rPr>
          <w:lang w:val="en-US"/>
        </w:rPr>
        <w:t xml:space="preserve">In RAN1 #118bis meeting, the configuration options were listed as follows: </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657"/>
      </w:tblGrid>
      <w:tr w14:paraId="53EEFD93">
        <w:tc>
          <w:tcPr>
            <w:tcW w:w="9657" w:type="dxa"/>
          </w:tcPr>
          <w:p w14:paraId="3C03CD90">
            <w:pPr>
              <w:tabs>
                <w:tab w:val="left" w:pos="1440"/>
              </w:tabs>
              <w:spacing w:after="0" w:afterLines="0"/>
              <w:rPr>
                <w:b/>
                <w:bCs/>
                <w:lang w:eastAsia="zh-CN"/>
              </w:rPr>
            </w:pPr>
            <w:r>
              <w:rPr>
                <w:b/>
                <w:bCs/>
                <w:highlight w:val="green"/>
                <w:lang w:eastAsia="zh-CN"/>
              </w:rPr>
              <w:t>Agreement</w:t>
            </w:r>
          </w:p>
          <w:p w14:paraId="78F1EEF1">
            <w:pPr>
              <w:tabs>
                <w:tab w:val="left" w:pos="0"/>
              </w:tabs>
              <w:spacing w:after="0" w:afterLines="0"/>
            </w:pPr>
            <w:r>
              <w:t xml:space="preserve">For adaptation of PRACH in time-domain, the frequency domain resources for the additional PRACH resources and legacy PRACH resources can be same or different </w:t>
            </w:r>
          </w:p>
          <w:p w14:paraId="74688763">
            <w:pPr>
              <w:pStyle w:val="56"/>
              <w:numPr>
                <w:ilvl w:val="0"/>
                <w:numId w:val="18"/>
              </w:numPr>
              <w:tabs>
                <w:tab w:val="left" w:pos="800"/>
                <w:tab w:val="clear" w:pos="1440"/>
              </w:tabs>
              <w:spacing w:after="0" w:afterLines="0"/>
              <w:ind w:left="800" w:leftChars="0" w:hanging="440"/>
              <w:contextualSpacing/>
              <w:rPr>
                <w:lang w:eastAsia="en-US"/>
              </w:rPr>
            </w:pPr>
            <w:r>
              <w:rPr>
                <w:lang w:val="en-US" w:eastAsia="en-US"/>
              </w:rPr>
              <w:t>FFS</w:t>
            </w:r>
            <w:r>
              <w:rPr>
                <w:lang w:eastAsia="en-US"/>
              </w:rPr>
              <w:t>: applicable case(s) (i.e. case(s) from the RAN1#117 agreement).</w:t>
            </w:r>
          </w:p>
          <w:p w14:paraId="691EDA1F">
            <w:pPr>
              <w:pStyle w:val="56"/>
              <w:numPr>
                <w:ilvl w:val="0"/>
                <w:numId w:val="18"/>
              </w:numPr>
              <w:tabs>
                <w:tab w:val="left" w:pos="800"/>
                <w:tab w:val="clear" w:pos="1440"/>
              </w:tabs>
              <w:spacing w:after="0" w:afterLines="0"/>
              <w:ind w:left="800" w:leftChars="0" w:hanging="440"/>
              <w:contextualSpacing/>
              <w:rPr>
                <w:lang w:eastAsia="en-US"/>
              </w:rPr>
            </w:pPr>
            <w:r>
              <w:rPr>
                <w:lang w:eastAsia="en-US"/>
              </w:rPr>
              <w:t xml:space="preserve">Discuss further following options for signaling </w:t>
            </w:r>
          </w:p>
          <w:p w14:paraId="5FA2CC86">
            <w:pPr>
              <w:pStyle w:val="56"/>
              <w:numPr>
                <w:ilvl w:val="0"/>
                <w:numId w:val="18"/>
              </w:numPr>
              <w:tabs>
                <w:tab w:val="left" w:pos="1200"/>
                <w:tab w:val="clear" w:pos="1440"/>
              </w:tabs>
              <w:spacing w:after="0" w:afterLines="0"/>
              <w:ind w:left="1200" w:leftChars="0" w:hanging="400"/>
              <w:contextualSpacing/>
              <w:rPr>
                <w:lang w:eastAsia="en-US"/>
              </w:rPr>
            </w:pPr>
            <w:r>
              <w:rPr>
                <w:lang w:eastAsia="en-US"/>
              </w:rPr>
              <w:t>Option 1: at least the following parameter(s) can be configured separately for the additional PRACH resources.</w:t>
            </w:r>
          </w:p>
          <w:p w14:paraId="038D14CA">
            <w:pPr>
              <w:pStyle w:val="14"/>
              <w:numPr>
                <w:ilvl w:val="1"/>
                <w:numId w:val="19"/>
              </w:numPr>
              <w:overflowPunct w:val="0"/>
              <w:adjustRightInd w:val="0"/>
              <w:spacing w:after="0" w:afterLines="0"/>
              <w:ind w:left="1800"/>
              <w:jc w:val="left"/>
              <w:textAlignment w:val="baseline"/>
              <w:rPr>
                <w:lang w:eastAsia="en-US"/>
              </w:rPr>
            </w:pPr>
            <w:r>
              <w:rPr>
                <w:lang w:eastAsia="en-US"/>
              </w:rPr>
              <w:t xml:space="preserve">msg1-FrequencyStart at least for 4-step RACH </w:t>
            </w:r>
          </w:p>
          <w:p w14:paraId="56633045">
            <w:pPr>
              <w:pStyle w:val="14"/>
              <w:numPr>
                <w:ilvl w:val="1"/>
                <w:numId w:val="19"/>
              </w:numPr>
              <w:overflowPunct w:val="0"/>
              <w:adjustRightInd w:val="0"/>
              <w:spacing w:after="0" w:afterLines="0"/>
              <w:ind w:left="1800"/>
              <w:jc w:val="left"/>
              <w:textAlignment w:val="baseline"/>
              <w:rPr>
                <w:lang w:eastAsia="en-US"/>
              </w:rPr>
            </w:pPr>
            <w:r>
              <w:t>FFS: other applicable legacy frequency domain parameter(s)</w:t>
            </w:r>
          </w:p>
          <w:p w14:paraId="363FAB52">
            <w:pPr>
              <w:pStyle w:val="56"/>
              <w:numPr>
                <w:ilvl w:val="0"/>
                <w:numId w:val="18"/>
              </w:numPr>
              <w:tabs>
                <w:tab w:val="left" w:pos="1200"/>
                <w:tab w:val="clear" w:pos="1440"/>
              </w:tabs>
              <w:spacing w:after="0" w:afterLines="0"/>
              <w:ind w:left="1200" w:leftChars="0" w:hanging="400"/>
              <w:contextualSpacing/>
            </w:pPr>
            <w:r>
              <w:rPr>
                <w:lang w:eastAsia="en-US"/>
              </w:rPr>
              <w:t xml:space="preserve">Option 2: </w:t>
            </w:r>
            <w:r>
              <w:t>Offset to legacy frequency domain parameter(s) are configured for the additional PRACH resources</w:t>
            </w:r>
          </w:p>
          <w:p w14:paraId="439C43FA">
            <w:pPr>
              <w:pStyle w:val="14"/>
              <w:numPr>
                <w:ilvl w:val="1"/>
                <w:numId w:val="20"/>
              </w:numPr>
              <w:overflowPunct w:val="0"/>
              <w:adjustRightInd w:val="0"/>
              <w:spacing w:after="0" w:afterLines="0"/>
              <w:jc w:val="left"/>
              <w:textAlignment w:val="baseline"/>
            </w:pPr>
            <w:r>
              <w:t>Note: Offset to legacy frequency domain parameter(s) is a new parameter</w:t>
            </w:r>
          </w:p>
          <w:p w14:paraId="5CE8A9D5">
            <w:pPr>
              <w:pStyle w:val="14"/>
              <w:numPr>
                <w:ilvl w:val="1"/>
                <w:numId w:val="20"/>
              </w:numPr>
              <w:overflowPunct w:val="0"/>
              <w:adjustRightInd w:val="0"/>
              <w:spacing w:after="0" w:afterLines="0"/>
              <w:jc w:val="left"/>
              <w:textAlignment w:val="baseline"/>
            </w:pPr>
            <w:r>
              <w:t>FFS: applicable legacy frequency domain parameter(s)</w:t>
            </w:r>
          </w:p>
          <w:p w14:paraId="64C82C50">
            <w:pPr>
              <w:tabs>
                <w:tab w:val="left" w:pos="1440"/>
              </w:tabs>
              <w:spacing w:after="120"/>
              <w:contextualSpacing/>
            </w:pPr>
          </w:p>
          <w:p w14:paraId="6E58F464">
            <w:pPr>
              <w:tabs>
                <w:tab w:val="left" w:pos="1440"/>
              </w:tabs>
              <w:spacing w:after="0" w:afterLines="0"/>
              <w:contextualSpacing/>
              <w:rPr>
                <w:b/>
                <w:bCs/>
              </w:rPr>
            </w:pPr>
            <w:r>
              <w:rPr>
                <w:b/>
                <w:bCs/>
                <w:highlight w:val="green"/>
              </w:rPr>
              <w:t>Agreement</w:t>
            </w:r>
          </w:p>
          <w:p w14:paraId="65A49FC7">
            <w:pPr>
              <w:tabs>
                <w:tab w:val="left" w:pos="0"/>
              </w:tabs>
              <w:spacing w:after="0" w:afterLines="0"/>
            </w:pPr>
            <w:r>
              <w:t xml:space="preserve">For adaptation </w:t>
            </w:r>
            <w:r>
              <w:rPr>
                <w:lang w:val="en-US"/>
              </w:rPr>
              <w:t xml:space="preserve">of </w:t>
            </w:r>
            <w:r>
              <w:t xml:space="preserve">PRACH in time-domain, for determining the additional PRACH resources in time-domain, </w:t>
            </w:r>
          </w:p>
          <w:p w14:paraId="77929471">
            <w:pPr>
              <w:pStyle w:val="56"/>
              <w:numPr>
                <w:ilvl w:val="0"/>
                <w:numId w:val="18"/>
              </w:numPr>
              <w:tabs>
                <w:tab w:val="left" w:pos="800"/>
                <w:tab w:val="clear" w:pos="1440"/>
              </w:tabs>
              <w:spacing w:after="0" w:afterLines="0"/>
              <w:ind w:left="800" w:leftChars="0" w:hanging="440"/>
              <w:contextualSpacing/>
              <w:rPr>
                <w:lang w:val="en-US" w:eastAsia="en-US"/>
              </w:rPr>
            </w:pPr>
            <w:r>
              <w:rPr>
                <w:lang w:val="en-US" w:eastAsia="en-US"/>
              </w:rPr>
              <w:t>For Alt 1 (same PRACH configuration index for additional and legacy PRACH resources), select one or more of the following additional mechanism(s),</w:t>
            </w:r>
          </w:p>
          <w:p w14:paraId="4D55BC9E">
            <w:pPr>
              <w:numPr>
                <w:ilvl w:val="1"/>
                <w:numId w:val="18"/>
              </w:numPr>
              <w:tabs>
                <w:tab w:val="left" w:pos="1440"/>
              </w:tabs>
              <w:spacing w:after="0" w:afterLines="0"/>
              <w:contextualSpacing/>
              <w:rPr>
                <w:lang w:val="en-US"/>
              </w:rPr>
            </w:pPr>
            <w:r>
              <w:rPr>
                <w:lang w:val="en-US"/>
              </w:rPr>
              <w:t xml:space="preserve">Opt 1-2a: up to N1 additional value(s) of (x, y) </w:t>
            </w:r>
          </w:p>
          <w:p w14:paraId="6D31E61E">
            <w:pPr>
              <w:numPr>
                <w:ilvl w:val="2"/>
                <w:numId w:val="18"/>
              </w:numPr>
              <w:tabs>
                <w:tab w:val="left" w:pos="1440"/>
              </w:tabs>
              <w:spacing w:after="0" w:afterLines="0"/>
              <w:contextualSpacing/>
              <w:rPr>
                <w:lang w:val="en-US"/>
              </w:rPr>
            </w:pPr>
            <w:r>
              <w:rPr>
                <w:lang w:val="en-US"/>
              </w:rPr>
              <w:t>FFS: value of N1(&gt;=1)</w:t>
            </w:r>
          </w:p>
          <w:p w14:paraId="2E55FC3E">
            <w:pPr>
              <w:numPr>
                <w:ilvl w:val="1"/>
                <w:numId w:val="18"/>
              </w:numPr>
              <w:tabs>
                <w:tab w:val="left" w:pos="1440"/>
              </w:tabs>
              <w:spacing w:after="0" w:afterLines="0"/>
              <w:contextualSpacing/>
              <w:rPr>
                <w:lang w:val="en-US"/>
              </w:rPr>
            </w:pPr>
            <w:r>
              <w:rPr>
                <w:lang w:val="en-US"/>
              </w:rPr>
              <w:t xml:space="preserve">Opt 1-2b: up to N2 additional value(s) of y </w:t>
            </w:r>
          </w:p>
          <w:p w14:paraId="33BAAD37">
            <w:pPr>
              <w:numPr>
                <w:ilvl w:val="2"/>
                <w:numId w:val="18"/>
              </w:numPr>
              <w:tabs>
                <w:tab w:val="left" w:pos="1440"/>
              </w:tabs>
              <w:spacing w:after="0" w:afterLines="0"/>
              <w:contextualSpacing/>
              <w:rPr>
                <w:lang w:val="en-US"/>
              </w:rPr>
            </w:pPr>
            <w:r>
              <w:rPr>
                <w:lang w:val="en-US"/>
              </w:rPr>
              <w:t>FFS: value of N2 (&gt;=1)</w:t>
            </w:r>
          </w:p>
          <w:p w14:paraId="1B93F6E4">
            <w:pPr>
              <w:numPr>
                <w:ilvl w:val="1"/>
                <w:numId w:val="18"/>
              </w:numPr>
              <w:tabs>
                <w:tab w:val="left" w:pos="1440"/>
              </w:tabs>
              <w:spacing w:after="0" w:afterLines="0"/>
              <w:contextualSpacing/>
              <w:rPr>
                <w:lang w:val="en-US"/>
              </w:rPr>
            </w:pPr>
            <w:r>
              <w:rPr>
                <w:lang w:val="en-US"/>
              </w:rPr>
              <w:t>Opt 1-3: Muting/masking ROs</w:t>
            </w:r>
          </w:p>
          <w:p w14:paraId="16734F7D">
            <w:pPr>
              <w:numPr>
                <w:ilvl w:val="1"/>
                <w:numId w:val="18"/>
              </w:numPr>
              <w:tabs>
                <w:tab w:val="left" w:pos="1440"/>
              </w:tabs>
              <w:spacing w:after="0" w:afterLines="0"/>
              <w:contextualSpacing/>
              <w:rPr>
                <w:lang w:val="en-US"/>
              </w:rPr>
            </w:pPr>
            <w:r>
              <w:rPr>
                <w:lang w:val="en-US"/>
              </w:rPr>
              <w:t xml:space="preserve">Opt 1-4: </w:t>
            </w:r>
          </w:p>
          <w:p w14:paraId="60BD2CE6">
            <w:pPr>
              <w:numPr>
                <w:ilvl w:val="2"/>
                <w:numId w:val="18"/>
              </w:numPr>
              <w:tabs>
                <w:tab w:val="left" w:pos="1440"/>
              </w:tabs>
              <w:spacing w:after="0" w:afterLines="0"/>
              <w:contextualSpacing/>
              <w:rPr>
                <w:lang w:val="en-US"/>
              </w:rPr>
            </w:pPr>
            <w:r>
              <w:rPr>
                <w:lang w:val="en-US"/>
              </w:rPr>
              <w:t>up to N4_1 additional timing offset(s) at frame-level</w:t>
            </w:r>
          </w:p>
          <w:p w14:paraId="54706020">
            <w:pPr>
              <w:numPr>
                <w:ilvl w:val="2"/>
                <w:numId w:val="18"/>
              </w:numPr>
              <w:tabs>
                <w:tab w:val="left" w:pos="1440"/>
              </w:tabs>
              <w:spacing w:after="0" w:afterLines="0"/>
              <w:contextualSpacing/>
              <w:rPr>
                <w:lang w:val="en-US"/>
              </w:rPr>
            </w:pPr>
            <w:r>
              <w:rPr>
                <w:lang w:val="en-US"/>
              </w:rPr>
              <w:t>up to N4_2 additional timing offset(s) at slot-level</w:t>
            </w:r>
          </w:p>
          <w:p w14:paraId="76248D07">
            <w:pPr>
              <w:numPr>
                <w:ilvl w:val="2"/>
                <w:numId w:val="18"/>
              </w:numPr>
              <w:tabs>
                <w:tab w:val="left" w:pos="1440"/>
              </w:tabs>
              <w:spacing w:after="0" w:afterLines="0"/>
              <w:contextualSpacing/>
              <w:rPr>
                <w:lang w:val="en-US"/>
              </w:rPr>
            </w:pPr>
            <w:r>
              <w:rPr>
                <w:lang w:val="en-US"/>
              </w:rPr>
              <w:t>FFS: values of N4_1(&gt;=1) and N4_2(&gt;=1)</w:t>
            </w:r>
          </w:p>
          <w:p w14:paraId="73434AD6">
            <w:pPr>
              <w:numPr>
                <w:ilvl w:val="1"/>
                <w:numId w:val="18"/>
              </w:numPr>
              <w:tabs>
                <w:tab w:val="left" w:pos="1440"/>
              </w:tabs>
              <w:spacing w:after="0" w:afterLines="0"/>
              <w:contextualSpacing/>
              <w:rPr>
                <w:lang w:val="en-US"/>
              </w:rPr>
            </w:pPr>
            <w:r>
              <w:rPr>
                <w:lang w:val="en-US"/>
              </w:rPr>
              <w:t>Opt 1-5: No additional mechanism is selected.</w:t>
            </w:r>
          </w:p>
          <w:p w14:paraId="779AF956">
            <w:pPr>
              <w:numPr>
                <w:ilvl w:val="1"/>
                <w:numId w:val="18"/>
              </w:numPr>
              <w:tabs>
                <w:tab w:val="left" w:pos="1440"/>
              </w:tabs>
              <w:spacing w:after="0" w:afterLines="0"/>
              <w:contextualSpacing/>
              <w:rPr>
                <w:lang w:val="en-US"/>
              </w:rPr>
            </w:pPr>
            <w:r>
              <w:rPr>
                <w:lang w:val="en-US"/>
              </w:rPr>
              <w:t>Note: x and y refer to the parameters from the random-access configuration tables (from 38.211)</w:t>
            </w:r>
          </w:p>
          <w:p w14:paraId="0F5C535A">
            <w:pPr>
              <w:pStyle w:val="56"/>
              <w:numPr>
                <w:ilvl w:val="0"/>
                <w:numId w:val="18"/>
              </w:numPr>
              <w:tabs>
                <w:tab w:val="left" w:pos="800"/>
                <w:tab w:val="clear" w:pos="1440"/>
              </w:tabs>
              <w:spacing w:after="0" w:afterLines="0"/>
              <w:ind w:left="800" w:leftChars="0" w:hanging="440"/>
              <w:contextualSpacing/>
              <w:rPr>
                <w:lang w:val="en-US" w:eastAsia="en-US"/>
              </w:rPr>
            </w:pPr>
            <w:r>
              <w:rPr>
                <w:lang w:val="en-US" w:eastAsia="en-US"/>
              </w:rPr>
              <w:t>For Alt 2 (different PRACH configuration index for additional and legacy PRACH resources), select one or more of the following additional mechanism(s),</w:t>
            </w:r>
          </w:p>
          <w:p w14:paraId="63F667F4">
            <w:pPr>
              <w:numPr>
                <w:ilvl w:val="1"/>
                <w:numId w:val="18"/>
              </w:numPr>
              <w:tabs>
                <w:tab w:val="left" w:pos="1440"/>
              </w:tabs>
              <w:spacing w:after="0" w:afterLines="0"/>
              <w:contextualSpacing/>
              <w:rPr>
                <w:lang w:val="en-US"/>
              </w:rPr>
            </w:pPr>
            <w:r>
              <w:rPr>
                <w:lang w:val="en-US"/>
              </w:rPr>
              <w:t xml:space="preserve">Opt 1-2a: up to N1 additional value(s) of (x, y) </w:t>
            </w:r>
          </w:p>
          <w:p w14:paraId="7EFEE7AF">
            <w:pPr>
              <w:numPr>
                <w:ilvl w:val="2"/>
                <w:numId w:val="18"/>
              </w:numPr>
              <w:tabs>
                <w:tab w:val="left" w:pos="1440"/>
              </w:tabs>
              <w:spacing w:after="0" w:afterLines="0"/>
              <w:contextualSpacing/>
              <w:rPr>
                <w:lang w:val="en-US"/>
              </w:rPr>
            </w:pPr>
            <w:r>
              <w:rPr>
                <w:lang w:val="en-US"/>
              </w:rPr>
              <w:t>FFS: value of N1(&gt;=1)</w:t>
            </w:r>
          </w:p>
          <w:p w14:paraId="140B21EF">
            <w:pPr>
              <w:numPr>
                <w:ilvl w:val="1"/>
                <w:numId w:val="18"/>
              </w:numPr>
              <w:tabs>
                <w:tab w:val="left" w:pos="1440"/>
              </w:tabs>
              <w:spacing w:after="0" w:afterLines="0"/>
              <w:contextualSpacing/>
              <w:rPr>
                <w:lang w:val="en-US"/>
              </w:rPr>
            </w:pPr>
            <w:r>
              <w:rPr>
                <w:lang w:val="en-US"/>
              </w:rPr>
              <w:t xml:space="preserve">Opt 1-2b: up to N2 additional value(s) of y </w:t>
            </w:r>
          </w:p>
          <w:p w14:paraId="0A217CF5">
            <w:pPr>
              <w:numPr>
                <w:ilvl w:val="2"/>
                <w:numId w:val="18"/>
              </w:numPr>
              <w:tabs>
                <w:tab w:val="left" w:pos="1440"/>
              </w:tabs>
              <w:spacing w:after="0" w:afterLines="0"/>
              <w:contextualSpacing/>
              <w:rPr>
                <w:lang w:val="en-US"/>
              </w:rPr>
            </w:pPr>
            <w:r>
              <w:rPr>
                <w:lang w:val="en-US"/>
              </w:rPr>
              <w:t>FFS: value of N2 (&gt;=1)</w:t>
            </w:r>
          </w:p>
          <w:p w14:paraId="41C38025">
            <w:pPr>
              <w:numPr>
                <w:ilvl w:val="1"/>
                <w:numId w:val="18"/>
              </w:numPr>
              <w:tabs>
                <w:tab w:val="left" w:pos="1440"/>
              </w:tabs>
              <w:spacing w:after="0" w:afterLines="0"/>
              <w:contextualSpacing/>
              <w:rPr>
                <w:lang w:val="en-US"/>
              </w:rPr>
            </w:pPr>
            <w:r>
              <w:rPr>
                <w:lang w:val="en-US"/>
              </w:rPr>
              <w:t>Opt 1-3: Muting/masking ROs</w:t>
            </w:r>
          </w:p>
          <w:p w14:paraId="0417EDAD">
            <w:pPr>
              <w:numPr>
                <w:ilvl w:val="1"/>
                <w:numId w:val="18"/>
              </w:numPr>
              <w:tabs>
                <w:tab w:val="left" w:pos="1440"/>
              </w:tabs>
              <w:spacing w:after="0" w:afterLines="0"/>
              <w:contextualSpacing/>
              <w:rPr>
                <w:lang w:val="en-US"/>
              </w:rPr>
            </w:pPr>
            <w:r>
              <w:rPr>
                <w:lang w:val="en-US"/>
              </w:rPr>
              <w:t xml:space="preserve">Opt 1-4: </w:t>
            </w:r>
          </w:p>
          <w:p w14:paraId="2505BE58">
            <w:pPr>
              <w:numPr>
                <w:ilvl w:val="2"/>
                <w:numId w:val="18"/>
              </w:numPr>
              <w:tabs>
                <w:tab w:val="left" w:pos="1440"/>
              </w:tabs>
              <w:spacing w:after="0" w:afterLines="0"/>
              <w:contextualSpacing/>
              <w:rPr>
                <w:lang w:val="en-US"/>
              </w:rPr>
            </w:pPr>
            <w:r>
              <w:rPr>
                <w:lang w:val="en-US"/>
              </w:rPr>
              <w:t>up to N4_1 additional timing offset(s) at frame-level</w:t>
            </w:r>
          </w:p>
          <w:p w14:paraId="68640E28">
            <w:pPr>
              <w:numPr>
                <w:ilvl w:val="2"/>
                <w:numId w:val="18"/>
              </w:numPr>
              <w:tabs>
                <w:tab w:val="left" w:pos="1440"/>
              </w:tabs>
              <w:spacing w:after="0" w:afterLines="0"/>
              <w:contextualSpacing/>
              <w:rPr>
                <w:lang w:val="en-US"/>
              </w:rPr>
            </w:pPr>
            <w:r>
              <w:rPr>
                <w:lang w:val="en-US"/>
              </w:rPr>
              <w:t>up to N4_2 additional timing offset(s) at slot-level</w:t>
            </w:r>
          </w:p>
          <w:p w14:paraId="61800CB7">
            <w:pPr>
              <w:numPr>
                <w:ilvl w:val="2"/>
                <w:numId w:val="18"/>
              </w:numPr>
              <w:tabs>
                <w:tab w:val="left" w:pos="1440"/>
              </w:tabs>
              <w:spacing w:after="0" w:afterLines="0"/>
              <w:contextualSpacing/>
              <w:rPr>
                <w:lang w:val="en-US"/>
              </w:rPr>
            </w:pPr>
            <w:r>
              <w:rPr>
                <w:lang w:val="en-US"/>
              </w:rPr>
              <w:t>FFS: values of N4_1(&gt;=1) and N4_2(&gt;=1)</w:t>
            </w:r>
          </w:p>
          <w:p w14:paraId="0874AFCF">
            <w:pPr>
              <w:numPr>
                <w:ilvl w:val="1"/>
                <w:numId w:val="18"/>
              </w:numPr>
              <w:tabs>
                <w:tab w:val="left" w:pos="1440"/>
              </w:tabs>
              <w:spacing w:after="0" w:afterLines="0"/>
              <w:contextualSpacing/>
              <w:rPr>
                <w:lang w:val="en-US"/>
              </w:rPr>
            </w:pPr>
            <w:r>
              <w:rPr>
                <w:lang w:val="en-US"/>
              </w:rPr>
              <w:t>Opt 1-5: No additional mechanism is selected.</w:t>
            </w:r>
          </w:p>
          <w:p w14:paraId="7F895E2E">
            <w:pPr>
              <w:numPr>
                <w:ilvl w:val="1"/>
                <w:numId w:val="18"/>
              </w:numPr>
              <w:tabs>
                <w:tab w:val="left" w:pos="1440"/>
              </w:tabs>
              <w:spacing w:after="0" w:afterLines="0"/>
              <w:contextualSpacing/>
              <w:rPr>
                <w:lang w:val="en-US"/>
              </w:rPr>
            </w:pPr>
            <w:r>
              <w:rPr>
                <w:lang w:val="en-US"/>
              </w:rPr>
              <w:t>Note: x and y refer to the parameters from the random-access configuration tables (from 38.211)</w:t>
            </w:r>
          </w:p>
        </w:tc>
      </w:tr>
    </w:tbl>
    <w:p w14:paraId="1282DBC7">
      <w:pPr>
        <w:spacing w:after="120"/>
        <w:rPr>
          <w:rFonts w:ascii="Times New Roman Bold" w:hAnsi="Times New Roman Bold" w:cs="Times New Roman Bold"/>
          <w:b/>
          <w:bCs/>
          <w:lang w:val="en-US"/>
        </w:rPr>
      </w:pPr>
    </w:p>
    <w:p w14:paraId="41361FEF">
      <w:pPr>
        <w:spacing w:after="120"/>
        <w:rPr>
          <w:lang w:val="en-US"/>
        </w:rPr>
      </w:pPr>
      <w:r>
        <w:rPr>
          <w:lang w:val="en-US"/>
        </w:rPr>
        <w:t>It can be observed from the PRACH configuration table that, for preamble format 1 and format 3 in FR1 PRACH configuration, by configuring different PRACH configuration index, non-overlapping PRACH resources could be configured, however, for other preamble formats especially short preamble format, almost all configuration will be overlap in time domain.</w:t>
      </w:r>
    </w:p>
    <w:p w14:paraId="5473E7F8">
      <w:pPr>
        <w:spacing w:after="120"/>
        <w:rPr>
          <w:rFonts w:ascii="Times New Roman Bold" w:hAnsi="Times New Roman Bold" w:cs="Times New Roman Bold"/>
          <w:b/>
          <w:bCs/>
          <w:lang w:val="en-US"/>
        </w:rPr>
      </w:pPr>
      <w:r>
        <w:rPr>
          <w:rFonts w:ascii="Times New Roman Bold" w:hAnsi="Times New Roman Bold" w:cs="Times New Roman Bold"/>
          <w:b/>
          <w:bCs/>
          <w:lang w:val="en-US"/>
        </w:rPr>
        <w:t>Observation 1: For preamble format 1 and format 3 in FR1 PRACH configuration, by configuring different PRACH configuration index, non-overlapping PRACH resources could be configured, however, for other preamble formats especially short preamble format, almost all configuration will be overlap in time domain.</w:t>
      </w:r>
    </w:p>
    <w:p w14:paraId="7D96EE41">
      <w:pPr>
        <w:spacing w:after="120"/>
        <w:rPr>
          <w:lang w:val="en-US"/>
        </w:rPr>
      </w:pPr>
      <w:r>
        <w:rPr>
          <w:lang w:val="en-US"/>
        </w:rPr>
        <w:t xml:space="preserve">It is also observed that for PRACH configurations with 160ms, 80ms and 40ms (e.g. Index 0,1,2, in Table 6.3.3.2-3), the PRACH resources are already scaled in periodicity. For PRACH configurations with 20ms and 10ms, the denser PRACH resources with more sub frames/slots are allocated. Some (most) configurations with 20ms periodicity have  a scaled version with 10ms periodicity (e.g. Index 3,4,5,6 in FR1 Table 6.3.3.2-3 can be scaled down to Index 7 and 12), while some other configurations with 20ms periodicity do not have a scaled version with 10ms periodicity (e.g. Index 154 in FR1 Table 6.3.3.2-3 does not have a scaled version). </w:t>
      </w:r>
    </w:p>
    <w:p w14:paraId="223F39AA">
      <w:pPr>
        <w:spacing w:after="120"/>
        <w:jc w:val="center"/>
        <w:rPr>
          <w:lang w:val="en-US"/>
        </w:rPr>
      </w:pPr>
      <w:r>
        <w:rPr>
          <w:lang w:val="en-US"/>
        </w:rPr>
        <w:t>Table 1 Example table of PRACH configuration for FR1 unpaired spectrum</w:t>
      </w:r>
    </w:p>
    <w:p w14:paraId="6E93E095">
      <w:pPr>
        <w:spacing w:after="120"/>
        <w:jc w:val="center"/>
      </w:pPr>
      <w:r>
        <w:drawing>
          <wp:inline distT="0" distB="0" distL="114300" distR="114300">
            <wp:extent cx="5836285" cy="4843145"/>
            <wp:effectExtent l="0" t="0" r="5715" b="8255"/>
            <wp:docPr id="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4"/>
                    <pic:cNvPicPr>
                      <a:picLocks noChangeAspect="1"/>
                    </pic:cNvPicPr>
                  </pic:nvPicPr>
                  <pic:blipFill>
                    <a:blip r:embed="rId12"/>
                    <a:stretch>
                      <a:fillRect/>
                    </a:stretch>
                  </pic:blipFill>
                  <pic:spPr>
                    <a:xfrm>
                      <a:off x="0" y="0"/>
                      <a:ext cx="5836285" cy="4843145"/>
                    </a:xfrm>
                    <a:prstGeom prst="rect">
                      <a:avLst/>
                    </a:prstGeom>
                    <a:noFill/>
                    <a:ln>
                      <a:noFill/>
                    </a:ln>
                  </pic:spPr>
                </pic:pic>
              </a:graphicData>
            </a:graphic>
          </wp:inline>
        </w:drawing>
      </w:r>
    </w:p>
    <w:p w14:paraId="3A1BAC51">
      <w:pPr>
        <w:spacing w:after="120"/>
        <w:jc w:val="center"/>
        <w:rPr>
          <w:lang w:val="en-US"/>
        </w:rPr>
      </w:pPr>
      <w:r>
        <w:drawing>
          <wp:inline distT="0" distB="0" distL="114300" distR="114300">
            <wp:extent cx="5848350" cy="3019425"/>
            <wp:effectExtent l="0" t="0" r="19050" b="3175"/>
            <wp:docPr id="1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5"/>
                    <pic:cNvPicPr>
                      <a:picLocks noChangeAspect="1"/>
                    </pic:cNvPicPr>
                  </pic:nvPicPr>
                  <pic:blipFill>
                    <a:blip r:embed="rId13"/>
                    <a:stretch>
                      <a:fillRect/>
                    </a:stretch>
                  </pic:blipFill>
                  <pic:spPr>
                    <a:xfrm>
                      <a:off x="0" y="0"/>
                      <a:ext cx="5848350" cy="3019425"/>
                    </a:xfrm>
                    <a:prstGeom prst="rect">
                      <a:avLst/>
                    </a:prstGeom>
                    <a:noFill/>
                    <a:ln>
                      <a:noFill/>
                    </a:ln>
                  </pic:spPr>
                </pic:pic>
              </a:graphicData>
            </a:graphic>
          </wp:inline>
        </w:drawing>
      </w:r>
    </w:p>
    <w:p w14:paraId="52AE6063">
      <w:pPr>
        <w:spacing w:after="120"/>
        <w:rPr>
          <w:lang w:val="en-US"/>
        </w:rPr>
      </w:pPr>
    </w:p>
    <w:p w14:paraId="06B4A251">
      <w:pPr>
        <w:spacing w:after="120"/>
        <w:rPr>
          <w:rFonts w:ascii="Times New Roman Bold" w:hAnsi="Times New Roman Bold" w:cs="Times New Roman Bold"/>
          <w:b/>
          <w:bCs/>
          <w:lang w:val="en-US"/>
        </w:rPr>
      </w:pPr>
      <w:r>
        <w:rPr>
          <w:rFonts w:ascii="Times New Roman Bold" w:hAnsi="Times New Roman Bold" w:cs="Times New Roman Bold"/>
          <w:b/>
          <w:bCs/>
          <w:lang w:val="en-US"/>
        </w:rPr>
        <w:t xml:space="preserve">Observation 2: For PRACH configurations with 160ms, 80ms and 40ms (e.g. Index 0,1,2, in Table 6.3.3.2-3), the PRACH resources are already scaled in periodicity. Some (most) configurations with 20ms periodicity have a scaled version with 10ms periodicity, while some other configurations with 20ms periodicity do not have a scaled version with 10ms periodicity. </w:t>
      </w:r>
    </w:p>
    <w:p w14:paraId="5AC3A390">
      <w:pPr>
        <w:spacing w:after="120"/>
        <w:rPr>
          <w:rFonts w:ascii="Times New Roman Bold" w:hAnsi="Times New Roman Bold" w:cs="Times New Roman Bold"/>
          <w:b/>
          <w:bCs/>
          <w:lang w:val="en-US"/>
        </w:rPr>
      </w:pPr>
    </w:p>
    <w:p w14:paraId="1E66B69D">
      <w:pPr>
        <w:spacing w:after="120"/>
        <w:rPr>
          <w:rFonts w:ascii="Times New Roman Bold" w:hAnsi="Times New Roman Bold" w:cs="Times New Roman Bold"/>
          <w:b/>
          <w:bCs/>
          <w:lang w:val="en-US"/>
        </w:rPr>
      </w:pPr>
      <w:r>
        <w:rPr>
          <w:lang w:val="en-US"/>
        </w:rPr>
        <w:t xml:space="preserve">According to our understanding, for Alt 1 (same PRACH configuration index for additional and legacy PRACH resources), the NES gain comes from using a PRACH configuration index with large periodicity and allocated Rel-19 NES capable UEs to separate FDMed RO than legacy UEs, so that the PRACH congestion can be controlled. However, this alternative sacrifices UE latency. Therefore, we believe that Alt 2 (different PRACH configuration index) can be beneficial to leverage between NES gain and UE initial access latency. </w:t>
      </w:r>
    </w:p>
    <w:p w14:paraId="65785CB4">
      <w:pPr>
        <w:spacing w:after="120"/>
        <w:rPr>
          <w:lang w:val="en-US"/>
        </w:rPr>
      </w:pPr>
      <w:r>
        <w:rPr>
          <w:lang w:val="en-US"/>
        </w:rPr>
        <w:t xml:space="preserve">In summary, different PRACH configuration indexes cannot fully guarantee non-overlapping PRACH resources for legacy UEs and Rel-19 UEs. However, we also observe that for NES purpose, it is more likely to configure legacy resources with larger than 40ms periodicity PRACH resources, considering the limited number of subframes can be allocated, we think at least a different PRACH configuration should be chosen for legacy and additional PRACH resources. A scaled periodicity from a 20ms periodicity to 10ms periodicity may provide more flexibility in resource configuration however that will also create non-existing PRACH resource in current spec. </w:t>
      </w:r>
    </w:p>
    <w:p w14:paraId="55896405">
      <w:pPr>
        <w:spacing w:after="120"/>
        <w:rPr>
          <w:lang w:val="en-US"/>
        </w:rPr>
      </w:pPr>
      <w:r>
        <w:rPr>
          <w:lang w:val="en-US"/>
        </w:rPr>
        <w:t xml:space="preserve">Regarding the detailed configuration schemes, especially considering how to provide non-overlapping time-domain PRACH resources, we think a combination of Option 1-2b or Option 1-4 can be considered. </w:t>
      </w:r>
    </w:p>
    <w:p w14:paraId="12CEEC9C">
      <w:pPr>
        <w:spacing w:after="120"/>
        <w:rPr>
          <w:lang w:val="en-US"/>
        </w:rPr>
      </w:pPr>
      <w:r>
        <w:rPr>
          <w:lang w:val="en-US"/>
        </w:rPr>
        <w:t xml:space="preserve">For Option 1-2b, the intention is to use existing parameters in the PRACH configuration table to avoid creating more non-existing PRACH resources in current spec. We think this is important to reduce UE complexity, however, for 10ms PRACH configuration, there is no other value suitable for y to offset the PRACH resources, where additional offset value (Option 1-4) may be additionally needed. Note that since the intention of y is to provide non-over PRACH resources, we think only one value is enough. </w:t>
      </w:r>
    </w:p>
    <w:p w14:paraId="2757D984">
      <w:pPr>
        <w:spacing w:after="120"/>
        <w:rPr>
          <w:lang w:val="en-US"/>
        </w:rPr>
      </w:pPr>
      <w:r>
        <w:rPr>
          <w:lang w:val="en-US"/>
        </w:rPr>
        <w:t xml:space="preserve">For Option 1-4, this provides more flexibility than 1-2b in providing non-overlapping resources, however, they will provide more non-existing PRACH resources in current spec. As discussed above, it can be combined with Option 1-2b, where Option 1-4 can be limited to 10ms PRACH periodicity case. </w:t>
      </w:r>
    </w:p>
    <w:p w14:paraId="7040634F">
      <w:pPr>
        <w:spacing w:after="120"/>
        <w:rPr>
          <w:lang w:val="en-US"/>
        </w:rPr>
      </w:pPr>
      <w:r>
        <w:rPr>
          <w:lang w:val="en-US"/>
        </w:rPr>
        <w:t xml:space="preserve">For Option 1-2a, as discussed above, we do not think it is needed under different PRACH configuration index case. </w:t>
      </w:r>
    </w:p>
    <w:p w14:paraId="712EBD0A">
      <w:pPr>
        <w:spacing w:after="120"/>
        <w:rPr>
          <w:lang w:val="en-US"/>
        </w:rPr>
      </w:pPr>
      <w:r>
        <w:rPr>
          <w:lang w:val="en-US"/>
        </w:rPr>
        <w:t xml:space="preserve">For Option 1-3, we think it needs to be clarified further whether the muting is applied before or after SSB-to-RO mapping. In our understanding, in legacy spec, the muting happens after SSB-to-RO mapping, therefore, it would be needed to create a condensed PRACH resources without impact SSB-to RO mapping as we will discuss in the following session. </w:t>
      </w:r>
    </w:p>
    <w:p w14:paraId="291725B1">
      <w:pPr>
        <w:numPr>
          <w:ilvl w:val="255"/>
          <w:numId w:val="0"/>
        </w:numPr>
        <w:spacing w:after="120"/>
        <w:rPr>
          <w:rFonts w:ascii="Times New Roman Bold" w:hAnsi="Times New Roman Bold" w:cs="Times New Roman Bold"/>
          <w:b/>
          <w:bCs/>
          <w:lang w:val="en-US"/>
        </w:rPr>
      </w:pPr>
      <w:r>
        <w:rPr>
          <w:b/>
          <w:bCs/>
          <w:lang w:val="en-US"/>
        </w:rPr>
        <w:t xml:space="preserve">Observation 3: </w:t>
      </w:r>
      <w:r>
        <w:rPr>
          <w:rFonts w:ascii="Times New Roman Bold" w:hAnsi="Times New Roman Bold" w:cs="Times New Roman Bold"/>
          <w:b/>
          <w:bCs/>
          <w:lang w:val="en-US"/>
        </w:rPr>
        <w:t xml:space="preserve">Option 1-2b with N2=1 or Option 1-4 with one additional frame level offset value is preferred to avoid time-domain overlapping of additional PRACH resources and legacy PRACH resources. </w:t>
      </w:r>
    </w:p>
    <w:p w14:paraId="780DB0EB">
      <w:pPr>
        <w:spacing w:after="120"/>
        <w:rPr>
          <w:lang w:val="en-US"/>
        </w:rPr>
      </w:pPr>
    </w:p>
    <w:p w14:paraId="40491B5C">
      <w:pPr>
        <w:spacing w:after="120"/>
        <w:rPr>
          <w:lang w:val="en-US"/>
        </w:rPr>
      </w:pPr>
      <w:r>
        <w:rPr>
          <w:lang w:val="en-US"/>
        </w:rPr>
        <w:t xml:space="preserve">However, in last meeting, RAN1 discussed about the issue and no consensus can be reached in terms of how to configure the additional PRACH resources. We were close to the compromised solution to support Option 1-6B for Alt 2 as shown in the following, which is no additional offsets/scaling factors are configured, rely on UE to treat the </w:t>
      </w:r>
      <w:r>
        <w:t xml:space="preserve">additional RO </w:t>
      </w:r>
      <w:r>
        <w:rPr>
          <w:lang w:val="en-US"/>
        </w:rPr>
        <w:t xml:space="preserve">that </w:t>
      </w:r>
      <w:r>
        <w:t>overlapped with legacy RO in both time and frequency domain</w:t>
      </w:r>
      <w:r>
        <w:rPr>
          <w:lang w:val="en-US"/>
        </w:rPr>
        <w:t xml:space="preserve"> as invalid RO. </w:t>
      </w:r>
    </w:p>
    <w:p w14:paraId="4FAB7927">
      <w:pPr>
        <w:spacing w:after="120"/>
        <w:rPr>
          <w:lang w:val="en-US"/>
        </w:rPr>
      </w:pP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657"/>
      </w:tblGrid>
      <w:tr w14:paraId="5C14B487">
        <w:tc>
          <w:tcPr>
            <w:tcW w:w="9657" w:type="dxa"/>
          </w:tcPr>
          <w:p w14:paraId="0053BA1E">
            <w:pPr>
              <w:pStyle w:val="3"/>
              <w:numPr>
                <w:ilvl w:val="0"/>
                <w:numId w:val="0"/>
              </w:numPr>
              <w:spacing w:before="0" w:after="0" w:afterLines="0"/>
              <w:ind w:left="576" w:hanging="576"/>
              <w:rPr>
                <w:sz w:val="20"/>
                <w:szCs w:val="20"/>
              </w:rPr>
            </w:pPr>
            <w:r>
              <w:rPr>
                <w:sz w:val="20"/>
                <w:szCs w:val="20"/>
              </w:rPr>
              <w:t>Proposal 4.1.5a-rev3</w:t>
            </w:r>
          </w:p>
          <w:p w14:paraId="2717C86C">
            <w:pPr>
              <w:spacing w:after="0" w:afterLines="0"/>
            </w:pPr>
            <w:r>
              <w:t xml:space="preserve">For adaptation of PRACH in time-domain, for determining the additional PRACH resources in time-domain, </w:t>
            </w:r>
          </w:p>
          <w:p w14:paraId="5670A190">
            <w:pPr>
              <w:pStyle w:val="56"/>
              <w:numPr>
                <w:ilvl w:val="0"/>
                <w:numId w:val="18"/>
              </w:numPr>
              <w:tabs>
                <w:tab w:val="clear" w:pos="1440"/>
              </w:tabs>
              <w:autoSpaceDE/>
              <w:autoSpaceDN/>
              <w:spacing w:after="0" w:afterLines="0"/>
              <w:ind w:left="1160"/>
              <w:jc w:val="left"/>
              <w:rPr>
                <w:lang w:val="en-US" w:eastAsia="en-US"/>
              </w:rPr>
            </w:pPr>
            <w:r>
              <w:rPr>
                <w:lang w:val="en-US" w:eastAsia="en-US"/>
              </w:rPr>
              <w:t>For Alt 2 (different PRACH configuration index for additional and legacy PRACH resources), select Opt 1-6B:</w:t>
            </w:r>
          </w:p>
          <w:p w14:paraId="39F300BB">
            <w:pPr>
              <w:pStyle w:val="56"/>
              <w:numPr>
                <w:ilvl w:val="1"/>
                <w:numId w:val="18"/>
              </w:numPr>
              <w:tabs>
                <w:tab w:val="left" w:pos="1600"/>
                <w:tab w:val="clear" w:pos="1440"/>
              </w:tabs>
              <w:autoSpaceDE/>
              <w:autoSpaceDN/>
              <w:spacing w:after="0" w:afterLines="0"/>
              <w:ind w:left="1600" w:leftChars="600" w:right="150" w:hanging="400"/>
              <w:jc w:val="left"/>
              <w:rPr>
                <w:lang w:val="en-US" w:eastAsia="en-US"/>
              </w:rPr>
            </w:pPr>
            <w:r>
              <w:t>Opt 1-6B: When an additional RO is overlapped with legacy RO in both time and frequency domain, the additional RO is invalid before the SSB-RO mapping</w:t>
            </w:r>
          </w:p>
          <w:p w14:paraId="3A6FE398">
            <w:pPr>
              <w:pStyle w:val="56"/>
              <w:numPr>
                <w:ilvl w:val="0"/>
                <w:numId w:val="18"/>
              </w:numPr>
              <w:tabs>
                <w:tab w:val="clear" w:pos="1440"/>
              </w:tabs>
              <w:autoSpaceDE/>
              <w:autoSpaceDN/>
              <w:spacing w:after="0" w:afterLines="0"/>
              <w:ind w:left="1160"/>
              <w:jc w:val="left"/>
              <w:rPr>
                <w:lang w:val="en-US" w:eastAsia="en-US"/>
              </w:rPr>
            </w:pPr>
            <w:r>
              <w:t>Note: the overlapped RO for legacy resource is not impacted.</w:t>
            </w:r>
          </w:p>
          <w:p w14:paraId="717B1A01">
            <w:pPr>
              <w:pStyle w:val="56"/>
              <w:numPr>
                <w:ilvl w:val="1"/>
                <w:numId w:val="18"/>
              </w:numPr>
              <w:tabs>
                <w:tab w:val="left" w:pos="1600"/>
                <w:tab w:val="clear" w:pos="1440"/>
              </w:tabs>
              <w:autoSpaceDE/>
              <w:autoSpaceDN/>
              <w:spacing w:after="0" w:afterLines="0"/>
              <w:ind w:left="1600" w:leftChars="600" w:right="150" w:hanging="400"/>
              <w:jc w:val="left"/>
              <w:rPr>
                <w:lang w:val="en-US" w:eastAsia="en-US"/>
              </w:rPr>
            </w:pPr>
            <w:r>
              <w:t xml:space="preserve">This does not preclude the FFS on PRACH mask from the following agreement from RAN1#119). The single PRACH mask (if supported) </w:t>
            </w:r>
            <w:r>
              <w:rPr>
                <w:lang w:val="en-US" w:eastAsia="en-US"/>
              </w:rPr>
              <w:t>is applied after the SSB-RO mapping.</w:t>
            </w:r>
          </w:p>
          <w:p w14:paraId="1AA185C3">
            <w:pPr>
              <w:spacing w:after="0" w:afterLines="0"/>
              <w:ind w:left="2160"/>
              <w:rPr>
                <w:b/>
                <w:bCs/>
                <w:i/>
                <w:iCs/>
                <w:sz w:val="18"/>
                <w:szCs w:val="18"/>
                <w:lang w:val="en-US" w:eastAsia="zh-CN"/>
              </w:rPr>
            </w:pPr>
            <w:r>
              <w:rPr>
                <w:b/>
                <w:bCs/>
                <w:i/>
                <w:iCs/>
                <w:sz w:val="18"/>
                <w:szCs w:val="18"/>
                <w:highlight w:val="green"/>
                <w:lang w:val="en-US" w:eastAsia="zh-CN"/>
              </w:rPr>
              <w:t>Agreement</w:t>
            </w:r>
            <w:r>
              <w:rPr>
                <w:b/>
                <w:bCs/>
                <w:i/>
                <w:iCs/>
                <w:sz w:val="18"/>
                <w:szCs w:val="18"/>
                <w:lang w:val="en-US" w:eastAsia="zh-CN"/>
              </w:rPr>
              <w:t xml:space="preserve"> (from RAN1#119)</w:t>
            </w:r>
          </w:p>
          <w:p w14:paraId="419544CF">
            <w:pPr>
              <w:spacing w:after="0" w:afterLines="0"/>
              <w:ind w:left="2160"/>
              <w:rPr>
                <w:i/>
                <w:iCs/>
                <w:sz w:val="18"/>
                <w:szCs w:val="18"/>
              </w:rPr>
            </w:pPr>
            <w:r>
              <w:rPr>
                <w:i/>
                <w:iCs/>
                <w:sz w:val="18"/>
                <w:szCs w:val="18"/>
              </w:rPr>
              <w:t>For DCI-based adaptation for additional PRACH resources, select only from the following alternatives:</w:t>
            </w:r>
          </w:p>
          <w:p w14:paraId="167D912B">
            <w:pPr>
              <w:numPr>
                <w:ilvl w:val="0"/>
                <w:numId w:val="18"/>
              </w:numPr>
              <w:autoSpaceDE/>
              <w:autoSpaceDN/>
              <w:spacing w:after="0" w:afterLines="0"/>
              <w:ind w:left="2880"/>
              <w:jc w:val="left"/>
              <w:rPr>
                <w:i/>
                <w:iCs/>
                <w:sz w:val="18"/>
                <w:szCs w:val="18"/>
              </w:rPr>
            </w:pPr>
            <w:r>
              <w:rPr>
                <w:i/>
                <w:iCs/>
                <w:sz w:val="18"/>
                <w:szCs w:val="18"/>
              </w:rPr>
              <w:t>Alt 1: DCI-based adaptation to indicate whether the additional PRACH resources provided by semi-static signalling are available or not</w:t>
            </w:r>
            <w:r>
              <w:rPr>
                <w:i/>
                <w:iCs/>
                <w:color w:val="FF0000"/>
                <w:sz w:val="18"/>
                <w:szCs w:val="18"/>
              </w:rPr>
              <w:t xml:space="preserve"> </w:t>
            </w:r>
          </w:p>
          <w:p w14:paraId="6A36DB89">
            <w:pPr>
              <w:numPr>
                <w:ilvl w:val="1"/>
                <w:numId w:val="18"/>
              </w:numPr>
              <w:autoSpaceDE/>
              <w:autoSpaceDN/>
              <w:spacing w:after="0" w:afterLines="0"/>
              <w:ind w:left="3600"/>
              <w:jc w:val="left"/>
              <w:rPr>
                <w:i/>
                <w:iCs/>
                <w:color w:val="FF0000"/>
                <w:sz w:val="18"/>
                <w:szCs w:val="18"/>
              </w:rPr>
            </w:pPr>
            <w:r>
              <w:rPr>
                <w:i/>
                <w:iCs/>
                <w:color w:val="FF0000"/>
                <w:sz w:val="18"/>
                <w:szCs w:val="18"/>
              </w:rPr>
              <w:t>[DCI payload size = 1 bit]</w:t>
            </w:r>
          </w:p>
          <w:p w14:paraId="55910A75">
            <w:pPr>
              <w:numPr>
                <w:ilvl w:val="1"/>
                <w:numId w:val="18"/>
              </w:numPr>
              <w:tabs>
                <w:tab w:val="left" w:pos="1440"/>
              </w:tabs>
              <w:autoSpaceDE/>
              <w:autoSpaceDN/>
              <w:spacing w:after="0" w:afterLines="0"/>
              <w:ind w:left="3600"/>
              <w:jc w:val="left"/>
              <w:rPr>
                <w:i/>
                <w:iCs/>
                <w:color w:val="FF0000"/>
                <w:sz w:val="18"/>
                <w:szCs w:val="18"/>
              </w:rPr>
            </w:pPr>
            <w:r>
              <w:rPr>
                <w:i/>
                <w:iCs/>
                <w:color w:val="FF0000"/>
                <w:sz w:val="18"/>
                <w:szCs w:val="18"/>
              </w:rPr>
              <w:t>FFS: A single PRACH mask provided by semi-static signalling is used to identify the subset of the additional PRACH resources</w:t>
            </w:r>
          </w:p>
          <w:p w14:paraId="384B15BA">
            <w:pPr>
              <w:numPr>
                <w:ilvl w:val="1"/>
                <w:numId w:val="18"/>
              </w:numPr>
              <w:autoSpaceDE/>
              <w:autoSpaceDN/>
              <w:spacing w:after="0" w:afterLines="0"/>
              <w:ind w:left="3600"/>
              <w:jc w:val="left"/>
              <w:rPr>
                <w:i/>
                <w:iCs/>
                <w:sz w:val="18"/>
                <w:szCs w:val="18"/>
              </w:rPr>
            </w:pPr>
            <w:r>
              <w:rPr>
                <w:i/>
                <w:iCs/>
                <w:sz w:val="18"/>
                <w:szCs w:val="18"/>
              </w:rPr>
              <w:t>FFS: details</w:t>
            </w:r>
          </w:p>
          <w:p w14:paraId="338D57A3">
            <w:pPr>
              <w:spacing w:after="0" w:afterLines="0"/>
              <w:rPr>
                <w:lang w:val="en-US"/>
              </w:rPr>
            </w:pPr>
          </w:p>
          <w:p w14:paraId="5067E49A">
            <w:pPr>
              <w:pStyle w:val="3"/>
              <w:numPr>
                <w:ilvl w:val="0"/>
                <w:numId w:val="0"/>
              </w:numPr>
              <w:spacing w:before="0" w:after="0" w:afterLines="0"/>
              <w:ind w:left="576" w:hanging="576"/>
              <w:rPr>
                <w:sz w:val="20"/>
                <w:szCs w:val="20"/>
              </w:rPr>
            </w:pPr>
            <w:r>
              <w:rPr>
                <w:sz w:val="20"/>
                <w:szCs w:val="20"/>
              </w:rPr>
              <w:t>Proposal 4.1.5b-rev1</w:t>
            </w:r>
          </w:p>
          <w:p w14:paraId="3CB9C05C">
            <w:pPr>
              <w:spacing w:after="0" w:afterLines="0"/>
            </w:pPr>
            <w:r>
              <w:t xml:space="preserve">For adaptation of PRACH in time-domain, for determining the additional PRACH resources in time-domain, </w:t>
            </w:r>
          </w:p>
          <w:p w14:paraId="3D157026">
            <w:pPr>
              <w:pStyle w:val="56"/>
              <w:numPr>
                <w:ilvl w:val="0"/>
                <w:numId w:val="18"/>
              </w:numPr>
              <w:tabs>
                <w:tab w:val="clear" w:pos="1440"/>
              </w:tabs>
              <w:autoSpaceDE/>
              <w:autoSpaceDN/>
              <w:spacing w:after="0" w:afterLines="0"/>
              <w:ind w:left="1160"/>
              <w:jc w:val="left"/>
              <w:rPr>
                <w:lang w:val="en-US" w:eastAsia="en-US"/>
              </w:rPr>
            </w:pPr>
            <w:r>
              <w:rPr>
                <w:lang w:val="en-US" w:eastAsia="en-US"/>
              </w:rPr>
              <w:t>For Alt 1 (same PRACH configuration index for additional and legacy PRACH resources), select one or more of the following additional mechanism(s),</w:t>
            </w:r>
          </w:p>
          <w:p w14:paraId="7A7C3CC4">
            <w:pPr>
              <w:pStyle w:val="56"/>
              <w:numPr>
                <w:ilvl w:val="1"/>
                <w:numId w:val="18"/>
              </w:numPr>
              <w:tabs>
                <w:tab w:val="left" w:pos="1600"/>
                <w:tab w:val="clear" w:pos="1440"/>
              </w:tabs>
              <w:autoSpaceDE/>
              <w:autoSpaceDN/>
              <w:spacing w:after="0" w:afterLines="0"/>
              <w:ind w:left="1600" w:leftChars="600" w:right="150" w:hanging="400"/>
              <w:jc w:val="left"/>
              <w:rPr>
                <w:lang w:val="en-US"/>
              </w:rPr>
            </w:pPr>
            <w:r>
              <w:rPr>
                <w:lang w:val="en-US"/>
              </w:rPr>
              <w:t xml:space="preserve">Opt 1-2a: up to N1 additional value(s) of (x, y) </w:t>
            </w:r>
          </w:p>
          <w:p w14:paraId="0B3418AD">
            <w:pPr>
              <w:numPr>
                <w:ilvl w:val="2"/>
                <w:numId w:val="18"/>
              </w:numPr>
              <w:autoSpaceDE/>
              <w:autoSpaceDN/>
              <w:spacing w:after="0" w:afterLines="0"/>
              <w:contextualSpacing/>
              <w:jc w:val="left"/>
              <w:rPr>
                <w:lang w:val="en-US"/>
              </w:rPr>
            </w:pPr>
            <w:r>
              <w:rPr>
                <w:lang w:val="en-US"/>
              </w:rPr>
              <w:t>FFS: value of N1(&gt;=1)</w:t>
            </w:r>
          </w:p>
          <w:p w14:paraId="68A366DB">
            <w:pPr>
              <w:pStyle w:val="56"/>
              <w:numPr>
                <w:ilvl w:val="1"/>
                <w:numId w:val="18"/>
              </w:numPr>
              <w:tabs>
                <w:tab w:val="left" w:pos="1600"/>
                <w:tab w:val="clear" w:pos="1440"/>
              </w:tabs>
              <w:autoSpaceDE/>
              <w:autoSpaceDN/>
              <w:spacing w:after="0" w:afterLines="0"/>
              <w:ind w:left="1600" w:leftChars="600" w:right="150" w:hanging="400"/>
              <w:jc w:val="left"/>
              <w:rPr>
                <w:lang w:val="en-US"/>
              </w:rPr>
            </w:pPr>
            <w:r>
              <w:rPr>
                <w:lang w:val="en-US"/>
              </w:rPr>
              <w:t xml:space="preserve">Opt 1-2b: up to N2 additional value(s) of y </w:t>
            </w:r>
          </w:p>
          <w:p w14:paraId="5FADE0BC">
            <w:pPr>
              <w:numPr>
                <w:ilvl w:val="2"/>
                <w:numId w:val="18"/>
              </w:numPr>
              <w:autoSpaceDE/>
              <w:autoSpaceDN/>
              <w:spacing w:after="0" w:afterLines="0"/>
              <w:contextualSpacing/>
              <w:jc w:val="left"/>
              <w:rPr>
                <w:lang w:val="en-US"/>
              </w:rPr>
            </w:pPr>
            <w:r>
              <w:rPr>
                <w:lang w:val="en-US"/>
              </w:rPr>
              <w:t>FFS: value of N2 (&gt;=1)</w:t>
            </w:r>
          </w:p>
          <w:p w14:paraId="2C936BD5">
            <w:pPr>
              <w:pStyle w:val="56"/>
              <w:numPr>
                <w:ilvl w:val="1"/>
                <w:numId w:val="18"/>
              </w:numPr>
              <w:tabs>
                <w:tab w:val="left" w:pos="1600"/>
                <w:tab w:val="clear" w:pos="1440"/>
              </w:tabs>
              <w:autoSpaceDE/>
              <w:autoSpaceDN/>
              <w:spacing w:after="0" w:afterLines="0"/>
              <w:ind w:left="1600" w:leftChars="600" w:right="150" w:hanging="400"/>
              <w:jc w:val="left"/>
              <w:rPr>
                <w:lang w:val="en-US"/>
              </w:rPr>
            </w:pPr>
            <w:r>
              <w:rPr>
                <w:lang w:val="en-US"/>
              </w:rPr>
              <w:t>Opt 1-3: Muting/masking ROs</w:t>
            </w:r>
          </w:p>
          <w:p w14:paraId="2E9C948F">
            <w:pPr>
              <w:pStyle w:val="56"/>
              <w:numPr>
                <w:ilvl w:val="1"/>
                <w:numId w:val="18"/>
              </w:numPr>
              <w:tabs>
                <w:tab w:val="left" w:pos="1600"/>
                <w:tab w:val="clear" w:pos="1440"/>
              </w:tabs>
              <w:autoSpaceDE/>
              <w:autoSpaceDN/>
              <w:spacing w:after="0" w:afterLines="0"/>
              <w:ind w:left="1600" w:leftChars="600" w:right="150" w:hanging="400"/>
              <w:jc w:val="left"/>
              <w:rPr>
                <w:lang w:val="en-US"/>
              </w:rPr>
            </w:pPr>
            <w:r>
              <w:rPr>
                <w:lang w:val="en-US"/>
              </w:rPr>
              <w:t xml:space="preserve">Opt 1-4: </w:t>
            </w:r>
          </w:p>
          <w:p w14:paraId="47FC050B">
            <w:pPr>
              <w:numPr>
                <w:ilvl w:val="2"/>
                <w:numId w:val="18"/>
              </w:numPr>
              <w:autoSpaceDE/>
              <w:autoSpaceDN/>
              <w:spacing w:after="0" w:afterLines="0"/>
              <w:contextualSpacing/>
              <w:jc w:val="left"/>
              <w:rPr>
                <w:lang w:val="en-US"/>
              </w:rPr>
            </w:pPr>
            <w:r>
              <w:rPr>
                <w:lang w:val="en-US"/>
              </w:rPr>
              <w:t>up to N4_1 additional timing offset(s) at frame-level</w:t>
            </w:r>
          </w:p>
          <w:p w14:paraId="2A5A61B2">
            <w:pPr>
              <w:numPr>
                <w:ilvl w:val="2"/>
                <w:numId w:val="18"/>
              </w:numPr>
              <w:autoSpaceDE/>
              <w:autoSpaceDN/>
              <w:spacing w:after="0" w:afterLines="0"/>
              <w:contextualSpacing/>
              <w:jc w:val="left"/>
              <w:rPr>
                <w:lang w:val="en-US"/>
              </w:rPr>
            </w:pPr>
            <w:r>
              <w:rPr>
                <w:lang w:val="en-US"/>
              </w:rPr>
              <w:t>up to N4_2 additional timing offset(s) at slot-level</w:t>
            </w:r>
          </w:p>
          <w:p w14:paraId="6862B650">
            <w:pPr>
              <w:numPr>
                <w:ilvl w:val="2"/>
                <w:numId w:val="18"/>
              </w:numPr>
              <w:autoSpaceDE/>
              <w:autoSpaceDN/>
              <w:spacing w:after="0" w:afterLines="0"/>
              <w:contextualSpacing/>
              <w:jc w:val="left"/>
              <w:rPr>
                <w:lang w:val="en-US"/>
              </w:rPr>
            </w:pPr>
            <w:r>
              <w:rPr>
                <w:lang w:val="en-US"/>
              </w:rPr>
              <w:t>N4_1 = [1 or 2 or 3]</w:t>
            </w:r>
          </w:p>
          <w:p w14:paraId="2DF9144C">
            <w:pPr>
              <w:numPr>
                <w:ilvl w:val="2"/>
                <w:numId w:val="18"/>
              </w:numPr>
              <w:autoSpaceDE/>
              <w:autoSpaceDN/>
              <w:spacing w:after="0" w:afterLines="0"/>
              <w:contextualSpacing/>
              <w:jc w:val="left"/>
              <w:rPr>
                <w:lang w:val="en-US"/>
              </w:rPr>
            </w:pPr>
            <w:r>
              <w:rPr>
                <w:lang w:val="en-US"/>
              </w:rPr>
              <w:t>N4_2 = [1 or 2 or 3]</w:t>
            </w:r>
          </w:p>
          <w:p w14:paraId="478C7D67">
            <w:pPr>
              <w:pStyle w:val="56"/>
              <w:numPr>
                <w:ilvl w:val="1"/>
                <w:numId w:val="18"/>
              </w:numPr>
              <w:tabs>
                <w:tab w:val="left" w:pos="1600"/>
                <w:tab w:val="clear" w:pos="1440"/>
              </w:tabs>
              <w:autoSpaceDE/>
              <w:autoSpaceDN/>
              <w:spacing w:after="0" w:afterLines="0"/>
              <w:ind w:left="1600" w:leftChars="600" w:right="150" w:hanging="400"/>
              <w:jc w:val="left"/>
              <w:rPr>
                <w:lang w:val="en-US"/>
              </w:rPr>
            </w:pPr>
            <w:r>
              <w:rPr>
                <w:lang w:val="en-US"/>
              </w:rPr>
              <w:t xml:space="preserve">Opt 1-5: No additional mechanism is selected. </w:t>
            </w:r>
          </w:p>
          <w:p w14:paraId="73B3B16E">
            <w:pPr>
              <w:pStyle w:val="56"/>
              <w:numPr>
                <w:ilvl w:val="1"/>
                <w:numId w:val="18"/>
              </w:numPr>
              <w:tabs>
                <w:tab w:val="left" w:pos="1600"/>
                <w:tab w:val="clear" w:pos="1440"/>
              </w:tabs>
              <w:autoSpaceDE/>
              <w:autoSpaceDN/>
              <w:spacing w:after="0" w:afterLines="0"/>
              <w:ind w:left="1600" w:leftChars="600" w:right="150" w:hanging="400"/>
              <w:jc w:val="left"/>
              <w:rPr>
                <w:color w:val="FF0000"/>
                <w:lang w:val="en-US" w:eastAsia="en-US"/>
              </w:rPr>
            </w:pPr>
            <w:r>
              <w:rPr>
                <w:color w:val="FF0000"/>
              </w:rPr>
              <w:t>Opt 1-6B: When an additional RO is overlapped with legacy RO in both time and frequency domain, the additional RO is invalid before the SSB-RO mapping</w:t>
            </w:r>
          </w:p>
          <w:p w14:paraId="4FAAC112">
            <w:pPr>
              <w:numPr>
                <w:ilvl w:val="2"/>
                <w:numId w:val="18"/>
              </w:numPr>
              <w:autoSpaceDE/>
              <w:autoSpaceDN/>
              <w:spacing w:after="0" w:afterLines="0"/>
              <w:contextualSpacing/>
              <w:jc w:val="left"/>
              <w:rPr>
                <w:color w:val="FF0000"/>
                <w:lang w:val="en-US"/>
              </w:rPr>
            </w:pPr>
            <w:r>
              <w:rPr>
                <w:color w:val="FF0000"/>
              </w:rPr>
              <w:t>Note: the overlapped RO for legacy resource is not impacted.</w:t>
            </w:r>
          </w:p>
          <w:p w14:paraId="64BDAFF8">
            <w:pPr>
              <w:pStyle w:val="56"/>
              <w:numPr>
                <w:ilvl w:val="1"/>
                <w:numId w:val="18"/>
              </w:numPr>
              <w:tabs>
                <w:tab w:val="left" w:pos="1600"/>
                <w:tab w:val="clear" w:pos="1440"/>
              </w:tabs>
              <w:autoSpaceDE/>
              <w:autoSpaceDN/>
              <w:spacing w:after="0" w:afterLines="0"/>
              <w:ind w:left="1600" w:leftChars="600" w:right="150" w:hanging="400"/>
              <w:jc w:val="left"/>
              <w:rPr>
                <w:lang w:val="en-US"/>
              </w:rPr>
            </w:pPr>
            <w:r>
              <w:rPr>
                <w:lang w:val="en-US"/>
              </w:rPr>
              <w:t>Note: x and y refer to the parameters from the random-access configuration tables (from 38.211)</w:t>
            </w:r>
          </w:p>
        </w:tc>
      </w:tr>
    </w:tbl>
    <w:p w14:paraId="215E8D6A">
      <w:pPr>
        <w:spacing w:after="120"/>
        <w:rPr>
          <w:rFonts w:ascii="Times New Roman Bold" w:hAnsi="Times New Roman Bold" w:cs="Times New Roman Bold"/>
          <w:b/>
          <w:bCs/>
          <w:lang w:val="en-US"/>
        </w:rPr>
      </w:pPr>
    </w:p>
    <w:p w14:paraId="4363E457">
      <w:pPr>
        <w:spacing w:after="120"/>
        <w:rPr>
          <w:lang w:val="en-US"/>
        </w:rPr>
      </w:pPr>
      <w:r>
        <w:rPr>
          <w:lang w:val="en-US"/>
        </w:rPr>
        <w:t>This does not full</w:t>
      </w:r>
      <w:r>
        <w:rPr>
          <w:rFonts w:hint="default"/>
          <w:lang w:val="en-US"/>
        </w:rPr>
        <w:t>y</w:t>
      </w:r>
      <w:r>
        <w:rPr>
          <w:lang w:val="en-US"/>
        </w:rPr>
        <w:t xml:space="preserve"> address the issue when additional RO and legacy RO partially overlap in time domain only, implying that the handling of mapping different SSBs to the ROs in the same time domain is left for NW implementation. If this is acceptable to the NW, we think the Option 1-5 would be the simplest way to go. </w:t>
      </w:r>
    </w:p>
    <w:p w14:paraId="6A3BA65C">
      <w:pPr>
        <w:spacing w:after="120"/>
        <w:rPr>
          <w:lang w:val="en-US"/>
        </w:rPr>
      </w:pPr>
      <w:r>
        <w:rPr>
          <w:rFonts w:ascii="Times New Roman Bold" w:hAnsi="Times New Roman Bold" w:cs="Times New Roman Bold"/>
          <w:b/>
          <w:bCs/>
          <w:lang w:val="en-US"/>
        </w:rPr>
        <w:t xml:space="preserve">Proposal 12: If </w:t>
      </w:r>
      <w:r>
        <w:rPr>
          <w:b/>
          <w:bCs/>
          <w:lang w:val="en-US"/>
        </w:rPr>
        <w:t>no additional configuration can be agreed for additional PRACH resource, support Option 1-5 considering less impact on UE implementation.</w:t>
      </w:r>
    </w:p>
    <w:p w14:paraId="0D69FF93">
      <w:pPr>
        <w:spacing w:after="120"/>
        <w:rPr>
          <w:lang w:val="en-US"/>
        </w:rPr>
      </w:pPr>
    </w:p>
    <w:p w14:paraId="367E7050">
      <w:pPr>
        <w:keepNext/>
        <w:keepLines/>
        <w:numPr>
          <w:ilvl w:val="0"/>
          <w:numId w:val="3"/>
        </w:numPr>
        <w:pBdr>
          <w:top w:val="single" w:color="auto" w:sz="12" w:space="3"/>
        </w:pBdr>
        <w:overflowPunct w:val="0"/>
        <w:adjustRightInd w:val="0"/>
        <w:spacing w:before="240" w:after="120"/>
        <w:textAlignment w:val="baseline"/>
        <w:outlineLvl w:val="0"/>
        <w:rPr>
          <w:rFonts w:eastAsia="Malgun Gothic"/>
          <w:sz w:val="36"/>
          <w:szCs w:val="36"/>
          <w:lang w:val="en-US" w:eastAsia="zh-CN"/>
        </w:rPr>
      </w:pPr>
      <w:r>
        <w:rPr>
          <w:rFonts w:eastAsia="Malgun Gothic"/>
          <w:sz w:val="36"/>
          <w:szCs w:val="36"/>
          <w:lang w:val="en-US" w:eastAsia="zh-CN"/>
        </w:rPr>
        <w:t xml:space="preserve"> Paging adaptation </w:t>
      </w:r>
    </w:p>
    <w:p w14:paraId="2BA77299">
      <w:pPr>
        <w:spacing w:after="120"/>
        <w:rPr>
          <w:lang w:val="en-US"/>
        </w:rPr>
      </w:pPr>
      <w:r>
        <w:rPr>
          <w:lang w:val="en-US"/>
        </w:rPr>
        <w:t>RAN2 has made agreements regarding paging adaptation since RAN2 #125bis, where RAN2 has decided to extend the values of N to have increased intervals between PFs and compensating decrease in number of PFs by increasing POs per PF.</w:t>
      </w:r>
    </w:p>
    <w:p w14:paraId="51E420A3">
      <w:pPr>
        <w:pStyle w:val="44"/>
        <w:pBdr>
          <w:top w:val="single" w:color="auto" w:sz="4" w:space="1"/>
          <w:left w:val="single" w:color="auto" w:sz="4" w:space="4"/>
          <w:bottom w:val="single" w:color="auto" w:sz="4" w:space="1"/>
          <w:right w:val="single" w:color="auto" w:sz="4" w:space="4"/>
        </w:pBdr>
        <w:spacing w:after="0" w:afterLines="0"/>
        <w:rPr>
          <w:rFonts w:ascii="Times New Roman Bold" w:hAnsi="Times New Roman Bold" w:cs="Times New Roman Bold"/>
          <w:b/>
          <w:lang w:val="en-US"/>
        </w:rPr>
      </w:pPr>
      <w:r>
        <w:rPr>
          <w:rFonts w:ascii="Times New Roman Bold" w:hAnsi="Times New Roman Bold" w:cs="Times New Roman Bold"/>
          <w:b/>
          <w:lang w:val="en-US"/>
        </w:rPr>
        <w:t>Agreements on paging adaptation: (RAN2 #125bis)</w:t>
      </w:r>
    </w:p>
    <w:p w14:paraId="37C4EAE0">
      <w:pPr>
        <w:pStyle w:val="44"/>
        <w:numPr>
          <w:ilvl w:val="0"/>
          <w:numId w:val="21"/>
        </w:numPr>
        <w:pBdr>
          <w:top w:val="single" w:color="auto" w:sz="4" w:space="1"/>
          <w:left w:val="single" w:color="auto" w:sz="4" w:space="4"/>
          <w:bottom w:val="single" w:color="auto" w:sz="4" w:space="1"/>
          <w:right w:val="single" w:color="auto" w:sz="4" w:space="4"/>
        </w:pBdr>
        <w:spacing w:after="0" w:afterLines="0"/>
        <w:rPr>
          <w:rFonts w:ascii="Times New Roman Regular" w:hAnsi="Times New Roman Regular" w:cs="Times New Roman Regular"/>
          <w:lang w:val="en-US"/>
        </w:rPr>
      </w:pPr>
      <w:r>
        <w:rPr>
          <w:rFonts w:ascii="Times New Roman Regular" w:hAnsi="Times New Roman Regular" w:cs="Times New Roman Regular"/>
        </w:rPr>
        <w:t>From the UE point of view, UE will monitor one PEI/PO every paging DRX cycle, i.e. the UE doesn’t skip PO in paging DRX cycle.</w:t>
      </w:r>
    </w:p>
    <w:p w14:paraId="18736F2A">
      <w:pPr>
        <w:pStyle w:val="44"/>
        <w:numPr>
          <w:ilvl w:val="0"/>
          <w:numId w:val="21"/>
        </w:numPr>
        <w:pBdr>
          <w:top w:val="single" w:color="auto" w:sz="4" w:space="1"/>
          <w:left w:val="single" w:color="auto" w:sz="4" w:space="4"/>
          <w:bottom w:val="single" w:color="auto" w:sz="4" w:space="1"/>
          <w:right w:val="single" w:color="auto" w:sz="4" w:space="4"/>
        </w:pBdr>
        <w:spacing w:after="0" w:afterLines="0"/>
        <w:rPr>
          <w:rFonts w:ascii="Times New Roman Bold" w:hAnsi="Times New Roman Bold" w:cs="Times New Roman Bold"/>
          <w:b/>
          <w:bCs/>
          <w:lang w:val="en-US"/>
        </w:rPr>
      </w:pPr>
      <w:r>
        <w:rPr>
          <w:rFonts w:ascii="Times New Roman Regular" w:hAnsi="Times New Roman Regular" w:cs="Times New Roman Regular"/>
        </w:rPr>
        <w:t xml:space="preserve">For adaptation of paging occasions in time domain, RAN2 to study a) bundle paging frames and </w:t>
      </w:r>
      <w:r>
        <w:rPr>
          <w:rFonts w:ascii="Times New Roman Bold" w:hAnsi="Times New Roman Bold" w:cs="Times New Roman Bold"/>
          <w:b/>
          <w:bCs/>
        </w:rPr>
        <w:t>b) extend the values of N to have increased interval between PFs (e.g. T/64, T/128 ...) and compensating decrease in number of PFs by increasing POs per PF.</w:t>
      </w:r>
    </w:p>
    <w:p w14:paraId="1F7C654B">
      <w:pPr>
        <w:spacing w:after="120"/>
        <w:rPr>
          <w:lang w:val="en-US"/>
        </w:rPr>
      </w:pPr>
    </w:p>
    <w:p w14:paraId="0246A938">
      <w:pPr>
        <w:pStyle w:val="44"/>
        <w:pBdr>
          <w:top w:val="single" w:color="auto" w:sz="4" w:space="1"/>
          <w:left w:val="single" w:color="auto" w:sz="4" w:space="4"/>
          <w:bottom w:val="single" w:color="auto" w:sz="4" w:space="1"/>
          <w:right w:val="single" w:color="auto" w:sz="4" w:space="4"/>
        </w:pBdr>
        <w:spacing w:after="0" w:afterLines="0"/>
        <w:rPr>
          <w:rFonts w:ascii="Times New Roman Bold" w:hAnsi="Times New Roman Bold" w:cs="Times New Roman Bold"/>
          <w:b/>
          <w:bCs/>
          <w:lang w:val="en-US"/>
        </w:rPr>
      </w:pPr>
      <w:r>
        <w:rPr>
          <w:rFonts w:ascii="Times New Roman Bold" w:hAnsi="Times New Roman Bold" w:cs="Times New Roman Bold"/>
          <w:b/>
          <w:bCs/>
          <w:lang w:val="en-US"/>
        </w:rPr>
        <w:t>Agreements on paging adaptation: (RAN2 #127)</w:t>
      </w:r>
    </w:p>
    <w:p w14:paraId="6BD67AF2">
      <w:pPr>
        <w:pStyle w:val="44"/>
        <w:numPr>
          <w:ilvl w:val="0"/>
          <w:numId w:val="22"/>
        </w:numPr>
        <w:pBdr>
          <w:top w:val="single" w:color="auto" w:sz="4" w:space="1"/>
          <w:left w:val="single" w:color="auto" w:sz="4" w:space="4"/>
          <w:bottom w:val="single" w:color="auto" w:sz="4" w:space="1"/>
          <w:right w:val="single" w:color="auto" w:sz="4" w:space="4"/>
        </w:pBdr>
        <w:spacing w:after="0" w:afterLines="0"/>
        <w:rPr>
          <w:rFonts w:ascii="Times New Roman" w:hAnsi="Times New Roman"/>
          <w:bCs/>
          <w:lang w:val="en-US"/>
        </w:rPr>
      </w:pPr>
      <w:r>
        <w:rPr>
          <w:rFonts w:ascii="Times New Roman" w:hAnsi="Times New Roman"/>
          <w:bCs/>
        </w:rPr>
        <w:t>Option-a) is about the bundling of PF for R19 NES UEs.</w:t>
      </w:r>
    </w:p>
    <w:p w14:paraId="1E377933">
      <w:pPr>
        <w:pStyle w:val="44"/>
        <w:numPr>
          <w:ilvl w:val="0"/>
          <w:numId w:val="22"/>
        </w:numPr>
        <w:pBdr>
          <w:top w:val="single" w:color="auto" w:sz="4" w:space="1"/>
          <w:left w:val="single" w:color="auto" w:sz="4" w:space="4"/>
          <w:bottom w:val="single" w:color="auto" w:sz="4" w:space="1"/>
          <w:right w:val="single" w:color="auto" w:sz="4" w:space="4"/>
        </w:pBdr>
        <w:spacing w:after="0" w:afterLines="0"/>
        <w:rPr>
          <w:rFonts w:ascii="Times New Roman" w:hAnsi="Times New Roman"/>
          <w:bCs/>
          <w:lang w:val="en-US"/>
        </w:rPr>
      </w:pPr>
      <w:r>
        <w:rPr>
          <w:rFonts w:ascii="Times New Roman" w:hAnsi="Times New Roman"/>
          <w:bCs/>
        </w:rPr>
        <w:t>R2 observe that the option-a) and option-b) can be designed to configure the PO:s at same time position.</w:t>
      </w:r>
    </w:p>
    <w:p w14:paraId="5131577E">
      <w:pPr>
        <w:spacing w:after="120"/>
        <w:rPr>
          <w:rFonts w:ascii="Times New Roman Bold" w:hAnsi="Times New Roman Bold" w:cs="Times New Roman Bold"/>
          <w:b/>
          <w:bCs/>
          <w:lang w:val="en-US"/>
        </w:rPr>
      </w:pPr>
    </w:p>
    <w:p w14:paraId="6CF65EED">
      <w:pPr>
        <w:pStyle w:val="44"/>
        <w:pBdr>
          <w:top w:val="single" w:color="auto" w:sz="4" w:space="1"/>
          <w:left w:val="single" w:color="auto" w:sz="4" w:space="4"/>
          <w:bottom w:val="single" w:color="auto" w:sz="4" w:space="1"/>
          <w:right w:val="single" w:color="auto" w:sz="4" w:space="0"/>
        </w:pBdr>
        <w:spacing w:after="120"/>
        <w:rPr>
          <w:rFonts w:ascii="Times New Roman Bold" w:hAnsi="Times New Roman Bold" w:cs="Times New Roman Bold"/>
          <w:b/>
          <w:bCs/>
          <w:lang w:val="en-US"/>
        </w:rPr>
      </w:pPr>
      <w:r>
        <w:rPr>
          <w:rFonts w:ascii="Times New Roman Bold" w:hAnsi="Times New Roman Bold" w:cs="Times New Roman Bold"/>
          <w:b/>
          <w:bCs/>
          <w:lang w:val="en-US"/>
        </w:rPr>
        <w:t>Agreements on paging adaptation</w:t>
      </w:r>
    </w:p>
    <w:p w14:paraId="42A4A85A">
      <w:pPr>
        <w:pStyle w:val="44"/>
        <w:numPr>
          <w:ilvl w:val="0"/>
          <w:numId w:val="23"/>
        </w:numPr>
        <w:pBdr>
          <w:top w:val="single" w:color="auto" w:sz="4" w:space="1"/>
          <w:left w:val="single" w:color="auto" w:sz="4" w:space="4"/>
          <w:bottom w:val="single" w:color="auto" w:sz="4" w:space="1"/>
          <w:right w:val="single" w:color="auto" w:sz="4" w:space="0"/>
        </w:pBdr>
        <w:spacing w:after="0" w:afterLines="0"/>
        <w:ind w:left="1613"/>
        <w:rPr>
          <w:rFonts w:ascii="Times New Roman Bold" w:hAnsi="Times New Roman Bold" w:cs="Times New Roman Bold"/>
          <w:b/>
          <w:bCs/>
          <w:lang w:val="en-US"/>
        </w:rPr>
      </w:pPr>
      <w:r>
        <w:rPr>
          <w:rFonts w:ascii="Times New Roman Bold" w:hAnsi="Times New Roman Bold" w:cs="Times New Roman Bold"/>
          <w:b/>
          <w:bCs/>
        </w:rPr>
        <w:t>Select option-b as baseline for R19 NES paging enhancement.</w:t>
      </w:r>
    </w:p>
    <w:p w14:paraId="41DB6115">
      <w:pPr>
        <w:pStyle w:val="44"/>
        <w:numPr>
          <w:ilvl w:val="0"/>
          <w:numId w:val="23"/>
        </w:numPr>
        <w:pBdr>
          <w:top w:val="single" w:color="auto" w:sz="4" w:space="1"/>
          <w:left w:val="single" w:color="auto" w:sz="4" w:space="4"/>
          <w:bottom w:val="single" w:color="auto" w:sz="4" w:space="1"/>
          <w:right w:val="single" w:color="auto" w:sz="4" w:space="0"/>
        </w:pBdr>
        <w:spacing w:after="0" w:afterLines="0"/>
        <w:ind w:left="1613"/>
        <w:rPr>
          <w:rFonts w:ascii="Times New Roman Regular" w:hAnsi="Times New Roman Regular" w:cs="Times New Roman Regular"/>
          <w:lang w:val="en-US"/>
        </w:rPr>
      </w:pPr>
      <w:r>
        <w:rPr>
          <w:rFonts w:ascii="Times New Roman Regular" w:hAnsi="Times New Roman Regular" w:cs="Times New Roman Regular"/>
        </w:rPr>
        <w:t>R2 should aim at signaling overhead minimization (e.g., Ns=8 and FFS for other larger values)</w:t>
      </w:r>
    </w:p>
    <w:p w14:paraId="18283B0C">
      <w:pPr>
        <w:pStyle w:val="44"/>
        <w:numPr>
          <w:ilvl w:val="0"/>
          <w:numId w:val="23"/>
        </w:numPr>
        <w:pBdr>
          <w:top w:val="single" w:color="auto" w:sz="4" w:space="1"/>
          <w:left w:val="single" w:color="auto" w:sz="4" w:space="4"/>
          <w:bottom w:val="single" w:color="auto" w:sz="4" w:space="1"/>
          <w:right w:val="single" w:color="auto" w:sz="4" w:space="0"/>
        </w:pBdr>
        <w:spacing w:after="0" w:afterLines="0"/>
        <w:ind w:left="1613"/>
        <w:rPr>
          <w:rFonts w:ascii="Times New Roman Regular" w:hAnsi="Times New Roman Regular" w:cs="Times New Roman Regular"/>
          <w:lang w:val="en-US"/>
        </w:rPr>
      </w:pPr>
      <w:r>
        <w:rPr>
          <w:rFonts w:ascii="Times New Roman Regular" w:hAnsi="Times New Roman Regular" w:cs="Times New Roman Regular"/>
        </w:rPr>
        <w:t>Allowing legacy and R19 UEs to co-ex in the same PF/PO is possible, based on NW configuration.</w:t>
      </w:r>
    </w:p>
    <w:p w14:paraId="5A6DFBB9">
      <w:pPr>
        <w:pStyle w:val="44"/>
        <w:numPr>
          <w:ilvl w:val="0"/>
          <w:numId w:val="23"/>
        </w:numPr>
        <w:pBdr>
          <w:top w:val="single" w:color="auto" w:sz="4" w:space="1"/>
          <w:left w:val="single" w:color="auto" w:sz="4" w:space="4"/>
          <w:bottom w:val="single" w:color="auto" w:sz="4" w:space="1"/>
          <w:right w:val="single" w:color="auto" w:sz="4" w:space="0"/>
        </w:pBdr>
        <w:spacing w:after="0" w:afterLines="0"/>
        <w:ind w:left="1613"/>
        <w:rPr>
          <w:rFonts w:ascii="Times New Roman Regular" w:hAnsi="Times New Roman Regular" w:cs="Times New Roman Regular"/>
          <w:lang w:val="en-US"/>
        </w:rPr>
      </w:pPr>
      <w:r>
        <w:rPr>
          <w:rFonts w:ascii="Times New Roman Regular" w:hAnsi="Times New Roman Regular" w:cs="Times New Roman Regular"/>
          <w:lang w:val="en-US"/>
        </w:rPr>
        <w:t>Legacy UE is not barred.</w:t>
      </w:r>
    </w:p>
    <w:p w14:paraId="485EC32B">
      <w:pPr>
        <w:pStyle w:val="44"/>
        <w:numPr>
          <w:ilvl w:val="0"/>
          <w:numId w:val="23"/>
        </w:numPr>
        <w:pBdr>
          <w:top w:val="single" w:color="auto" w:sz="4" w:space="1"/>
          <w:left w:val="single" w:color="auto" w:sz="4" w:space="4"/>
          <w:bottom w:val="single" w:color="auto" w:sz="4" w:space="1"/>
          <w:right w:val="single" w:color="auto" w:sz="4" w:space="0"/>
        </w:pBdr>
        <w:spacing w:after="0" w:afterLines="0"/>
        <w:ind w:left="1613"/>
        <w:rPr>
          <w:rFonts w:ascii="Times New Roman Regular" w:hAnsi="Times New Roman Regular" w:cs="Times New Roman Regular"/>
          <w:lang w:val="en-US"/>
        </w:rPr>
      </w:pPr>
      <w:r>
        <w:rPr>
          <w:rFonts w:ascii="Times New Roman Regular" w:hAnsi="Times New Roman Regular" w:cs="Times New Roman Regular"/>
        </w:rPr>
        <w:t>Rel-19 UEs only monitor the PO(s) according to Rel-19 paging configuration.</w:t>
      </w:r>
    </w:p>
    <w:p w14:paraId="76723617">
      <w:pPr>
        <w:spacing w:after="120"/>
        <w:rPr>
          <w:lang w:val="en-US"/>
        </w:rPr>
      </w:pPr>
    </w:p>
    <w:p w14:paraId="1691F8A9">
      <w:pPr>
        <w:spacing w:after="120"/>
        <w:rPr>
          <w:lang w:val="en-US"/>
        </w:rPr>
      </w:pPr>
      <w:r>
        <w:rPr>
          <w:lang w:val="en-US"/>
        </w:rPr>
        <w:t xml:space="preserve">The number of Paging occasions within a paging frame Ns (legacy maximum 4) needs to be increased to compensate for the decreasing of Paging frames within the paging cycle. According to the analysis in our RAN2 contribution [3], we think it is a good compromise to increase </w:t>
      </w:r>
      <w:r>
        <w:t xml:space="preserve">maximum value </w:t>
      </w:r>
      <w:r>
        <w:rPr>
          <w:lang w:val="en-US"/>
        </w:rPr>
        <w:t xml:space="preserve">of Ns </w:t>
      </w:r>
      <w:r>
        <w:t>to 16</w:t>
      </w:r>
      <w:r>
        <w:rPr>
          <w:lang w:val="en-US"/>
        </w:rPr>
        <w:t xml:space="preserve"> considering paging latency and RRC overhead. While waiting for final RAN2 agreement to determine what is the number of PO increases that can be supported, we discuss here on the potential impact on PEI design.</w:t>
      </w:r>
    </w:p>
    <w:p w14:paraId="78FD18DF">
      <w:pPr>
        <w:spacing w:after="120"/>
        <w:rPr>
          <w:lang w:val="en-US"/>
        </w:rPr>
      </w:pPr>
      <w:r>
        <w:rPr>
          <w:lang w:val="en-US"/>
        </w:rPr>
        <w:t xml:space="preserve">In legacy PEI framework, the PEI is transmitted via DCI format 2_7, with payload size no larger than 41 for  </w:t>
      </w:r>
    </w:p>
    <w:p w14:paraId="20B02D08">
      <w:pPr>
        <w:pStyle w:val="46"/>
        <w:spacing w:after="120"/>
        <w:rPr>
          <w:sz w:val="20"/>
        </w:rPr>
      </w:pPr>
      <w:r>
        <w:rPr>
          <w:sz w:val="20"/>
          <w:lang w:eastAsia="ko-KR"/>
        </w:rPr>
        <w:t>-</w:t>
      </w:r>
      <w:r>
        <w:rPr>
          <w:sz w:val="20"/>
          <w:lang w:eastAsia="ko-KR"/>
        </w:rPr>
        <w:tab/>
      </w:r>
      <w:r>
        <w:rPr>
          <w:sz w:val="20"/>
          <w:lang w:eastAsia="ko-KR"/>
        </w:rPr>
        <w:t>Paging indication field</w:t>
      </w:r>
      <w:r>
        <w:rPr>
          <w:sz w:val="20"/>
        </w:rPr>
        <w:t xml:space="preserve"> - </w:t>
      </w:r>
      <m:oMath>
        <m:sSubSup>
          <m:sSubSupPr>
            <m:ctrlPr>
              <w:rPr>
                <w:rFonts w:ascii="Cambria Math" w:hAnsi="Cambria Math"/>
                <w:sz w:val="20"/>
              </w:rPr>
            </m:ctrlPr>
          </m:sSubSupPr>
          <m:e>
            <m:r>
              <m:rPr/>
              <w:rPr>
                <w:rFonts w:ascii="Cambria Math" w:hAnsi="Cambria Math"/>
                <w:sz w:val="20"/>
              </w:rPr>
              <m:t>N</m:t>
            </m:r>
            <m:ctrlPr>
              <w:rPr>
                <w:rFonts w:ascii="Cambria Math" w:hAnsi="Cambria Math"/>
                <w:sz w:val="20"/>
              </w:rPr>
            </m:ctrlPr>
          </m:e>
          <m:sub>
            <m:r>
              <m:rPr/>
              <w:rPr>
                <w:rFonts w:ascii="Cambria Math" w:hAnsi="Cambria Math"/>
                <w:sz w:val="20"/>
              </w:rPr>
              <m:t>PO</m:t>
            </m:r>
            <m:ctrlPr>
              <w:rPr>
                <w:rFonts w:ascii="Cambria Math" w:hAnsi="Cambria Math"/>
                <w:sz w:val="20"/>
              </w:rPr>
            </m:ctrlPr>
          </m:sub>
          <m:sup>
            <m:r>
              <m:rPr/>
              <w:rPr>
                <w:rFonts w:ascii="Cambria Math" w:hAnsi="Cambria Math"/>
                <w:sz w:val="20"/>
              </w:rPr>
              <m:t>PEI</m:t>
            </m:r>
            <m:ctrlPr>
              <w:rPr>
                <w:rFonts w:ascii="Cambria Math" w:hAnsi="Cambria Math"/>
                <w:sz w:val="20"/>
              </w:rPr>
            </m:ctrlPr>
          </m:sup>
        </m:sSubSup>
        <m:sSubSup>
          <m:sSubSupPr>
            <m:ctrlPr>
              <w:rPr>
                <w:rFonts w:ascii="Cambria Math" w:hAnsi="Cambria Math"/>
                <w:sz w:val="20"/>
              </w:rPr>
            </m:ctrlPr>
          </m:sSubSupPr>
          <m:e>
            <m:r>
              <m:rPr/>
              <w:rPr>
                <w:rFonts w:ascii="Cambria Math" w:hAnsi="Cambria Math"/>
                <w:sz w:val="20"/>
              </w:rPr>
              <m:t>N</m:t>
            </m:r>
            <m:ctrlPr>
              <w:rPr>
                <w:rFonts w:ascii="Cambria Math" w:hAnsi="Cambria Math"/>
                <w:sz w:val="20"/>
              </w:rPr>
            </m:ctrlPr>
          </m:e>
          <m:sub>
            <m:r>
              <m:rPr/>
              <w:rPr>
                <w:rFonts w:ascii="Cambria Math" w:hAnsi="Cambria Math"/>
                <w:sz w:val="20"/>
              </w:rPr>
              <m:t>SG</m:t>
            </m:r>
            <m:ctrlPr>
              <w:rPr>
                <w:rFonts w:ascii="Cambria Math" w:hAnsi="Cambria Math"/>
                <w:sz w:val="20"/>
              </w:rPr>
            </m:ctrlPr>
          </m:sub>
          <m:sup>
            <m:r>
              <m:rPr/>
              <w:rPr>
                <w:rFonts w:hint="eastAsia" w:ascii="Cambria Math" w:hAnsi="Cambria Math"/>
                <w:sz w:val="20"/>
                <w:lang w:eastAsia="zh-CN"/>
              </w:rPr>
              <m:t>PO</m:t>
            </m:r>
            <m:ctrlPr>
              <w:rPr>
                <w:rFonts w:ascii="Cambria Math" w:hAnsi="Cambria Math"/>
                <w:sz w:val="20"/>
              </w:rPr>
            </m:ctrlPr>
          </m:sup>
        </m:sSubSup>
      </m:oMath>
      <w:r>
        <w:rPr>
          <w:sz w:val="20"/>
        </w:rPr>
        <w:t xml:space="preserve"> bit(s), where</w:t>
      </w:r>
    </w:p>
    <w:p w14:paraId="21BC55B6">
      <w:pPr>
        <w:pStyle w:val="50"/>
        <w:spacing w:after="120"/>
        <w:rPr>
          <w:i/>
          <w:lang w:eastAsia="zh-CN"/>
        </w:rPr>
      </w:pPr>
      <w:r>
        <w:t>-</w:t>
      </w:r>
      <w:r>
        <w:tab/>
      </w:r>
      <m:oMath>
        <m:sSubSup>
          <m:sSubSupPr>
            <m:ctrlPr>
              <w:rPr>
                <w:rFonts w:ascii="Cambria Math" w:hAnsi="Cambria Math"/>
              </w:rPr>
            </m:ctrlPr>
          </m:sSubSupPr>
          <m:e>
            <m:r>
              <m:rPr/>
              <w:rPr>
                <w:rFonts w:ascii="Cambria Math" w:hAnsi="Cambria Math"/>
              </w:rPr>
              <m:t>N</m:t>
            </m:r>
            <m:ctrlPr>
              <w:rPr>
                <w:rFonts w:ascii="Cambria Math" w:hAnsi="Cambria Math"/>
              </w:rPr>
            </m:ctrlPr>
          </m:e>
          <m:sub>
            <m:r>
              <m:rPr/>
              <w:rPr>
                <w:rFonts w:ascii="Cambria Math" w:hAnsi="Cambria Math"/>
              </w:rPr>
              <m:t>PO</m:t>
            </m:r>
            <m:ctrlPr>
              <w:rPr>
                <w:rFonts w:ascii="Cambria Math" w:hAnsi="Cambria Math"/>
              </w:rPr>
            </m:ctrlPr>
          </m:sub>
          <m:sup>
            <m:r>
              <m:rPr/>
              <w:rPr>
                <w:rFonts w:ascii="Cambria Math" w:hAnsi="Cambria Math"/>
              </w:rPr>
              <m:t>PEI</m:t>
            </m:r>
            <m:ctrlPr>
              <w:rPr>
                <w:rFonts w:ascii="Cambria Math" w:hAnsi="Cambria Math"/>
              </w:rPr>
            </m:ctrlPr>
          </m:sup>
        </m:sSubSup>
      </m:oMath>
      <w:r>
        <w:rPr>
          <w:rFonts w:hint="eastAsia"/>
          <w:lang w:eastAsia="zh-CN"/>
        </w:rPr>
        <w:t xml:space="preserve"> </w:t>
      </w:r>
      <w:r>
        <w:rPr>
          <w:lang w:eastAsia="zh-CN"/>
        </w:rPr>
        <w:t xml:space="preserve">is the number of paging occasions configured by higher layer parameter </w:t>
      </w:r>
      <w:r>
        <w:rPr>
          <w:i/>
          <w:lang w:eastAsia="zh-CN"/>
        </w:rPr>
        <w:t>po-NumPerPEI</w:t>
      </w:r>
      <w:r>
        <w:rPr>
          <w:lang w:eastAsia="zh-CN"/>
        </w:rPr>
        <w:t xml:space="preserve"> ;</w:t>
      </w:r>
    </w:p>
    <w:p w14:paraId="5130FDBC">
      <w:pPr>
        <w:pStyle w:val="50"/>
        <w:spacing w:after="120"/>
      </w:pPr>
      <w:r>
        <w:t>-</w:t>
      </w:r>
      <w:r>
        <w:tab/>
      </w:r>
      <m:oMath>
        <m:sSubSup>
          <m:sSubSupPr>
            <m:ctrlPr>
              <w:rPr>
                <w:rFonts w:ascii="Cambria Math" w:hAnsi="Cambria Math"/>
              </w:rPr>
            </m:ctrlPr>
          </m:sSubSupPr>
          <m:e>
            <m:r>
              <m:rPr/>
              <w:rPr>
                <w:rFonts w:ascii="Cambria Math" w:hAnsi="Cambria Math"/>
              </w:rPr>
              <m:t>N</m:t>
            </m:r>
            <m:ctrlPr>
              <w:rPr>
                <w:rFonts w:ascii="Cambria Math" w:hAnsi="Cambria Math"/>
              </w:rPr>
            </m:ctrlPr>
          </m:e>
          <m:sub>
            <m:r>
              <m:rPr/>
              <w:rPr>
                <w:rFonts w:ascii="Cambria Math" w:hAnsi="Cambria Math"/>
              </w:rPr>
              <m:t>SG</m:t>
            </m:r>
            <m:ctrlPr>
              <w:rPr>
                <w:rFonts w:ascii="Cambria Math" w:hAnsi="Cambria Math"/>
              </w:rPr>
            </m:ctrlPr>
          </m:sub>
          <m:sup>
            <m:r>
              <m:rPr/>
              <w:rPr>
                <w:rFonts w:hint="eastAsia" w:ascii="Cambria Math" w:hAnsi="Cambria Math"/>
                <w:lang w:eastAsia="zh-CN"/>
              </w:rPr>
              <m:t>PO</m:t>
            </m:r>
            <m:ctrlPr>
              <w:rPr>
                <w:rFonts w:ascii="Cambria Math" w:hAnsi="Cambria Math"/>
              </w:rPr>
            </m:ctrlPr>
          </m:sup>
        </m:sSubSup>
      </m:oMath>
      <w:r>
        <w:rPr>
          <w:lang w:eastAsia="zh-CN"/>
        </w:rPr>
        <w:t xml:space="preserve">is the number of sub-groups of a paging occasion configured by higher layer parameter </w:t>
      </w:r>
      <w:r>
        <w:rPr>
          <w:i/>
          <w:lang w:eastAsia="zh-CN"/>
        </w:rPr>
        <w:t>subgroupsNumPerPO</w:t>
      </w:r>
      <w:r>
        <w:t>.</w:t>
      </w:r>
    </w:p>
    <w:p w14:paraId="5F82EE3C">
      <w:pPr>
        <w:pStyle w:val="50"/>
        <w:spacing w:after="120"/>
      </w:pPr>
      <w:r>
        <w:t>-</w:t>
      </w:r>
      <w:r>
        <w:tab/>
      </w:r>
      <w:r>
        <w:t>Each bit in the field indicates one UE subgroup of a paging occasion.</w:t>
      </w:r>
    </w:p>
    <w:p w14:paraId="3CFA64F0">
      <w:pPr>
        <w:overflowPunct w:val="0"/>
        <w:adjustRightInd w:val="0"/>
        <w:spacing w:after="180" w:afterLines="0"/>
        <w:jc w:val="left"/>
        <w:rPr>
          <w:rFonts w:eastAsia="Times New Roman"/>
          <w:lang w:val="en-US"/>
        </w:rPr>
      </w:pPr>
      <w:r>
        <w:rPr>
          <w:lang w:val="en-US"/>
        </w:rPr>
        <w:t xml:space="preserve">The </w:t>
      </w:r>
      <w:r>
        <w:rPr>
          <w:rFonts w:eastAsia="Times New Roman"/>
          <w:lang w:val="en-US"/>
        </w:rPr>
        <w:t xml:space="preserve">IE </w:t>
      </w:r>
      <w:r>
        <w:rPr>
          <w:rFonts w:eastAsia="Times New Roman"/>
          <w:i/>
          <w:iCs/>
          <w:lang w:val="en-US"/>
        </w:rPr>
        <w:t>po-NumPerPEI</w:t>
      </w:r>
      <w:r>
        <w:rPr>
          <w:rFonts w:eastAsia="Times New Roman"/>
          <w:lang w:val="en-US"/>
        </w:rPr>
        <w:t xml:space="preserve"> in SIB1 configures how many POs are associated with one PEI, where</w:t>
      </w:r>
    </w:p>
    <w:p w14:paraId="6CFF2FAA">
      <w:pPr>
        <w:numPr>
          <w:ilvl w:val="0"/>
          <w:numId w:val="24"/>
        </w:numPr>
        <w:overflowPunct w:val="0"/>
        <w:adjustRightInd w:val="0"/>
        <w:spacing w:after="120"/>
        <w:textAlignment w:val="baseline"/>
        <w:rPr>
          <w:rFonts w:eastAsia="Times New Roman"/>
        </w:rPr>
      </w:pPr>
      <w:r>
        <w:rPr>
          <w:rFonts w:eastAsia="Times New Roman"/>
        </w:rPr>
        <w:t xml:space="preserve">One PEI can be associated to up to 4 POs in one PF and up to 8 POs in two PFs when Ns=4. </w:t>
      </w:r>
    </w:p>
    <w:p w14:paraId="14D47CDA">
      <w:pPr>
        <w:spacing w:after="120"/>
        <w:rPr>
          <w:lang w:val="en-US"/>
        </w:rPr>
      </w:pPr>
      <w:r>
        <w:rPr>
          <w:lang w:val="en-US"/>
        </w:rPr>
        <w:t xml:space="preserve">The IE </w:t>
      </w:r>
      <w:r>
        <w:rPr>
          <w:i/>
          <w:lang w:eastAsia="zh-CN"/>
        </w:rPr>
        <w:t>subgroupsNumPerPO</w:t>
      </w:r>
      <w:r>
        <w:rPr>
          <w:i/>
          <w:lang w:val="en-US" w:eastAsia="zh-CN"/>
        </w:rPr>
        <w:t xml:space="preserve"> </w:t>
      </w:r>
      <w:r>
        <w:rPr>
          <w:iCs/>
          <w:lang w:val="en-US" w:eastAsia="zh-CN"/>
        </w:rPr>
        <w:t>configures the t</w:t>
      </w:r>
      <w:r>
        <w:rPr>
          <w:szCs w:val="22"/>
          <w:lang w:eastAsia="sv-SE"/>
        </w:rPr>
        <w:t xml:space="preserve">otal number of subgroups per </w:t>
      </w:r>
      <w:r>
        <w:rPr>
          <w:szCs w:val="22"/>
          <w:lang w:val="en-US" w:eastAsia="sv-SE"/>
        </w:rPr>
        <w:t>PO</w:t>
      </w:r>
      <w:r>
        <w:rPr>
          <w:szCs w:val="22"/>
          <w:lang w:eastAsia="sv-SE"/>
        </w:rPr>
        <w:t xml:space="preserve"> for UE</w:t>
      </w:r>
      <w:r>
        <w:rPr>
          <w:szCs w:val="22"/>
          <w:lang w:val="en-US" w:eastAsia="sv-SE"/>
        </w:rPr>
        <w:t>, with maximum value of 8.</w:t>
      </w:r>
    </w:p>
    <w:p w14:paraId="36C686D8">
      <w:pPr>
        <w:spacing w:after="120"/>
        <w:rPr>
          <w:lang w:val="en-US"/>
        </w:rPr>
      </w:pPr>
    </w:p>
    <w:p w14:paraId="792FE987">
      <w:pPr>
        <w:spacing w:after="120"/>
        <w:rPr>
          <w:lang w:val="en-US"/>
        </w:rPr>
      </w:pPr>
      <w:r>
        <w:rPr>
          <w:lang w:val="en-US"/>
        </w:rPr>
        <w:t>By increasing the Ns=4 to 8 or 16, considering the payload size of DCI format 2_7, the number of sub-groups of a paging occasion could be no more than 4 or 2, respectively, which would be quite limited and reduces the power saving benefit of PEI.</w:t>
      </w:r>
    </w:p>
    <w:p w14:paraId="3E1ED0CF">
      <w:pPr>
        <w:spacing w:after="120"/>
        <w:rPr>
          <w:lang w:val="en-US"/>
        </w:rPr>
      </w:pPr>
      <w:r>
        <w:rPr>
          <w:lang w:val="en-US"/>
        </w:rPr>
        <w:t>Therefore, we think it is necessary to consider the impact on PEI design due to the increase of number of POs in a PF.</w:t>
      </w:r>
    </w:p>
    <w:p w14:paraId="3F3D7D46">
      <w:pPr>
        <w:spacing w:after="120"/>
        <w:rPr>
          <w:b/>
          <w:bCs/>
          <w:lang w:val="en-US"/>
        </w:rPr>
      </w:pPr>
      <w:r>
        <w:rPr>
          <w:b/>
          <w:bCs/>
          <w:lang w:val="en-US"/>
        </w:rPr>
        <w:t xml:space="preserve">Proposal 13: </w:t>
      </w:r>
      <w:r>
        <w:rPr>
          <w:rFonts w:ascii="Times New Roman Bold" w:hAnsi="Times New Roman Bold" w:cs="Times New Roman Bold"/>
          <w:b/>
          <w:bCs/>
          <w:lang w:val="en-US"/>
        </w:rPr>
        <w:t xml:space="preserve"> Impact of PEI should also be studied considering the increase of</w:t>
      </w:r>
      <w:r>
        <w:rPr>
          <w:b/>
          <w:bCs/>
          <w:lang w:val="en-US"/>
        </w:rPr>
        <w:t xml:space="preserve"> number of POs in a PF.</w:t>
      </w:r>
      <w:r>
        <w:rPr>
          <w:rFonts w:ascii="Times New Roman Bold" w:hAnsi="Times New Roman Bold" w:cs="Times New Roman Bold"/>
          <w:b/>
          <w:bCs/>
          <w:lang w:val="en-US"/>
        </w:rPr>
        <w:t xml:space="preserve"> </w:t>
      </w:r>
    </w:p>
    <w:p w14:paraId="34FBCBBC">
      <w:pPr>
        <w:spacing w:after="120"/>
        <w:rPr>
          <w:lang w:val="en-US"/>
        </w:rPr>
      </w:pPr>
      <w:r>
        <w:rPr>
          <w:rFonts w:ascii="Times New Roman Bold" w:hAnsi="Times New Roman Bold" w:cs="Times New Roman Bold"/>
          <w:b/>
          <w:bCs/>
          <w:lang w:val="en-US"/>
        </w:rPr>
        <w:t xml:space="preserve"> </w:t>
      </w:r>
    </w:p>
    <w:p w14:paraId="3AC3B4F4">
      <w:pPr>
        <w:keepNext/>
        <w:keepLines/>
        <w:numPr>
          <w:ilvl w:val="0"/>
          <w:numId w:val="3"/>
        </w:numPr>
        <w:pBdr>
          <w:top w:val="single" w:color="auto" w:sz="12" w:space="3"/>
        </w:pBdr>
        <w:overflowPunct w:val="0"/>
        <w:adjustRightInd w:val="0"/>
        <w:spacing w:before="240" w:after="120"/>
        <w:textAlignment w:val="baseline"/>
        <w:outlineLvl w:val="0"/>
        <w:rPr>
          <w:rFonts w:eastAsia="Malgun Gothic"/>
          <w:sz w:val="36"/>
          <w:szCs w:val="36"/>
          <w:lang w:val="en-US" w:eastAsia="zh-CN"/>
        </w:rPr>
      </w:pPr>
      <w:r>
        <w:rPr>
          <w:rFonts w:eastAsia="Malgun Gothic"/>
          <w:sz w:val="36"/>
          <w:szCs w:val="36"/>
          <w:lang w:val="en-US" w:eastAsia="zh-CN"/>
        </w:rPr>
        <w:t xml:space="preserve"> Conclusion</w:t>
      </w:r>
    </w:p>
    <w:p w14:paraId="0101BD53">
      <w:pPr>
        <w:spacing w:after="120"/>
        <w:rPr>
          <w:rFonts w:eastAsia="Times New Roman"/>
          <w:lang w:val="en-US" w:eastAsia="zh-CN"/>
        </w:rPr>
      </w:pPr>
      <w:r>
        <w:rPr>
          <w:rFonts w:eastAsia="Times New Roman"/>
          <w:lang w:val="en-US" w:eastAsia="zh-CN"/>
        </w:rPr>
        <w:t xml:space="preserve">In this contribution, we discussed on the signaling and adaptation mechanisms for common SSB, PRACH and Paging for Rel-19 NES enhancements, the following proposal are made: </w:t>
      </w:r>
    </w:p>
    <w:p w14:paraId="3AC8D3F9">
      <w:pPr>
        <w:spacing w:after="120"/>
        <w:rPr>
          <w:rFonts w:ascii="Times New Roman Bold" w:hAnsi="Times New Roman Bold" w:eastAsia="Times New Roman" w:cs="Times New Roman Bold"/>
          <w:b/>
          <w:bCs/>
          <w:lang w:val="en-US" w:eastAsia="zh-CN"/>
        </w:rPr>
      </w:pPr>
      <w:r>
        <w:rPr>
          <w:rFonts w:ascii="Times New Roman Bold" w:hAnsi="Times New Roman Bold" w:eastAsia="Times New Roman" w:cs="Times New Roman Bold"/>
          <w:b/>
          <w:bCs/>
          <w:lang w:val="en-US" w:eastAsia="zh-CN"/>
        </w:rPr>
        <w:t>SSB adaptation</w:t>
      </w:r>
    </w:p>
    <w:p w14:paraId="5D8B44A3">
      <w:pPr>
        <w:spacing w:after="120"/>
        <w:rPr>
          <w:rFonts w:hint="default"/>
          <w:lang w:val="en-US" w:eastAsia="zh-CN"/>
        </w:rPr>
      </w:pPr>
      <w:r>
        <w:rPr>
          <w:rFonts w:ascii="Times New Roman Bold" w:hAnsi="Times New Roman Bold" w:cs="Times New Roman Bold"/>
          <w:b/>
          <w:bCs/>
          <w:lang w:val="en-US" w:eastAsia="zh-CN"/>
        </w:rPr>
        <w:t>Proposal 1: Do not support adaptation for CD-SSBs on sync raster where SSB is configured with periodicity &gt;20ms for SCell</w:t>
      </w:r>
      <w:r>
        <w:rPr>
          <w:rFonts w:hint="default" w:ascii="Times New Roman Bold" w:hAnsi="Times New Roman Bold" w:cs="Times New Roman Bold"/>
          <w:b/>
          <w:bCs/>
          <w:lang w:val="en-US" w:eastAsia="zh-CN"/>
        </w:rPr>
        <w:t>, while adaptation for CD-SSB not on sync raster can be supported.</w:t>
      </w:r>
    </w:p>
    <w:p w14:paraId="77EFD2AF">
      <w:pPr>
        <w:spacing w:after="120"/>
        <w:rPr>
          <w:rFonts w:ascii="Times New Roman Bold" w:hAnsi="Times New Roman Bold" w:cs="Times New Roman Bold"/>
          <w:b/>
          <w:bCs/>
          <w:lang w:val="en-US" w:eastAsia="zh-CN"/>
        </w:rPr>
      </w:pPr>
      <w:r>
        <w:rPr>
          <w:rFonts w:ascii="Times New Roman Bold" w:hAnsi="Times New Roman Bold" w:cs="Times New Roman Bold"/>
          <w:b/>
          <w:bCs/>
          <w:lang w:val="en-US" w:eastAsia="zh-CN"/>
        </w:rPr>
        <w:t xml:space="preserve">Proposal 2: SSB adaptation can be applied to NCD-SSBs on SCell without OD-SSB feature, i.e. applied to SCell without OD-SSB configuration. </w:t>
      </w:r>
    </w:p>
    <w:p w14:paraId="506BCC8A">
      <w:pPr>
        <w:spacing w:after="120"/>
        <w:rPr>
          <w:rFonts w:ascii="Times New Roman Bold" w:hAnsi="Times New Roman Bold" w:cs="Times New Roman Bold"/>
          <w:b/>
          <w:bCs/>
          <w:lang w:val="en-US" w:eastAsia="zh-CN"/>
        </w:rPr>
      </w:pPr>
      <w:r>
        <w:rPr>
          <w:rFonts w:ascii="Times New Roman Bold" w:hAnsi="Times New Roman Bold" w:cs="Times New Roman Bold"/>
          <w:b/>
          <w:bCs/>
          <w:lang w:val="en-US" w:eastAsia="zh-CN"/>
        </w:rPr>
        <w:t>Proposal 3: For SCell with OD-SSB case #1, support OD-SSB periodicity adaptation if the number of N of OD-SSB bursts is not configured/indicated.</w:t>
      </w:r>
    </w:p>
    <w:p w14:paraId="6402939B">
      <w:pPr>
        <w:spacing w:after="120"/>
        <w:rPr>
          <w:rFonts w:ascii="Times New Roman Bold" w:hAnsi="Times New Roman Bold" w:cs="Times New Roman Bold"/>
          <w:b/>
          <w:bCs/>
          <w:lang w:val="en-US" w:eastAsia="zh-CN"/>
        </w:rPr>
      </w:pPr>
      <w:r>
        <w:rPr>
          <w:rFonts w:ascii="Times New Roman Bold" w:hAnsi="Times New Roman Bold" w:cs="Times New Roman Bold"/>
          <w:b/>
          <w:bCs/>
          <w:lang w:val="en-US" w:eastAsia="zh-CN"/>
        </w:rPr>
        <w:t xml:space="preserve">Proposal 4: For SCell with OD-SSB case #2, support AO-SSB periodicity adaptation </w:t>
      </w:r>
      <w:r>
        <w:rPr>
          <w:rFonts w:hint="default" w:ascii="Times New Roman Bold" w:hAnsi="Times New Roman Bold" w:cs="Times New Roman Bold"/>
          <w:b/>
          <w:bCs/>
          <w:lang w:val="en-US" w:eastAsia="zh-CN"/>
        </w:rPr>
        <w:t xml:space="preserve">while </w:t>
      </w:r>
      <w:r>
        <w:rPr>
          <w:rFonts w:ascii="Times New Roman Bold" w:hAnsi="Times New Roman Bold" w:cs="Times New Roman Bold"/>
          <w:b/>
          <w:bCs/>
          <w:lang w:val="en-US" w:eastAsia="zh-CN"/>
        </w:rPr>
        <w:t>OD-SSB adaptation is not applied.</w:t>
      </w:r>
    </w:p>
    <w:p w14:paraId="5288E869">
      <w:pPr>
        <w:spacing w:after="120"/>
        <w:rPr>
          <w:rFonts w:ascii="Times New Roman Bold" w:hAnsi="Times New Roman Bold" w:cs="Times New Roman Bold"/>
          <w:b/>
          <w:bCs/>
          <w:lang w:val="en-US" w:eastAsia="zh-CN"/>
        </w:rPr>
      </w:pPr>
      <w:r>
        <w:rPr>
          <w:rFonts w:ascii="Times New Roman Bold" w:hAnsi="Times New Roman Bold" w:cs="Times New Roman Bold"/>
          <w:b/>
          <w:bCs/>
          <w:lang w:val="en-US" w:eastAsia="zh-CN"/>
        </w:rPr>
        <w:t xml:space="preserve">Proposal 5: Offset of SSB in half frame level within the periodicity should be both configured/derived for the adapted SSB pattern so that both SSBs before and after adaptation can fall in the same smtc configuration. </w:t>
      </w:r>
    </w:p>
    <w:p w14:paraId="5E7B291B">
      <w:pPr>
        <w:spacing w:after="120"/>
        <w:rPr>
          <w:rFonts w:ascii="Times New Roman Bold" w:hAnsi="Times New Roman Bold" w:cs="Times New Roman Bold"/>
          <w:b/>
          <w:bCs/>
          <w:lang w:val="en-US" w:eastAsia="zh-CN"/>
        </w:rPr>
      </w:pPr>
      <w:r>
        <w:rPr>
          <w:rFonts w:ascii="Times New Roman Bold" w:hAnsi="Times New Roman Bold" w:cs="Times New Roman Bold"/>
          <w:b/>
          <w:bCs/>
          <w:lang w:val="en-US" w:eastAsia="zh-CN"/>
        </w:rPr>
        <w:t xml:space="preserve">Proposal 6: UE assumes SSB is transmitted with the adapted periodicity and offset after a sufficient time gap after the indication signaling. </w:t>
      </w:r>
    </w:p>
    <w:p w14:paraId="31A7B249">
      <w:pPr>
        <w:spacing w:after="120"/>
        <w:rPr>
          <w:rFonts w:ascii="Times New Roman Bold" w:hAnsi="Times New Roman Bold" w:cs="Times New Roman Bold"/>
          <w:b/>
          <w:bCs/>
          <w:lang w:val="en-US" w:eastAsia="zh-CN"/>
        </w:rPr>
      </w:pPr>
      <w:r>
        <w:rPr>
          <w:rFonts w:ascii="Times New Roman Bold" w:hAnsi="Times New Roman Bold" w:cs="Times New Roman Bold"/>
          <w:b/>
          <w:bCs/>
          <w:lang w:val="en-US"/>
        </w:rPr>
        <w:t xml:space="preserve">Proposal 7: </w:t>
      </w:r>
      <w:r>
        <w:rPr>
          <w:rFonts w:ascii="Times New Roman Bold" w:hAnsi="Times New Roman Bold" w:cs="Times New Roman Bold"/>
          <w:b/>
          <w:bCs/>
          <w:lang w:val="en-US" w:eastAsia="zh-CN"/>
        </w:rPr>
        <w:t>The time gap between UE receiving the indication of SSB adaptation and UE assuming the SSB periodicity change shall be above certain value to give UE sufficient preparation time to implement new RRM behavior on new SSB periodicity.</w:t>
      </w:r>
    </w:p>
    <w:p w14:paraId="6A5C8288">
      <w:pPr>
        <w:spacing w:after="120"/>
        <w:jc w:val="left"/>
        <w:rPr>
          <w:rFonts w:ascii="Times New Roman Bold" w:hAnsi="Times New Roman Bold" w:cs="Times New Roman Bold"/>
          <w:b/>
          <w:bCs/>
          <w:lang w:val="en-US"/>
        </w:rPr>
      </w:pPr>
    </w:p>
    <w:p w14:paraId="44A3A908">
      <w:pPr>
        <w:spacing w:after="120"/>
        <w:jc w:val="left"/>
        <w:rPr>
          <w:rFonts w:ascii="Times New Roman Bold" w:hAnsi="Times New Roman Bold" w:cs="Times New Roman Bold"/>
          <w:b/>
          <w:bCs/>
          <w:lang w:val="en-US"/>
        </w:rPr>
      </w:pPr>
      <w:r>
        <w:rPr>
          <w:rFonts w:ascii="Times New Roman Bold" w:hAnsi="Times New Roman Bold" w:cs="Times New Roman Bold"/>
          <w:b/>
          <w:bCs/>
          <w:lang w:val="en-US"/>
        </w:rPr>
        <w:t>PRACH adaptation</w:t>
      </w:r>
    </w:p>
    <w:p w14:paraId="39B0CBCC">
      <w:pPr>
        <w:spacing w:after="120"/>
        <w:rPr>
          <w:rFonts w:ascii="Times New Roman Bold" w:hAnsi="Times New Roman Bold" w:cs="Times New Roman Bold"/>
          <w:b/>
          <w:bCs/>
          <w:lang w:val="en-US"/>
        </w:rPr>
      </w:pPr>
      <w:r>
        <w:rPr>
          <w:rFonts w:ascii="Times New Roman Bold" w:hAnsi="Times New Roman Bold" w:cs="Times New Roman Bold"/>
          <w:b/>
          <w:bCs/>
          <w:lang w:val="en-US"/>
        </w:rPr>
        <w:t>Proposal 8: A single PRACH mask in PRACH association period level can be configured in SIB1.</w:t>
      </w:r>
    </w:p>
    <w:p w14:paraId="5BF6E4A4">
      <w:pPr>
        <w:spacing w:after="120"/>
        <w:rPr>
          <w:rFonts w:ascii="Times New Roman Bold" w:hAnsi="Times New Roman Bold" w:cs="Times New Roman Bold"/>
          <w:b/>
          <w:bCs/>
          <w:lang w:val="en-US"/>
        </w:rPr>
      </w:pPr>
      <w:r>
        <w:rPr>
          <w:rFonts w:ascii="Times New Roman Bold" w:hAnsi="Times New Roman Bold" w:cs="Times New Roman Bold"/>
          <w:b/>
          <w:bCs/>
          <w:lang w:val="en-US"/>
        </w:rPr>
        <w:t>Proposal 9: Consider using one of Table 1, Table 2 or Table 3 to configure the PRACH mask in SIB1, where the single PRACH mask can be indicated from the chosen table.</w:t>
      </w:r>
    </w:p>
    <w:p w14:paraId="31E6B6CD">
      <w:pPr>
        <w:spacing w:after="120"/>
        <w:rPr>
          <w:rFonts w:ascii="Times New Roman Bold" w:hAnsi="Times New Roman Bold" w:cs="Times New Roman Bold"/>
          <w:b/>
          <w:bCs/>
          <w:lang w:val="en-US"/>
        </w:rPr>
      </w:pPr>
      <w:r>
        <w:rPr>
          <w:rFonts w:ascii="Times New Roman Bold" w:hAnsi="Times New Roman Bold" w:cs="Times New Roman Bold"/>
          <w:b/>
          <w:bCs/>
          <w:lang w:val="en-US"/>
        </w:rPr>
        <w:t>Proposal 10: For DCI-based adaptation for additional PRACH resources, support option 2: Use Bits 5-8 within the Short Message (from upper layers)</w:t>
      </w:r>
    </w:p>
    <w:p w14:paraId="6CB840E6">
      <w:pPr>
        <w:spacing w:after="120"/>
        <w:rPr>
          <w:rFonts w:ascii="Times New Roman Bold" w:hAnsi="Times New Roman Bold" w:cs="Times New Roman Bold"/>
          <w:b/>
          <w:bCs/>
          <w:lang w:val="en-US"/>
        </w:rPr>
      </w:pPr>
      <w:r>
        <w:rPr>
          <w:rFonts w:ascii="Times New Roman Bold" w:hAnsi="Times New Roman Bold" w:cs="Times New Roman Bold"/>
          <w:b/>
          <w:bCs/>
          <w:lang w:val="en-US"/>
        </w:rPr>
        <w:t xml:space="preserve">Proposal 11: For DCI payload size, at most 4 bits can be considered, select from the following options: </w:t>
      </w:r>
    </w:p>
    <w:p w14:paraId="3B2CDE23">
      <w:pPr>
        <w:spacing w:after="120"/>
        <w:rPr>
          <w:rFonts w:ascii="Times New Roman Bold" w:hAnsi="Times New Roman Bold" w:cs="Times New Roman Bold"/>
          <w:b/>
          <w:bCs/>
          <w:lang w:val="en-US" w:eastAsia="sv-SE"/>
        </w:rPr>
      </w:pPr>
    </w:p>
    <w:p w14:paraId="311C295C">
      <w:pPr>
        <w:spacing w:after="120"/>
        <w:rPr>
          <w:rFonts w:ascii="Times New Roman Bold" w:hAnsi="Times New Roman Bold" w:cs="Times New Roman Bold"/>
          <w:b/>
          <w:bCs/>
          <w:lang w:val="en-US"/>
        </w:rPr>
      </w:pPr>
      <w:r>
        <w:rPr>
          <w:rFonts w:ascii="Times New Roman Bold" w:hAnsi="Times New Roman Bold" w:cs="Times New Roman Bold"/>
          <w:b/>
          <w:bCs/>
          <w:lang w:val="en-US"/>
        </w:rPr>
        <w:t>Observation 1: For preamble format 1 and format 3 in FR1 PRACH configuration, by configuring different PRACH configuration index, non-overlapping PRACH resources could be configured, however, for other preamble formats especially short preamble format, almost all configuration will be overlap in time domain.</w:t>
      </w:r>
    </w:p>
    <w:p w14:paraId="558E0F17">
      <w:pPr>
        <w:spacing w:after="120"/>
        <w:rPr>
          <w:rFonts w:ascii="Times New Roman Bold" w:hAnsi="Times New Roman Bold" w:cs="Times New Roman Bold"/>
          <w:b/>
          <w:bCs/>
          <w:lang w:val="en-US"/>
        </w:rPr>
      </w:pPr>
      <w:r>
        <w:rPr>
          <w:rFonts w:ascii="Times New Roman Bold" w:hAnsi="Times New Roman Bold" w:cs="Times New Roman Bold"/>
          <w:b/>
          <w:bCs/>
          <w:lang w:val="en-US"/>
        </w:rPr>
        <w:t xml:space="preserve">Observation 2: For PRACH configurations with 160ms, 80ms and 40ms (e.g. Index 0,1,2, in Table 6.3.3.2-3), the PRACH resources are already scaled in periodicity. Some (most) configurations with 20ms periodicity have a scaled version with 10ms periodicity, while some other configurations with 20ms periodicity do not have a scaled version with 10ms periodicity. </w:t>
      </w:r>
    </w:p>
    <w:p w14:paraId="4F9BD15D">
      <w:pPr>
        <w:numPr>
          <w:ilvl w:val="255"/>
          <w:numId w:val="0"/>
        </w:numPr>
        <w:spacing w:after="120"/>
        <w:rPr>
          <w:rFonts w:ascii="Times New Roman Bold" w:hAnsi="Times New Roman Bold" w:cs="Times New Roman Bold"/>
          <w:b/>
          <w:bCs/>
          <w:lang w:val="en-US"/>
        </w:rPr>
      </w:pPr>
      <w:r>
        <w:rPr>
          <w:b/>
          <w:bCs/>
          <w:lang w:val="en-US"/>
        </w:rPr>
        <w:t xml:space="preserve">Observation 3: </w:t>
      </w:r>
      <w:r>
        <w:rPr>
          <w:rFonts w:ascii="Times New Roman Bold" w:hAnsi="Times New Roman Bold" w:cs="Times New Roman Bold"/>
          <w:b/>
          <w:bCs/>
          <w:lang w:val="en-US"/>
        </w:rPr>
        <w:t xml:space="preserve">Option 1-2b with N2=1 or Option 1-4 with one additional frame level offset value is preferred to avoid time-domain overlapping of additional PRACH resources and legacy PRACH resources. </w:t>
      </w:r>
    </w:p>
    <w:p w14:paraId="50EB9F83">
      <w:pPr>
        <w:spacing w:after="120"/>
        <w:rPr>
          <w:lang w:val="en-US"/>
        </w:rPr>
      </w:pPr>
      <w:r>
        <w:rPr>
          <w:rFonts w:ascii="Times New Roman Bold" w:hAnsi="Times New Roman Bold" w:cs="Times New Roman Bold"/>
          <w:b/>
          <w:bCs/>
          <w:lang w:val="en-US"/>
        </w:rPr>
        <w:t xml:space="preserve">Proposal 12: If </w:t>
      </w:r>
      <w:r>
        <w:rPr>
          <w:b/>
          <w:bCs/>
          <w:lang w:val="en-US"/>
        </w:rPr>
        <w:t>no additional configuration can be agreed for additional PRACH resource, support Option 1-5 considering less impact on UE implementation.</w:t>
      </w:r>
    </w:p>
    <w:p w14:paraId="51024F99">
      <w:pPr>
        <w:spacing w:after="120"/>
        <w:rPr>
          <w:rFonts w:ascii="Times New Roman Bold" w:hAnsi="Times New Roman Bold" w:cs="Times New Roman Bold"/>
          <w:b/>
          <w:bCs/>
          <w:lang w:val="en-US" w:eastAsia="sv-SE"/>
        </w:rPr>
      </w:pPr>
    </w:p>
    <w:p w14:paraId="56DFE092">
      <w:pPr>
        <w:spacing w:after="120"/>
        <w:rPr>
          <w:rFonts w:ascii="Times New Roman Bold" w:hAnsi="Times New Roman Bold" w:cs="Times New Roman Bold"/>
          <w:b/>
          <w:bCs/>
          <w:lang w:val="en-US" w:eastAsia="sv-SE"/>
        </w:rPr>
      </w:pPr>
      <w:r>
        <w:rPr>
          <w:rFonts w:ascii="Times New Roman Bold" w:hAnsi="Times New Roman Bold" w:cs="Times New Roman Bold"/>
          <w:b/>
          <w:bCs/>
          <w:lang w:val="en-US" w:eastAsia="sv-SE"/>
        </w:rPr>
        <w:t>Paging adaptation</w:t>
      </w:r>
    </w:p>
    <w:p w14:paraId="0218F23B">
      <w:pPr>
        <w:spacing w:after="120"/>
        <w:rPr>
          <w:rFonts w:ascii="Times New Roman Bold" w:hAnsi="Times New Roman Bold" w:cs="Times New Roman Bold"/>
          <w:b/>
          <w:bCs/>
          <w:lang w:val="en-US" w:eastAsia="sv-SE"/>
        </w:rPr>
      </w:pPr>
      <w:r>
        <w:rPr>
          <w:b/>
          <w:bCs/>
          <w:lang w:val="en-US"/>
        </w:rPr>
        <w:t xml:space="preserve">Proposal 13: </w:t>
      </w:r>
      <w:r>
        <w:rPr>
          <w:rFonts w:ascii="Times New Roman Bold" w:hAnsi="Times New Roman Bold" w:cs="Times New Roman Bold"/>
          <w:b/>
          <w:bCs/>
          <w:lang w:val="en-US"/>
        </w:rPr>
        <w:t xml:space="preserve"> Impact of PEI should also be studied considering the increase of</w:t>
      </w:r>
      <w:r>
        <w:rPr>
          <w:b/>
          <w:bCs/>
          <w:lang w:val="en-US"/>
        </w:rPr>
        <w:t xml:space="preserve"> number of POs in a PF.</w:t>
      </w:r>
      <w:r>
        <w:rPr>
          <w:rFonts w:ascii="Times New Roman Bold" w:hAnsi="Times New Roman Bold" w:cs="Times New Roman Bold"/>
          <w:b/>
          <w:bCs/>
          <w:lang w:val="en-US"/>
        </w:rPr>
        <w:t xml:space="preserve"> </w:t>
      </w:r>
    </w:p>
    <w:p w14:paraId="65B72DE8">
      <w:pPr>
        <w:keepNext/>
        <w:keepLines/>
        <w:numPr>
          <w:ilvl w:val="0"/>
          <w:numId w:val="3"/>
        </w:numPr>
        <w:pBdr>
          <w:top w:val="single" w:color="auto" w:sz="12" w:space="3"/>
        </w:pBdr>
        <w:overflowPunct w:val="0"/>
        <w:adjustRightInd w:val="0"/>
        <w:spacing w:before="240" w:after="120"/>
        <w:textAlignment w:val="baseline"/>
        <w:outlineLvl w:val="0"/>
        <w:rPr>
          <w:rFonts w:eastAsia="Malgun Gothic"/>
          <w:sz w:val="36"/>
          <w:szCs w:val="36"/>
          <w:lang w:val="en-US" w:eastAsia="zh-CN"/>
        </w:rPr>
      </w:pPr>
      <w:r>
        <w:rPr>
          <w:rFonts w:eastAsia="Malgun Gothic"/>
          <w:sz w:val="36"/>
          <w:szCs w:val="36"/>
          <w:lang w:val="en-US" w:eastAsia="zh-CN"/>
        </w:rPr>
        <w:t xml:space="preserve"> References</w:t>
      </w:r>
    </w:p>
    <w:p w14:paraId="3F691A90">
      <w:pPr>
        <w:numPr>
          <w:ilvl w:val="0"/>
          <w:numId w:val="25"/>
        </w:numPr>
        <w:spacing w:after="120"/>
      </w:pPr>
      <w:r>
        <w:rPr>
          <w:rFonts w:eastAsia="Times New Roman"/>
          <w:lang w:val="en-US" w:eastAsia="zh-CN"/>
        </w:rPr>
        <w:t>RP-242354, Revised WID: Enhancements of network energy savings for NR, Ericsson, 3GPP TSG RAN Meeting #105, Melbourne, Australia, Sep 9-12, 2024.</w:t>
      </w:r>
    </w:p>
    <w:p w14:paraId="3E2CD4C3">
      <w:pPr>
        <w:numPr>
          <w:ilvl w:val="0"/>
          <w:numId w:val="25"/>
        </w:numPr>
        <w:spacing w:after="120"/>
        <w:rPr>
          <w:highlight w:val="none"/>
        </w:rPr>
      </w:pPr>
      <w:r>
        <w:rPr>
          <w:highlight w:val="none"/>
          <w:lang w:val="en-US"/>
        </w:rPr>
        <w:t xml:space="preserve">R1-2409350, </w:t>
      </w:r>
      <w:r>
        <w:rPr>
          <w:highlight w:val="none"/>
        </w:rPr>
        <w:t>LS on SSB relation in On-demand SSB and SSB adaptation on SCell</w:t>
      </w:r>
      <w:r>
        <w:rPr>
          <w:highlight w:val="none"/>
          <w:lang w:val="en-US"/>
        </w:rPr>
        <w:t>, RAN1 #119, Orlando, US, November 18th – 22nd, 2024.</w:t>
      </w:r>
    </w:p>
    <w:p w14:paraId="58EB1D7F">
      <w:pPr>
        <w:numPr>
          <w:ilvl w:val="0"/>
          <w:numId w:val="25"/>
        </w:numPr>
        <w:spacing w:after="120"/>
      </w:pPr>
      <w:r>
        <w:rPr>
          <w:lang w:val="en-US"/>
        </w:rPr>
        <w:t xml:space="preserve">R2-2409942, </w:t>
      </w:r>
      <w:r>
        <w:t>Discussion on common signal transmission adaptation</w:t>
      </w:r>
      <w:r>
        <w:rPr>
          <w:lang w:val="en-US"/>
        </w:rPr>
        <w:t>, Apple, 3GPP TSG RAN WG2 Meeting #128, Orlando, US, November 18th – 22nd, 2024.</w:t>
      </w:r>
    </w:p>
    <w:sectPr>
      <w:pgSz w:w="11909" w:h="16834"/>
      <w:pgMar w:top="1134" w:right="1134" w:bottom="1134" w:left="1334" w:header="720" w:footer="720" w:gutter="0"/>
      <w:cols w:space="720" w:num="1"/>
      <w:docGrid w:linePitch="27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汉仪书宋二KW"/>
    <w:panose1 w:val="00000000000000000000"/>
    <w:charset w:val="86"/>
    <w:family w:val="auto"/>
    <w:pitch w:val="default"/>
    <w:sig w:usb0="00000000" w:usb1="00000000" w:usb2="00000000" w:usb3="00000000" w:csb0="00000000" w:csb1="00000000"/>
  </w:font>
  <w:font w:name="Arial">
    <w:panose1 w:val="020B0604020202090204"/>
    <w:charset w:val="00"/>
    <w:family w:val="swiss"/>
    <w:pitch w:val="default"/>
    <w:sig w:usb0="E0000AFF" w:usb1="00007843" w:usb2="00000001" w:usb3="00000000" w:csb0="400001BF" w:csb1="DFF70000"/>
  </w:font>
  <w:font w:name="黑体">
    <w:altName w:val="汉仪中黑KW"/>
    <w:panose1 w:val="02010600030101010101"/>
    <w:charset w:val="00"/>
    <w:family w:val="auto"/>
    <w:pitch w:val="default"/>
    <w:sig w:usb0="00000001" w:usb1="080E0000" w:usb2="00000010" w:usb3="00000000" w:csb0="00040000" w:csb1="00000000"/>
  </w:font>
  <w:font w:name="Courier New">
    <w:panose1 w:val="02070409020205090404"/>
    <w:charset w:val="00"/>
    <w:family w:val="modern"/>
    <w:pitch w:val="default"/>
    <w:sig w:usb0="E0000AFF" w:usb1="40007843" w:usb2="00000001" w:usb3="00000000" w:csb0="400001BF" w:csb1="DFF70000"/>
  </w:font>
  <w:font w:name="Wingdings">
    <w:panose1 w:val="05000000000000000000"/>
    <w:charset w:val="00"/>
    <w:family w:val="auto"/>
    <w:pitch w:val="default"/>
    <w:sig w:usb0="00000000" w:usb1="00000000" w:usb2="00000000" w:usb3="00000000" w:csb0="80000000" w:csb1="00000000"/>
  </w:font>
  <w:font w:name="Calibri">
    <w:altName w:val="Helvetica Neue"/>
    <w:panose1 w:val="020F0502020204030204"/>
    <w:charset w:val="00"/>
    <w:family w:val="swiss"/>
    <w:pitch w:val="default"/>
    <w:sig w:usb0="00000000" w:usb1="00000000" w:usb2="00000001" w:usb3="00000000" w:csb0="0000019F" w:csb1="00000000"/>
  </w:font>
  <w:font w:name="바탕">
    <w:altName w:val="苹方-简"/>
    <w:panose1 w:val="02030600000101010101"/>
    <w:charset w:val="00"/>
    <w:family w:val="roman"/>
    <w:pitch w:val="default"/>
    <w:sig w:usb0="00000000" w:usb1="00000000" w:usb2="00000030" w:usb3="00000000" w:csb0="0008009F" w:csb1="00000000"/>
  </w:font>
  <w:font w:name="Batang">
    <w:altName w:val="Apple SD Gothic Neo"/>
    <w:panose1 w:val="02030600000101010101"/>
    <w:charset w:val="81"/>
    <w:family w:val="roman"/>
    <w:pitch w:val="default"/>
    <w:sig w:usb0="00000000" w:usb1="00000000" w:usb2="00000030" w:usb3="00000000" w:csb0="0008009F" w:csb1="00000000"/>
  </w:font>
  <w:font w:name="Arial Regular">
    <w:panose1 w:val="020B0604020202090204"/>
    <w:charset w:val="00"/>
    <w:family w:val="auto"/>
    <w:pitch w:val="default"/>
    <w:sig w:usb0="E0000AFF" w:usb1="00007843" w:usb2="00000001" w:usb3="00000000" w:csb0="400001BF" w:csb1="DFF70000"/>
  </w:font>
  <w:font w:name="Malgun Gothic">
    <w:altName w:val="Apple SD Gothic Neo"/>
    <w:panose1 w:val="020B0503020000020004"/>
    <w:charset w:val="81"/>
    <w:family w:val="swiss"/>
    <w:pitch w:val="default"/>
    <w:sig w:usb0="00000000" w:usb1="00000000" w:usb2="00000012" w:usb3="00000000" w:csb0="00080001" w:csb1="00000000"/>
  </w:font>
  <w:font w:name="KaiTi_GB2312">
    <w:altName w:val="苹方-简"/>
    <w:panose1 w:val="020B0604020202020204"/>
    <w:charset w:val="86"/>
    <w:family w:val="modern"/>
    <w:pitch w:val="default"/>
    <w:sig w:usb0="00000000" w:usb1="00000000" w:usb2="00000010" w:usb3="00000000" w:csb0="00040000" w:csb1="00000000"/>
  </w:font>
  <w:font w:name="MS Gothic">
    <w:altName w:val="冬青黑体简体中文"/>
    <w:panose1 w:val="020B0609070205080204"/>
    <w:charset w:val="80"/>
    <w:family w:val="modern"/>
    <w:pitch w:val="default"/>
    <w:sig w:usb0="00000000" w:usb1="00000000" w:usb2="08000012" w:usb3="00000000" w:csb0="0002009F" w:csb1="00000000"/>
  </w:font>
  <w:font w:name="Times">
    <w:altName w:val="Times New Roman"/>
    <w:panose1 w:val="020B0604020202020204"/>
    <w:charset w:val="00"/>
    <w:family w:val="roman"/>
    <w:pitch w:val="default"/>
    <w:sig w:usb0="00000000" w:usb1="00000000" w:usb2="00000009" w:usb3="00000000" w:csb0="000001FF" w:csb1="00000000"/>
  </w:font>
  <w:font w:name="Symbol">
    <w:altName w:val="Kingsoft Sign"/>
    <w:panose1 w:val="05050102010706020507"/>
    <w:charset w:val="02"/>
    <w:family w:val="decorative"/>
    <w:pitch w:val="default"/>
    <w:sig w:usb0="00000000" w:usb1="00000000" w:usb2="00000000" w:usb3="00000000" w:csb0="80000001" w:csb1="00000000"/>
  </w:font>
  <w:font w:name="MS Mincho">
    <w:altName w:val="Hiragino Sans"/>
    <w:panose1 w:val="02020609040205080304"/>
    <w:charset w:val="80"/>
    <w:family w:val="modern"/>
    <w:pitch w:val="default"/>
    <w:sig w:usb0="00000000" w:usb1="00000000" w:usb2="08000012" w:usb3="00000000" w:csb0="0002009F" w:csb1="00000000"/>
  </w:font>
  <w:font w:name="Lucida Grande">
    <w:panose1 w:val="020B0600040502020204"/>
    <w:charset w:val="00"/>
    <w:family w:val="swiss"/>
    <w:pitch w:val="default"/>
    <w:sig w:usb0="E1000AEF" w:usb1="5000A1FF" w:usb2="00000000" w:usb3="00000000" w:csb0="200001BF" w:csb1="4F010000"/>
  </w:font>
  <w:font w:name="Helvetica Neue">
    <w:panose1 w:val="02000503000000020004"/>
    <w:charset w:val="00"/>
    <w:family w:val="auto"/>
    <w:pitch w:val="default"/>
    <w:sig w:usb0="E50002FF" w:usb1="500079DB" w:usb2="00000010" w:usb3="00000000" w:csb0="00000000" w:csb1="00000000"/>
  </w:font>
  <w:font w:name="Times New Roman Bold">
    <w:panose1 w:val="02020503050405090304"/>
    <w:charset w:val="00"/>
    <w:family w:val="auto"/>
    <w:pitch w:val="default"/>
    <w:sig w:usb0="E0000AFF" w:usb1="00007843" w:usb2="00000001" w:usb3="00000000" w:csb0="400001BF" w:csb1="DFF70000"/>
  </w:font>
  <w:font w:name="Times New Roman Regular">
    <w:panose1 w:val="02020503050405090304"/>
    <w:charset w:val="00"/>
    <w:family w:val="auto"/>
    <w:pitch w:val="default"/>
    <w:sig w:usb0="E0000AFF" w:usb1="00007843" w:usb2="00000001" w:usb3="00000000" w:csb0="400001BF" w:csb1="DFF70000"/>
  </w:font>
  <w:font w:name="Cambria Math">
    <w:altName w:val="Kingsoft Math"/>
    <w:panose1 w:val="02040503050406030204"/>
    <w:charset w:val="00"/>
    <w:family w:val="roman"/>
    <w:pitch w:val="default"/>
    <w:sig w:usb0="00000000" w:usb1="00000000" w:usb2="00000000" w:usb3="00000000" w:csb0="0000019F" w:csb1="00000000"/>
  </w:font>
  <w:font w:name="汉仪书宋二KW">
    <w:panose1 w:val="00020600040101010101"/>
    <w:charset w:val="86"/>
    <w:family w:val="auto"/>
    <w:pitch w:val="default"/>
    <w:sig w:usb0="A00002BF" w:usb1="18EF7CFA" w:usb2="00000016" w:usb3="00000000" w:csb0="00040000" w:csb1="00000000"/>
  </w:font>
  <w:font w:name="Kingsoft Sign">
    <w:panose1 w:val="05050102010706020507"/>
    <w:charset w:val="00"/>
    <w:family w:val="auto"/>
    <w:pitch w:val="default"/>
    <w:sig w:usb0="00000000" w:usb1="10000000" w:usb2="00000000" w:usb3="00000000" w:csb0="00000001" w:csb1="00000000"/>
  </w:font>
  <w:font w:name="汉仪中黑KW">
    <w:panose1 w:val="00020600040101010101"/>
    <w:charset w:val="86"/>
    <w:family w:val="auto"/>
    <w:pitch w:val="default"/>
    <w:sig w:usb0="A00002BF" w:usb1="18EF7CFA" w:usb2="00000016" w:usb3="00000000" w:csb0="00040000" w:csb1="00000000"/>
  </w:font>
  <w:font w:name="苹方-简">
    <w:panose1 w:val="020B0400000000000000"/>
    <w:charset w:val="86"/>
    <w:family w:val="auto"/>
    <w:pitch w:val="default"/>
    <w:sig w:usb0="A00002FF" w:usb1="7ACFFDFB" w:usb2="00000017" w:usb3="00000000" w:csb0="00040001" w:csb1="00000000"/>
  </w:font>
  <w:font w:name="Apple SD Gothic Neo">
    <w:panose1 w:val="02000300000000000000"/>
    <w:charset w:val="81"/>
    <w:family w:val="auto"/>
    <w:pitch w:val="default"/>
    <w:sig w:usb0="00000203" w:usb1="21D12C10" w:usb2="00000010" w:usb3="00000000" w:csb0="00280005" w:csb1="00000000"/>
  </w:font>
  <w:font w:name="冬青黑体简体中文">
    <w:panose1 w:val="020B0300000000000000"/>
    <w:charset w:val="86"/>
    <w:family w:val="auto"/>
    <w:pitch w:val="default"/>
    <w:sig w:usb0="A00002BF" w:usb1="1ACF7CFA" w:usb2="00000016" w:usb3="00000000" w:csb0="00060007" w:csb1="00000000"/>
  </w:font>
  <w:font w:name="Hiragino Sans">
    <w:panose1 w:val="020B0300000000000000"/>
    <w:charset w:val="80"/>
    <w:family w:val="auto"/>
    <w:pitch w:val="default"/>
    <w:sig w:usb0="E00002FF" w:usb1="7AE7FFFF" w:usb2="00000012" w:usb3="00000000" w:csb0="0002000D" w:csb1="00000000"/>
  </w:font>
  <w:font w:name="Kingsoft Math">
    <w:panose1 w:val="02040503050406030204"/>
    <w:charset w:val="00"/>
    <w:family w:val="auto"/>
    <w:pitch w:val="default"/>
    <w:sig w:usb0="80000087" w:usb1="00002068" w:usb2="00000000" w:usb3="00000000" w:csb0="2000019F" w:csb1="00000000"/>
  </w:font>
  <w:font w:name="DejaVu Math TeX Gyre">
    <w:panose1 w:val="02000503000000000000"/>
    <w:charset w:val="00"/>
    <w:family w:val="auto"/>
    <w:pitch w:val="default"/>
    <w:sig w:usb0="A10000EF" w:usb1="4201F9EE" w:usb2="02000000" w:usb3="00000000" w:csb0="60000193" w:csb1="0DD40000"/>
  </w:font>
  <w:font w:name=".AppleSystemUIFont">
    <w:altName w:val="苹方-简"/>
    <w:panose1 w:val="00000000000000000000"/>
    <w:charset w:val="00"/>
    <w:family w:val="auto"/>
    <w:pitch w:val="default"/>
    <w:sig w:usb0="00000000" w:usb1="00000000" w:usb2="00000000" w:usb3="00000000" w:csb0="00000000" w:csb1="00000000"/>
  </w:font>
  <w:font w:name="Tahoma">
    <w:panose1 w:val="020B0604030504040204"/>
    <w:charset w:val="00"/>
    <w:family w:val="auto"/>
    <w:pitch w:val="default"/>
    <w:sig w:usb0="E1002AFF" w:usb1="C000605B" w:usb2="00000029" w:usb3="00000000" w:csb0="200101FF" w:csb1="2028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56A52CB"/>
    <w:multiLevelType w:val="singleLevel"/>
    <w:tmpl w:val="856A52CB"/>
    <w:lvl w:ilvl="0" w:tentative="0">
      <w:start w:val="1"/>
      <w:numFmt w:val="bullet"/>
      <w:lvlText w:val=""/>
      <w:lvlJc w:val="left"/>
      <w:pPr>
        <w:tabs>
          <w:tab w:val="left" w:pos="420"/>
        </w:tabs>
        <w:ind w:left="420" w:hanging="420"/>
      </w:pPr>
      <w:rPr>
        <w:rFonts w:hint="default" w:ascii="Wingdings" w:hAnsi="Wingdings"/>
      </w:rPr>
    </w:lvl>
  </w:abstractNum>
  <w:abstractNum w:abstractNumId="1">
    <w:nsid w:val="9EBCF574"/>
    <w:multiLevelType w:val="singleLevel"/>
    <w:tmpl w:val="9EBCF574"/>
    <w:lvl w:ilvl="0" w:tentative="0">
      <w:start w:val="1"/>
      <w:numFmt w:val="decimal"/>
      <w:suff w:val="space"/>
      <w:lvlText w:val="%1."/>
      <w:lvlJc w:val="left"/>
    </w:lvl>
  </w:abstractNum>
  <w:abstractNum w:abstractNumId="2">
    <w:nsid w:val="CFF7BF24"/>
    <w:multiLevelType w:val="singleLevel"/>
    <w:tmpl w:val="CFF7BF24"/>
    <w:lvl w:ilvl="0" w:tentative="0">
      <w:start w:val="3"/>
      <w:numFmt w:val="decimal"/>
      <w:suff w:val="space"/>
      <w:lvlText w:val="%1."/>
      <w:lvlJc w:val="left"/>
    </w:lvl>
  </w:abstractNum>
  <w:abstractNum w:abstractNumId="3">
    <w:nsid w:val="FDFE4864"/>
    <w:multiLevelType w:val="singleLevel"/>
    <w:tmpl w:val="FDFE4864"/>
    <w:lvl w:ilvl="0" w:tentative="0">
      <w:start w:val="1"/>
      <w:numFmt w:val="decimal"/>
      <w:suff w:val="space"/>
      <w:lvlText w:val="[%1]"/>
      <w:lvlJc w:val="left"/>
    </w:lvl>
  </w:abstractNum>
  <w:abstractNum w:abstractNumId="4">
    <w:nsid w:val="02552047"/>
    <w:multiLevelType w:val="multilevel"/>
    <w:tmpl w:val="02552047"/>
    <w:lvl w:ilvl="0" w:tentative="0">
      <w:start w:val="1"/>
      <w:numFmt w:val="decimal"/>
      <w:lvlText w:val="%1"/>
      <w:lvlJc w:val="left"/>
      <w:pPr>
        <w:tabs>
          <w:tab w:val="left" w:pos="432"/>
        </w:tabs>
        <w:ind w:left="432" w:hanging="432"/>
      </w:pPr>
      <w:rPr>
        <w:rFonts w:hint="default"/>
      </w:rPr>
    </w:lvl>
    <w:lvl w:ilvl="1" w:tentative="0">
      <w:start w:val="1"/>
      <w:numFmt w:val="decimal"/>
      <w:lvlText w:val="%1.%2"/>
      <w:lvlJc w:val="left"/>
      <w:pPr>
        <w:tabs>
          <w:tab w:val="left" w:pos="576"/>
        </w:tabs>
        <w:ind w:left="576" w:hanging="576"/>
      </w:pPr>
      <w:rPr>
        <w:rFonts w:hint="default"/>
        <w:lang w:val="en-US"/>
      </w:rPr>
    </w:lvl>
    <w:lvl w:ilvl="2" w:tentative="0">
      <w:start w:val="1"/>
      <w:numFmt w:val="decimal"/>
      <w:lvlText w:val="%1.%2.%3"/>
      <w:lvlJc w:val="left"/>
      <w:pPr>
        <w:tabs>
          <w:tab w:val="left" w:pos="720"/>
        </w:tabs>
        <w:ind w:left="720" w:hanging="720"/>
      </w:pPr>
      <w:rPr>
        <w:rFonts w:hint="default"/>
        <w:sz w:val="28"/>
        <w:szCs w:val="28"/>
      </w:rPr>
    </w:lvl>
    <w:lvl w:ilvl="3" w:tentative="0">
      <w:start w:val="1"/>
      <w:numFmt w:val="decimal"/>
      <w:lvlText w:val="%1.%2.%3.%4"/>
      <w:lvlJc w:val="left"/>
      <w:pPr>
        <w:tabs>
          <w:tab w:val="left" w:pos="864"/>
        </w:tabs>
        <w:ind w:left="864" w:hanging="864"/>
      </w:pPr>
      <w:rPr>
        <w:rFonts w:hint="default"/>
      </w:rPr>
    </w:lvl>
    <w:lvl w:ilvl="4" w:tentative="0">
      <w:start w:val="1"/>
      <w:numFmt w:val="decimal"/>
      <w:lvlText w:val="%1.%2.%3.%4.%5"/>
      <w:lvlJc w:val="left"/>
      <w:pPr>
        <w:tabs>
          <w:tab w:val="left" w:pos="1008"/>
        </w:tabs>
        <w:ind w:left="1008" w:hanging="1008"/>
      </w:pPr>
      <w:rPr>
        <w:rFonts w:hint="default"/>
      </w:rPr>
    </w:lvl>
    <w:lvl w:ilvl="5" w:tentative="0">
      <w:start w:val="1"/>
      <w:numFmt w:val="decimal"/>
      <w:lvlText w:val="%1.%2.%3.%4.%5.%6"/>
      <w:lvlJc w:val="left"/>
      <w:pPr>
        <w:tabs>
          <w:tab w:val="left" w:pos="1152"/>
        </w:tabs>
        <w:ind w:left="1152" w:hanging="1152"/>
      </w:pPr>
      <w:rPr>
        <w:rFonts w:hint="default"/>
      </w:rPr>
    </w:lvl>
    <w:lvl w:ilvl="6" w:tentative="0">
      <w:start w:val="1"/>
      <w:numFmt w:val="decimal"/>
      <w:lvlText w:val="%1.%2.%3.%4.%5.%6.%7"/>
      <w:lvlJc w:val="left"/>
      <w:pPr>
        <w:tabs>
          <w:tab w:val="left" w:pos="1296"/>
        </w:tabs>
        <w:ind w:left="1296" w:hanging="1296"/>
      </w:pPr>
      <w:rPr>
        <w:rFonts w:hint="default"/>
      </w:rPr>
    </w:lvl>
    <w:lvl w:ilvl="7" w:tentative="0">
      <w:start w:val="1"/>
      <w:numFmt w:val="decimal"/>
      <w:lvlText w:val="%1.%2.%3.%4.%5.%6.%7.%8"/>
      <w:lvlJc w:val="left"/>
      <w:pPr>
        <w:tabs>
          <w:tab w:val="left" w:pos="1440"/>
        </w:tabs>
        <w:ind w:left="1440" w:hanging="1440"/>
      </w:pPr>
      <w:rPr>
        <w:rFonts w:hint="default"/>
      </w:rPr>
    </w:lvl>
    <w:lvl w:ilvl="8" w:tentative="0">
      <w:start w:val="1"/>
      <w:numFmt w:val="decimal"/>
      <w:lvlText w:val="%1.%2.%3.%4.%5.%6.%7.%8.%9"/>
      <w:lvlJc w:val="left"/>
      <w:pPr>
        <w:tabs>
          <w:tab w:val="left" w:pos="1584"/>
        </w:tabs>
        <w:ind w:left="1584" w:hanging="1584"/>
      </w:pPr>
      <w:rPr>
        <w:rFonts w:hint="default"/>
      </w:rPr>
    </w:lvl>
  </w:abstractNum>
  <w:abstractNum w:abstractNumId="5">
    <w:nsid w:val="03145377"/>
    <w:multiLevelType w:val="multilevel"/>
    <w:tmpl w:val="03145377"/>
    <w:lvl w:ilvl="0" w:tentative="0">
      <w:start w:val="1"/>
      <w:numFmt w:val="bullet"/>
      <w:lvlText w:val=""/>
      <w:lvlJc w:val="left"/>
      <w:pPr>
        <w:tabs>
          <w:tab w:val="left" w:pos="720"/>
        </w:tabs>
        <w:ind w:left="720" w:hanging="360"/>
      </w:pPr>
      <w:rPr>
        <w:rFonts w:hint="default" w:ascii="Symbol" w:hAnsi="Symbol" w:eastAsia="MS Mincho" w:cs="Times New Roman"/>
      </w:rPr>
    </w:lvl>
    <w:lvl w:ilvl="1" w:tentative="0">
      <w:start w:val="1"/>
      <w:numFmt w:val="bullet"/>
      <w:lvlText w:val="o"/>
      <w:lvlJc w:val="left"/>
      <w:pPr>
        <w:tabs>
          <w:tab w:val="left" w:pos="1440"/>
        </w:tabs>
        <w:ind w:left="1440" w:hanging="360"/>
      </w:pPr>
      <w:rPr>
        <w:rFonts w:hint="default" w:ascii="Courier New" w:hAnsi="Courier New" w:cs="Courier New"/>
      </w:rPr>
    </w:lvl>
    <w:lvl w:ilvl="2" w:tentative="0">
      <w:start w:val="1"/>
      <w:numFmt w:val="decimal"/>
      <w:pStyle w:val="41"/>
      <w:lvlText w:val="[%3]"/>
      <w:lvlJc w:val="left"/>
      <w:pPr>
        <w:tabs>
          <w:tab w:val="left" w:pos="2481"/>
        </w:tabs>
        <w:ind w:left="2481" w:hanging="681"/>
      </w:pPr>
      <w:rPr>
        <w:rFonts w:hint="default"/>
      </w:rPr>
    </w:lvl>
    <w:lvl w:ilvl="3" w:tentative="0">
      <w:start w:val="1"/>
      <w:numFmt w:val="bullet"/>
      <w:lvlText w:val=""/>
      <w:lvlJc w:val="left"/>
      <w:pPr>
        <w:tabs>
          <w:tab w:val="left" w:pos="2880"/>
        </w:tabs>
        <w:ind w:left="2880" w:hanging="360"/>
      </w:pPr>
      <w:rPr>
        <w:rFonts w:hint="default" w:ascii="Symbol" w:hAnsi="Symbol"/>
      </w:rPr>
    </w:lvl>
    <w:lvl w:ilvl="4" w:tentative="0">
      <w:start w:val="1"/>
      <w:numFmt w:val="bullet"/>
      <w:lvlText w:val="o"/>
      <w:lvlJc w:val="left"/>
      <w:pPr>
        <w:tabs>
          <w:tab w:val="left" w:pos="3600"/>
        </w:tabs>
        <w:ind w:left="3600" w:hanging="360"/>
      </w:pPr>
      <w:rPr>
        <w:rFonts w:hint="default" w:ascii="Courier New" w:hAnsi="Courier New" w:cs="Courier New"/>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Symbol" w:hAnsi="Symbol"/>
      </w:rPr>
    </w:lvl>
    <w:lvl w:ilvl="7" w:tentative="0">
      <w:start w:val="1"/>
      <w:numFmt w:val="bullet"/>
      <w:lvlText w:val="o"/>
      <w:lvlJc w:val="left"/>
      <w:pPr>
        <w:tabs>
          <w:tab w:val="left" w:pos="5760"/>
        </w:tabs>
        <w:ind w:left="5760" w:hanging="360"/>
      </w:pPr>
      <w:rPr>
        <w:rFonts w:hint="default" w:ascii="Courier New" w:hAnsi="Courier New" w:cs="Courier New"/>
      </w:rPr>
    </w:lvl>
    <w:lvl w:ilvl="8" w:tentative="0">
      <w:start w:val="1"/>
      <w:numFmt w:val="bullet"/>
      <w:lvlText w:val=""/>
      <w:lvlJc w:val="left"/>
      <w:pPr>
        <w:tabs>
          <w:tab w:val="left" w:pos="6480"/>
        </w:tabs>
        <w:ind w:left="6480" w:hanging="360"/>
      </w:pPr>
      <w:rPr>
        <w:rFonts w:hint="default" w:ascii="Wingdings" w:hAnsi="Wingdings"/>
      </w:rPr>
    </w:lvl>
  </w:abstractNum>
  <w:abstractNum w:abstractNumId="6">
    <w:nsid w:val="04A67707"/>
    <w:multiLevelType w:val="multilevel"/>
    <w:tmpl w:val="04A67707"/>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99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7">
    <w:nsid w:val="04B8404C"/>
    <w:multiLevelType w:val="multilevel"/>
    <w:tmpl w:val="04B8404C"/>
    <w:lvl w:ilvl="0" w:tentative="0">
      <w:start w:val="1"/>
      <w:numFmt w:val="decimal"/>
      <w:lvlText w:val="%1."/>
      <w:lvlJc w:val="left"/>
      <w:pPr>
        <w:ind w:left="1619" w:hanging="360"/>
      </w:pPr>
      <w:rPr>
        <w:rFonts w:hint="default"/>
      </w:rPr>
    </w:lvl>
    <w:lvl w:ilvl="1" w:tentative="0">
      <w:start w:val="1"/>
      <w:numFmt w:val="lowerLetter"/>
      <w:lvlText w:val="%2."/>
      <w:lvlJc w:val="left"/>
      <w:pPr>
        <w:ind w:left="2339" w:hanging="360"/>
      </w:pPr>
    </w:lvl>
    <w:lvl w:ilvl="2" w:tentative="0">
      <w:start w:val="1"/>
      <w:numFmt w:val="lowerRoman"/>
      <w:lvlText w:val="%3."/>
      <w:lvlJc w:val="right"/>
      <w:pPr>
        <w:ind w:left="3059" w:hanging="180"/>
      </w:pPr>
    </w:lvl>
    <w:lvl w:ilvl="3" w:tentative="0">
      <w:start w:val="1"/>
      <w:numFmt w:val="decimal"/>
      <w:lvlText w:val="%4."/>
      <w:lvlJc w:val="left"/>
      <w:pPr>
        <w:ind w:left="3779" w:hanging="360"/>
      </w:pPr>
    </w:lvl>
    <w:lvl w:ilvl="4" w:tentative="0">
      <w:start w:val="1"/>
      <w:numFmt w:val="lowerLetter"/>
      <w:lvlText w:val="%5."/>
      <w:lvlJc w:val="left"/>
      <w:pPr>
        <w:ind w:left="4499" w:hanging="360"/>
      </w:pPr>
    </w:lvl>
    <w:lvl w:ilvl="5" w:tentative="0">
      <w:start w:val="1"/>
      <w:numFmt w:val="lowerRoman"/>
      <w:lvlText w:val="%6."/>
      <w:lvlJc w:val="right"/>
      <w:pPr>
        <w:ind w:left="5219" w:hanging="180"/>
      </w:pPr>
    </w:lvl>
    <w:lvl w:ilvl="6" w:tentative="0">
      <w:start w:val="1"/>
      <w:numFmt w:val="decimal"/>
      <w:lvlText w:val="%7."/>
      <w:lvlJc w:val="left"/>
      <w:pPr>
        <w:ind w:left="5939" w:hanging="360"/>
      </w:pPr>
    </w:lvl>
    <w:lvl w:ilvl="7" w:tentative="0">
      <w:start w:val="1"/>
      <w:numFmt w:val="lowerLetter"/>
      <w:lvlText w:val="%8."/>
      <w:lvlJc w:val="left"/>
      <w:pPr>
        <w:ind w:left="6659" w:hanging="360"/>
      </w:pPr>
    </w:lvl>
    <w:lvl w:ilvl="8" w:tentative="0">
      <w:start w:val="1"/>
      <w:numFmt w:val="lowerRoman"/>
      <w:lvlText w:val="%9."/>
      <w:lvlJc w:val="right"/>
      <w:pPr>
        <w:ind w:left="7379" w:hanging="180"/>
      </w:pPr>
    </w:lvl>
  </w:abstractNum>
  <w:abstractNum w:abstractNumId="8">
    <w:nsid w:val="04F60BAF"/>
    <w:multiLevelType w:val="multilevel"/>
    <w:tmpl w:val="04F60BAF"/>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9">
    <w:nsid w:val="05D61159"/>
    <w:multiLevelType w:val="multilevel"/>
    <w:tmpl w:val="05D61159"/>
    <w:lvl w:ilvl="0" w:tentative="0">
      <w:start w:val="1"/>
      <w:numFmt w:val="bullet"/>
      <w:lvlText w:val=""/>
      <w:lvlJc w:val="left"/>
      <w:pPr>
        <w:ind w:left="360" w:hanging="360"/>
      </w:pPr>
      <w:rPr>
        <w:rFonts w:hint="default" w:ascii="Symbol" w:hAnsi="Symbol"/>
      </w:rPr>
    </w:lvl>
    <w:lvl w:ilvl="1" w:tentative="0">
      <w:start w:val="1"/>
      <w:numFmt w:val="bullet"/>
      <w:lvlText w:val="o"/>
      <w:lvlJc w:val="left"/>
      <w:pPr>
        <w:ind w:left="1080" w:hanging="360"/>
      </w:pPr>
      <w:rPr>
        <w:rFonts w:hint="default" w:ascii="Courier New" w:hAnsi="Courier New" w:cs="Courier New"/>
      </w:rPr>
    </w:lvl>
    <w:lvl w:ilvl="2" w:tentative="0">
      <w:start w:val="1"/>
      <w:numFmt w:val="bullet"/>
      <w:lvlText w:val=""/>
      <w:lvlJc w:val="left"/>
      <w:pPr>
        <w:ind w:left="1800" w:hanging="360"/>
      </w:pPr>
      <w:rPr>
        <w:rFonts w:hint="default" w:ascii="Wingdings" w:hAnsi="Wingdings"/>
      </w:rPr>
    </w:lvl>
    <w:lvl w:ilvl="3" w:tentative="0">
      <w:start w:val="1"/>
      <w:numFmt w:val="bullet"/>
      <w:lvlText w:val=""/>
      <w:lvlJc w:val="left"/>
      <w:pPr>
        <w:ind w:left="2520" w:hanging="360"/>
      </w:pPr>
      <w:rPr>
        <w:rFonts w:hint="default" w:ascii="Symbol" w:hAnsi="Symbol"/>
      </w:rPr>
    </w:lvl>
    <w:lvl w:ilvl="4" w:tentative="0">
      <w:start w:val="1"/>
      <w:numFmt w:val="bullet"/>
      <w:lvlText w:val="o"/>
      <w:lvlJc w:val="left"/>
      <w:pPr>
        <w:ind w:left="3240" w:hanging="360"/>
      </w:pPr>
      <w:rPr>
        <w:rFonts w:hint="default" w:ascii="Courier New" w:hAnsi="Courier New" w:cs="Courier New"/>
      </w:rPr>
    </w:lvl>
    <w:lvl w:ilvl="5" w:tentative="0">
      <w:start w:val="1"/>
      <w:numFmt w:val="bullet"/>
      <w:lvlText w:val=""/>
      <w:lvlJc w:val="left"/>
      <w:pPr>
        <w:ind w:left="3960" w:hanging="360"/>
      </w:pPr>
      <w:rPr>
        <w:rFonts w:hint="default" w:ascii="Wingdings" w:hAnsi="Wingdings"/>
      </w:rPr>
    </w:lvl>
    <w:lvl w:ilvl="6" w:tentative="0">
      <w:start w:val="1"/>
      <w:numFmt w:val="bullet"/>
      <w:lvlText w:val=""/>
      <w:lvlJc w:val="left"/>
      <w:pPr>
        <w:ind w:left="4680" w:hanging="360"/>
      </w:pPr>
      <w:rPr>
        <w:rFonts w:hint="default" w:ascii="Symbol" w:hAnsi="Symbol"/>
      </w:rPr>
    </w:lvl>
    <w:lvl w:ilvl="7" w:tentative="0">
      <w:start w:val="1"/>
      <w:numFmt w:val="bullet"/>
      <w:lvlText w:val="o"/>
      <w:lvlJc w:val="left"/>
      <w:pPr>
        <w:ind w:left="5400" w:hanging="360"/>
      </w:pPr>
      <w:rPr>
        <w:rFonts w:hint="default" w:ascii="Courier New" w:hAnsi="Courier New" w:cs="Courier New"/>
      </w:rPr>
    </w:lvl>
    <w:lvl w:ilvl="8" w:tentative="0">
      <w:start w:val="1"/>
      <w:numFmt w:val="bullet"/>
      <w:lvlText w:val=""/>
      <w:lvlJc w:val="left"/>
      <w:pPr>
        <w:ind w:left="6120" w:hanging="360"/>
      </w:pPr>
      <w:rPr>
        <w:rFonts w:hint="default" w:ascii="Wingdings" w:hAnsi="Wingdings"/>
      </w:rPr>
    </w:lvl>
  </w:abstractNum>
  <w:abstractNum w:abstractNumId="10">
    <w:nsid w:val="1FBE6728"/>
    <w:multiLevelType w:val="multilevel"/>
    <w:tmpl w:val="1FBE6728"/>
    <w:lvl w:ilvl="0" w:tentative="0">
      <w:start w:val="1"/>
      <w:numFmt w:val="decimal"/>
      <w:lvlText w:val="%1."/>
      <w:lvlJc w:val="left"/>
      <w:pPr>
        <w:ind w:left="1619" w:hanging="360"/>
      </w:pPr>
      <w:rPr>
        <w:rFonts w:hint="default"/>
      </w:rPr>
    </w:lvl>
    <w:lvl w:ilvl="1" w:tentative="0">
      <w:start w:val="1"/>
      <w:numFmt w:val="lowerLetter"/>
      <w:lvlText w:val="%2."/>
      <w:lvlJc w:val="left"/>
      <w:pPr>
        <w:ind w:left="2339" w:hanging="360"/>
      </w:pPr>
    </w:lvl>
    <w:lvl w:ilvl="2" w:tentative="0">
      <w:start w:val="1"/>
      <w:numFmt w:val="lowerRoman"/>
      <w:lvlText w:val="%3."/>
      <w:lvlJc w:val="right"/>
      <w:pPr>
        <w:ind w:left="3059" w:hanging="180"/>
      </w:pPr>
    </w:lvl>
    <w:lvl w:ilvl="3" w:tentative="0">
      <w:start w:val="1"/>
      <w:numFmt w:val="decimal"/>
      <w:lvlText w:val="%4."/>
      <w:lvlJc w:val="left"/>
      <w:pPr>
        <w:ind w:left="3779" w:hanging="360"/>
      </w:pPr>
    </w:lvl>
    <w:lvl w:ilvl="4" w:tentative="0">
      <w:start w:val="1"/>
      <w:numFmt w:val="lowerLetter"/>
      <w:lvlText w:val="%5."/>
      <w:lvlJc w:val="left"/>
      <w:pPr>
        <w:ind w:left="4499" w:hanging="360"/>
      </w:pPr>
    </w:lvl>
    <w:lvl w:ilvl="5" w:tentative="0">
      <w:start w:val="1"/>
      <w:numFmt w:val="lowerRoman"/>
      <w:lvlText w:val="%6."/>
      <w:lvlJc w:val="right"/>
      <w:pPr>
        <w:ind w:left="5219" w:hanging="180"/>
      </w:pPr>
    </w:lvl>
    <w:lvl w:ilvl="6" w:tentative="0">
      <w:start w:val="1"/>
      <w:numFmt w:val="decimal"/>
      <w:lvlText w:val="%7."/>
      <w:lvlJc w:val="left"/>
      <w:pPr>
        <w:ind w:left="5939" w:hanging="360"/>
      </w:pPr>
    </w:lvl>
    <w:lvl w:ilvl="7" w:tentative="0">
      <w:start w:val="1"/>
      <w:numFmt w:val="lowerLetter"/>
      <w:lvlText w:val="%8."/>
      <w:lvlJc w:val="left"/>
      <w:pPr>
        <w:ind w:left="6659" w:hanging="360"/>
      </w:pPr>
    </w:lvl>
    <w:lvl w:ilvl="8" w:tentative="0">
      <w:start w:val="1"/>
      <w:numFmt w:val="lowerRoman"/>
      <w:lvlText w:val="%9."/>
      <w:lvlJc w:val="right"/>
      <w:pPr>
        <w:ind w:left="7379" w:hanging="180"/>
      </w:pPr>
    </w:lvl>
  </w:abstractNum>
  <w:abstractNum w:abstractNumId="11">
    <w:nsid w:val="2AEE17B5"/>
    <w:multiLevelType w:val="multilevel"/>
    <w:tmpl w:val="2AEE17B5"/>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2">
    <w:nsid w:val="2E3A1262"/>
    <w:multiLevelType w:val="multilevel"/>
    <w:tmpl w:val="2E3A1262"/>
    <w:lvl w:ilvl="0" w:tentative="0">
      <w:start w:val="150"/>
      <w:numFmt w:val="bullet"/>
      <w:lvlText w:val="-"/>
      <w:lvlJc w:val="left"/>
      <w:pPr>
        <w:ind w:left="720" w:hanging="360"/>
      </w:pPr>
      <w:rPr>
        <w:rFonts w:hint="default" w:ascii="Times" w:hAnsi="Times" w:eastAsia="Batang" w:cs="Times"/>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3">
    <w:nsid w:val="348F7FD2"/>
    <w:multiLevelType w:val="multilevel"/>
    <w:tmpl w:val="348F7FD2"/>
    <w:lvl w:ilvl="0" w:tentative="0">
      <w:start w:val="1"/>
      <w:numFmt w:val="decimal"/>
      <w:lvlText w:val="%1."/>
      <w:lvlJc w:val="left"/>
      <w:pPr>
        <w:ind w:left="1619" w:hanging="360"/>
      </w:pPr>
      <w:rPr>
        <w:rFonts w:hint="default"/>
      </w:rPr>
    </w:lvl>
    <w:lvl w:ilvl="1" w:tentative="0">
      <w:start w:val="1"/>
      <w:numFmt w:val="lowerLetter"/>
      <w:lvlText w:val="%2."/>
      <w:lvlJc w:val="left"/>
      <w:pPr>
        <w:ind w:left="2339" w:hanging="360"/>
      </w:pPr>
    </w:lvl>
    <w:lvl w:ilvl="2" w:tentative="0">
      <w:start w:val="1"/>
      <w:numFmt w:val="lowerRoman"/>
      <w:lvlText w:val="%3."/>
      <w:lvlJc w:val="right"/>
      <w:pPr>
        <w:ind w:left="3059" w:hanging="180"/>
      </w:pPr>
    </w:lvl>
    <w:lvl w:ilvl="3" w:tentative="0">
      <w:start w:val="1"/>
      <w:numFmt w:val="decimal"/>
      <w:lvlText w:val="%4."/>
      <w:lvlJc w:val="left"/>
      <w:pPr>
        <w:ind w:left="3779" w:hanging="360"/>
      </w:pPr>
    </w:lvl>
    <w:lvl w:ilvl="4" w:tentative="0">
      <w:start w:val="1"/>
      <w:numFmt w:val="lowerLetter"/>
      <w:lvlText w:val="%5."/>
      <w:lvlJc w:val="left"/>
      <w:pPr>
        <w:ind w:left="4499" w:hanging="360"/>
      </w:pPr>
    </w:lvl>
    <w:lvl w:ilvl="5" w:tentative="0">
      <w:start w:val="1"/>
      <w:numFmt w:val="lowerRoman"/>
      <w:lvlText w:val="%6."/>
      <w:lvlJc w:val="right"/>
      <w:pPr>
        <w:ind w:left="5219" w:hanging="180"/>
      </w:pPr>
    </w:lvl>
    <w:lvl w:ilvl="6" w:tentative="0">
      <w:start w:val="1"/>
      <w:numFmt w:val="decimal"/>
      <w:lvlText w:val="%7."/>
      <w:lvlJc w:val="left"/>
      <w:pPr>
        <w:ind w:left="5939" w:hanging="360"/>
      </w:pPr>
    </w:lvl>
    <w:lvl w:ilvl="7" w:tentative="0">
      <w:start w:val="1"/>
      <w:numFmt w:val="lowerLetter"/>
      <w:lvlText w:val="%8."/>
      <w:lvlJc w:val="left"/>
      <w:pPr>
        <w:ind w:left="6659" w:hanging="360"/>
      </w:pPr>
    </w:lvl>
    <w:lvl w:ilvl="8" w:tentative="0">
      <w:start w:val="1"/>
      <w:numFmt w:val="lowerRoman"/>
      <w:lvlText w:val="%9."/>
      <w:lvlJc w:val="right"/>
      <w:pPr>
        <w:ind w:left="7379" w:hanging="180"/>
      </w:pPr>
    </w:lvl>
  </w:abstractNum>
  <w:abstractNum w:abstractNumId="14">
    <w:nsid w:val="410E6A16"/>
    <w:multiLevelType w:val="multilevel"/>
    <w:tmpl w:val="410E6A16"/>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5">
    <w:nsid w:val="42B553E0"/>
    <w:multiLevelType w:val="multilevel"/>
    <w:tmpl w:val="42B553E0"/>
    <w:lvl w:ilvl="0" w:tentative="0">
      <w:start w:val="0"/>
      <w:numFmt w:val="bullet"/>
      <w:lvlText w:val=""/>
      <w:lvlJc w:val="left"/>
      <w:pPr>
        <w:ind w:left="720" w:hanging="360"/>
      </w:pPr>
      <w:rPr>
        <w:rFonts w:hint="default" w:ascii="Symbol" w:hAnsi="Symbol" w:eastAsia="Calibri" w:cs="Times New Roman"/>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6">
    <w:nsid w:val="45145077"/>
    <w:multiLevelType w:val="multilevel"/>
    <w:tmpl w:val="45145077"/>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7">
    <w:nsid w:val="49DB134C"/>
    <w:multiLevelType w:val="multilevel"/>
    <w:tmpl w:val="49DB134C"/>
    <w:lvl w:ilvl="0" w:tentative="0">
      <w:start w:val="1"/>
      <w:numFmt w:val="bullet"/>
      <w:lvlText w:val=""/>
      <w:lvlJc w:val="left"/>
      <w:pPr>
        <w:ind w:left="1080" w:hanging="360"/>
      </w:pPr>
      <w:rPr>
        <w:rFonts w:hint="default" w:ascii="Symbol" w:hAnsi="Symbol"/>
      </w:rPr>
    </w:lvl>
    <w:lvl w:ilvl="1" w:tentative="0">
      <w:start w:val="1"/>
      <w:numFmt w:val="bullet"/>
      <w:lvlText w:val="o"/>
      <w:lvlJc w:val="left"/>
      <w:pPr>
        <w:ind w:left="1800" w:hanging="360"/>
      </w:pPr>
      <w:rPr>
        <w:rFonts w:hint="default" w:ascii="Courier New" w:hAnsi="Courier New" w:cs="Courier New"/>
      </w:rPr>
    </w:lvl>
    <w:lvl w:ilvl="2" w:tentative="0">
      <w:start w:val="1"/>
      <w:numFmt w:val="bullet"/>
      <w:lvlText w:val=""/>
      <w:lvlJc w:val="left"/>
      <w:pPr>
        <w:ind w:left="2520" w:hanging="360"/>
      </w:pPr>
      <w:rPr>
        <w:rFonts w:hint="default" w:ascii="Wingdings" w:hAnsi="Wingdings"/>
      </w:rPr>
    </w:lvl>
    <w:lvl w:ilvl="3" w:tentative="0">
      <w:start w:val="1"/>
      <w:numFmt w:val="bullet"/>
      <w:lvlText w:val=""/>
      <w:lvlJc w:val="left"/>
      <w:pPr>
        <w:ind w:left="3240" w:hanging="360"/>
      </w:pPr>
      <w:rPr>
        <w:rFonts w:hint="default" w:ascii="Symbol" w:hAnsi="Symbol"/>
      </w:rPr>
    </w:lvl>
    <w:lvl w:ilvl="4" w:tentative="0">
      <w:start w:val="1"/>
      <w:numFmt w:val="bullet"/>
      <w:lvlText w:val="o"/>
      <w:lvlJc w:val="left"/>
      <w:pPr>
        <w:ind w:left="3960" w:hanging="360"/>
      </w:pPr>
      <w:rPr>
        <w:rFonts w:hint="default" w:ascii="Courier New" w:hAnsi="Courier New" w:cs="Courier New"/>
      </w:rPr>
    </w:lvl>
    <w:lvl w:ilvl="5" w:tentative="0">
      <w:start w:val="1"/>
      <w:numFmt w:val="bullet"/>
      <w:lvlText w:val=""/>
      <w:lvlJc w:val="left"/>
      <w:pPr>
        <w:ind w:left="4680" w:hanging="360"/>
      </w:pPr>
      <w:rPr>
        <w:rFonts w:hint="default" w:ascii="Wingdings" w:hAnsi="Wingdings"/>
      </w:rPr>
    </w:lvl>
    <w:lvl w:ilvl="6" w:tentative="0">
      <w:start w:val="1"/>
      <w:numFmt w:val="bullet"/>
      <w:lvlText w:val=""/>
      <w:lvlJc w:val="left"/>
      <w:pPr>
        <w:ind w:left="5400" w:hanging="360"/>
      </w:pPr>
      <w:rPr>
        <w:rFonts w:hint="default" w:ascii="Symbol" w:hAnsi="Symbol"/>
      </w:rPr>
    </w:lvl>
    <w:lvl w:ilvl="7" w:tentative="0">
      <w:start w:val="1"/>
      <w:numFmt w:val="bullet"/>
      <w:lvlText w:val="o"/>
      <w:lvlJc w:val="left"/>
      <w:pPr>
        <w:ind w:left="6120" w:hanging="360"/>
      </w:pPr>
      <w:rPr>
        <w:rFonts w:hint="default" w:ascii="Courier New" w:hAnsi="Courier New" w:cs="Courier New"/>
      </w:rPr>
    </w:lvl>
    <w:lvl w:ilvl="8" w:tentative="0">
      <w:start w:val="1"/>
      <w:numFmt w:val="bullet"/>
      <w:lvlText w:val=""/>
      <w:lvlJc w:val="left"/>
      <w:pPr>
        <w:ind w:left="6840" w:hanging="360"/>
      </w:pPr>
      <w:rPr>
        <w:rFonts w:hint="default" w:ascii="Wingdings" w:hAnsi="Wingdings"/>
      </w:rPr>
    </w:lvl>
  </w:abstractNum>
  <w:abstractNum w:abstractNumId="18">
    <w:nsid w:val="55015543"/>
    <w:multiLevelType w:val="multilevel"/>
    <w:tmpl w:val="55015543"/>
    <w:lvl w:ilvl="0" w:tentative="0">
      <w:start w:val="1"/>
      <w:numFmt w:val="bullet"/>
      <w:lvlText w:val=""/>
      <w:lvlJc w:val="left"/>
      <w:pPr>
        <w:tabs>
          <w:tab w:val="left" w:pos="720"/>
        </w:tabs>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9">
    <w:nsid w:val="5C173751"/>
    <w:multiLevelType w:val="multilevel"/>
    <w:tmpl w:val="5C173751"/>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20">
    <w:nsid w:val="5D1F3221"/>
    <w:multiLevelType w:val="multilevel"/>
    <w:tmpl w:val="5D1F3221"/>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21">
    <w:nsid w:val="5E95393A"/>
    <w:multiLevelType w:val="multilevel"/>
    <w:tmpl w:val="5E95393A"/>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22">
    <w:nsid w:val="65F71395"/>
    <w:multiLevelType w:val="multilevel"/>
    <w:tmpl w:val="65F71395"/>
    <w:lvl w:ilvl="0" w:tentative="0">
      <w:start w:val="1"/>
      <w:numFmt w:val="bullet"/>
      <w:lvlText w:val=""/>
      <w:lvlJc w:val="left"/>
      <w:pPr>
        <w:ind w:left="772" w:hanging="360"/>
      </w:pPr>
      <w:rPr>
        <w:rFonts w:hint="default" w:ascii="Symbol" w:hAnsi="Symbol"/>
      </w:rPr>
    </w:lvl>
    <w:lvl w:ilvl="1" w:tentative="0">
      <w:start w:val="1"/>
      <w:numFmt w:val="bullet"/>
      <w:lvlText w:val="o"/>
      <w:lvlJc w:val="left"/>
      <w:pPr>
        <w:ind w:left="1492" w:hanging="360"/>
      </w:pPr>
      <w:rPr>
        <w:rFonts w:hint="default" w:ascii="Courier New" w:hAnsi="Courier New" w:cs="Courier New"/>
      </w:rPr>
    </w:lvl>
    <w:lvl w:ilvl="2" w:tentative="0">
      <w:start w:val="1"/>
      <w:numFmt w:val="bullet"/>
      <w:lvlText w:val=""/>
      <w:lvlJc w:val="left"/>
      <w:pPr>
        <w:ind w:left="2212" w:hanging="360"/>
      </w:pPr>
      <w:rPr>
        <w:rFonts w:hint="default" w:ascii="Wingdings" w:hAnsi="Wingdings"/>
      </w:rPr>
    </w:lvl>
    <w:lvl w:ilvl="3" w:tentative="0">
      <w:start w:val="1"/>
      <w:numFmt w:val="bullet"/>
      <w:lvlText w:val=""/>
      <w:lvlJc w:val="left"/>
      <w:pPr>
        <w:ind w:left="2932" w:hanging="360"/>
      </w:pPr>
      <w:rPr>
        <w:rFonts w:hint="default" w:ascii="Symbol" w:hAnsi="Symbol"/>
      </w:rPr>
    </w:lvl>
    <w:lvl w:ilvl="4" w:tentative="0">
      <w:start w:val="1"/>
      <w:numFmt w:val="bullet"/>
      <w:lvlText w:val="o"/>
      <w:lvlJc w:val="left"/>
      <w:pPr>
        <w:ind w:left="3652" w:hanging="360"/>
      </w:pPr>
      <w:rPr>
        <w:rFonts w:hint="default" w:ascii="Courier New" w:hAnsi="Courier New" w:cs="Courier New"/>
      </w:rPr>
    </w:lvl>
    <w:lvl w:ilvl="5" w:tentative="0">
      <w:start w:val="1"/>
      <w:numFmt w:val="bullet"/>
      <w:lvlText w:val=""/>
      <w:lvlJc w:val="left"/>
      <w:pPr>
        <w:ind w:left="4372" w:hanging="360"/>
      </w:pPr>
      <w:rPr>
        <w:rFonts w:hint="default" w:ascii="Wingdings" w:hAnsi="Wingdings"/>
      </w:rPr>
    </w:lvl>
    <w:lvl w:ilvl="6" w:tentative="0">
      <w:start w:val="1"/>
      <w:numFmt w:val="bullet"/>
      <w:lvlText w:val=""/>
      <w:lvlJc w:val="left"/>
      <w:pPr>
        <w:ind w:left="5092" w:hanging="360"/>
      </w:pPr>
      <w:rPr>
        <w:rFonts w:hint="default" w:ascii="Symbol" w:hAnsi="Symbol"/>
      </w:rPr>
    </w:lvl>
    <w:lvl w:ilvl="7" w:tentative="0">
      <w:start w:val="1"/>
      <w:numFmt w:val="bullet"/>
      <w:lvlText w:val="o"/>
      <w:lvlJc w:val="left"/>
      <w:pPr>
        <w:ind w:left="5812" w:hanging="360"/>
      </w:pPr>
      <w:rPr>
        <w:rFonts w:hint="default" w:ascii="Courier New" w:hAnsi="Courier New" w:cs="Courier New"/>
      </w:rPr>
    </w:lvl>
    <w:lvl w:ilvl="8" w:tentative="0">
      <w:start w:val="1"/>
      <w:numFmt w:val="bullet"/>
      <w:lvlText w:val=""/>
      <w:lvlJc w:val="left"/>
      <w:pPr>
        <w:ind w:left="6532" w:hanging="360"/>
      </w:pPr>
      <w:rPr>
        <w:rFonts w:hint="default" w:ascii="Wingdings" w:hAnsi="Wingdings"/>
      </w:rPr>
    </w:lvl>
  </w:abstractNum>
  <w:abstractNum w:abstractNumId="23">
    <w:nsid w:val="77E30194"/>
    <w:multiLevelType w:val="multilevel"/>
    <w:tmpl w:val="77E30194"/>
    <w:lvl w:ilvl="0" w:tentative="0">
      <w:start w:val="1"/>
      <w:numFmt w:val="decimal"/>
      <w:lvlText w:val="%1."/>
      <w:lvlJc w:val="left"/>
      <w:pPr>
        <w:ind w:left="420" w:hanging="420"/>
      </w:pPr>
      <w:rPr>
        <w:rFonts w:hint="default"/>
      </w:rPr>
    </w:lvl>
    <w:lvl w:ilvl="1" w:tentative="0">
      <w:start w:val="1"/>
      <w:numFmt w:val="bullet"/>
      <w:lvlText w:val="•"/>
      <w:lvlJc w:val="left"/>
      <w:pPr>
        <w:ind w:left="840" w:hanging="420"/>
      </w:pPr>
      <w:rPr>
        <w:rFonts w:hint="default" w:ascii="Arial" w:hAnsi="Arial"/>
      </w:rPr>
    </w:lvl>
    <w:lvl w:ilvl="2" w:tentative="0">
      <w:start w:val="5"/>
      <w:numFmt w:val="bullet"/>
      <w:lvlText w:val="-"/>
      <w:lvlJc w:val="left"/>
      <w:pPr>
        <w:ind w:left="1260" w:hanging="420"/>
      </w:pPr>
      <w:rPr>
        <w:rFonts w:hint="default" w:ascii="Times New Roman" w:hAnsi="Times New Roman" w:eastAsia="宋体" w:cs="Times New Roman"/>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24">
    <w:nsid w:val="7ED68BD4"/>
    <w:multiLevelType w:val="multilevel"/>
    <w:tmpl w:val="7ED68BD4"/>
    <w:lvl w:ilvl="0" w:tentative="0">
      <w:start w:val="3"/>
      <w:numFmt w:val="decimal"/>
      <w:pStyle w:val="2"/>
      <w:lvlText w:val="%1"/>
      <w:lvlJc w:val="left"/>
      <w:pPr>
        <w:tabs>
          <w:tab w:val="left" w:pos="432"/>
        </w:tabs>
        <w:ind w:left="432" w:hanging="432"/>
      </w:pPr>
      <w:rPr>
        <w:rFonts w:hint="default" w:ascii="宋体" w:hAnsi="宋体" w:eastAsia="宋体" w:cs="宋体"/>
      </w:rPr>
    </w:lvl>
    <w:lvl w:ilvl="1" w:tentative="0">
      <w:start w:val="1"/>
      <w:numFmt w:val="decimal"/>
      <w:pStyle w:val="3"/>
      <w:lvlText w:val="%1.%2"/>
      <w:lvlJc w:val="left"/>
      <w:pPr>
        <w:tabs>
          <w:tab w:val="left" w:pos="576"/>
        </w:tabs>
        <w:ind w:left="576" w:hanging="576"/>
      </w:pPr>
      <w:rPr>
        <w:rFonts w:hint="default" w:ascii="Arial Regular" w:hAnsi="Arial Regular" w:eastAsia="宋体" w:cs="Arial Regular"/>
      </w:rPr>
    </w:lvl>
    <w:lvl w:ilvl="2" w:tentative="0">
      <w:start w:val="1"/>
      <w:numFmt w:val="decimal"/>
      <w:lvlRestart w:val="0"/>
      <w:pStyle w:val="4"/>
      <w:lvlText w:val="%1.%2.%3"/>
      <w:lvlJc w:val="left"/>
      <w:pPr>
        <w:tabs>
          <w:tab w:val="left" w:pos="0"/>
        </w:tabs>
        <w:ind w:left="720" w:hanging="720"/>
      </w:pPr>
      <w:rPr>
        <w:rFonts w:hint="default" w:cs="Times New Roman"/>
        <w:i w:val="0"/>
        <w:iCs w:val="0"/>
        <w:caps w:val="0"/>
        <w:smallCaps w:val="0"/>
        <w:strike w:val="0"/>
        <w:dstrike w:val="0"/>
        <w:vanish w:val="0"/>
        <w:color w:val="000000"/>
        <w:spacing w:val="0"/>
        <w:position w:val="0"/>
        <w:u w:val="none"/>
        <w:vertAlign w:val="baseline"/>
        <w14:shadow w14:blurRad="0" w14:dist="0" w14:dir="0" w14:sx="0" w14:sy="0" w14:kx="0" w14:ky="0" w14:algn="none">
          <w14:srgbClr w14:val="000000"/>
        </w14:shadow>
      </w:rPr>
    </w:lvl>
    <w:lvl w:ilvl="3" w:tentative="0">
      <w:start w:val="1"/>
      <w:numFmt w:val="decimal"/>
      <w:pStyle w:val="5"/>
      <w:lvlText w:val="%1.%2.%3.%4"/>
      <w:lvlJc w:val="left"/>
      <w:pPr>
        <w:tabs>
          <w:tab w:val="left" w:pos="864"/>
        </w:tabs>
        <w:ind w:left="864" w:hanging="864"/>
      </w:pPr>
      <w:rPr>
        <w:rFonts w:cs="Times New Roman"/>
        <w:i w:val="0"/>
        <w:iCs w:val="0"/>
        <w:caps w:val="0"/>
        <w:smallCaps w:val="0"/>
        <w:strike w:val="0"/>
        <w:dstrike w:val="0"/>
        <w:vanish w:val="0"/>
        <w:color w:val="000000"/>
        <w:spacing w:val="0"/>
        <w:position w:val="0"/>
        <w:u w:val="none"/>
        <w:vertAlign w:val="baseline"/>
        <w:lang w:val="en-US"/>
        <w14:shadow w14:blurRad="0" w14:dist="0" w14:dir="0" w14:sx="0" w14:sy="0" w14:kx="0" w14:ky="0" w14:algn="none">
          <w14:srgbClr w14:val="000000"/>
        </w14:shadow>
      </w:rPr>
    </w:lvl>
    <w:lvl w:ilvl="4" w:tentative="0">
      <w:start w:val="1"/>
      <w:numFmt w:val="decimal"/>
      <w:pStyle w:val="6"/>
      <w:lvlText w:val="%1.%2.%3.%4.%5"/>
      <w:lvlJc w:val="left"/>
      <w:pPr>
        <w:tabs>
          <w:tab w:val="left" w:pos="2988"/>
        </w:tabs>
        <w:ind w:left="2988" w:hanging="1008"/>
      </w:pPr>
      <w:rPr>
        <w:rFonts w:cs="Times New Roman"/>
        <w:i w:val="0"/>
        <w:iCs w:val="0"/>
        <w:caps w:val="0"/>
        <w:smallCaps w:val="0"/>
        <w:strike w:val="0"/>
        <w:dstrike w:val="0"/>
        <w:vanish w:val="0"/>
        <w:color w:val="000000"/>
        <w:spacing w:val="0"/>
        <w:position w:val="0"/>
        <w:u w:val="none"/>
        <w:vertAlign w:val="baseline"/>
        <w14:shadow w14:blurRad="0" w14:dist="0" w14:dir="0" w14:sx="0" w14:sy="0" w14:kx="0" w14:ky="0" w14:algn="none">
          <w14:srgbClr w14:val="000000"/>
        </w14:shadow>
      </w:rPr>
    </w:lvl>
    <w:lvl w:ilvl="5" w:tentative="0">
      <w:start w:val="1"/>
      <w:numFmt w:val="decimal"/>
      <w:pStyle w:val="7"/>
      <w:lvlText w:val="%1.%2.%3.%4.%5.%6"/>
      <w:lvlJc w:val="left"/>
      <w:pPr>
        <w:tabs>
          <w:tab w:val="left" w:pos="1152"/>
        </w:tabs>
        <w:ind w:left="1152" w:hanging="1152"/>
      </w:pPr>
      <w:rPr>
        <w:rFonts w:cs="Times New Roman"/>
        <w:i w:val="0"/>
        <w:iCs w:val="0"/>
        <w:caps w:val="0"/>
        <w:smallCaps w:val="0"/>
        <w:strike w:val="0"/>
        <w:dstrike w:val="0"/>
        <w:vanish w:val="0"/>
        <w:color w:val="000000"/>
        <w:spacing w:val="0"/>
        <w:position w:val="0"/>
        <w:u w:val="none"/>
        <w:vertAlign w:val="baseline"/>
        <w14:shadow w14:blurRad="0" w14:dist="0" w14:dir="0" w14:sx="0" w14:sy="0" w14:kx="0" w14:ky="0" w14:algn="none">
          <w14:srgbClr w14:val="000000"/>
        </w14:shadow>
      </w:rPr>
    </w:lvl>
    <w:lvl w:ilvl="6" w:tentative="0">
      <w:start w:val="1"/>
      <w:numFmt w:val="decimal"/>
      <w:pStyle w:val="8"/>
      <w:lvlText w:val="%1.%2.%3.%4.%5.%6.%7"/>
      <w:lvlJc w:val="left"/>
      <w:pPr>
        <w:tabs>
          <w:tab w:val="left" w:pos="1296"/>
        </w:tabs>
        <w:ind w:left="1296" w:hanging="1296"/>
      </w:pPr>
      <w:rPr>
        <w:rFonts w:hint="default"/>
      </w:rPr>
    </w:lvl>
    <w:lvl w:ilvl="7" w:tentative="0">
      <w:start w:val="1"/>
      <w:numFmt w:val="decimal"/>
      <w:pStyle w:val="9"/>
      <w:lvlText w:val="%1.%2.%3.%4.%5.%6.%7.%8"/>
      <w:lvlJc w:val="left"/>
      <w:pPr>
        <w:tabs>
          <w:tab w:val="left" w:pos="1440"/>
        </w:tabs>
        <w:ind w:left="1440" w:hanging="1440"/>
      </w:pPr>
      <w:rPr>
        <w:rFonts w:hint="default"/>
      </w:rPr>
    </w:lvl>
    <w:lvl w:ilvl="8" w:tentative="0">
      <w:start w:val="1"/>
      <w:numFmt w:val="decimal"/>
      <w:pStyle w:val="10"/>
      <w:lvlText w:val="%1.%2.%3.%4.%5.%6.%7.%8.%9"/>
      <w:lvlJc w:val="left"/>
      <w:pPr>
        <w:tabs>
          <w:tab w:val="left" w:pos="1584"/>
        </w:tabs>
        <w:ind w:left="1584" w:hanging="1584"/>
      </w:pPr>
      <w:rPr>
        <w:rFonts w:hint="default"/>
      </w:rPr>
    </w:lvl>
  </w:abstractNum>
  <w:num w:numId="1">
    <w:abstractNumId w:val="24"/>
  </w:num>
  <w:num w:numId="2">
    <w:abstractNumId w:val="5"/>
  </w:num>
  <w:num w:numId="3">
    <w:abstractNumId w:val="4"/>
  </w:num>
  <w:num w:numId="4">
    <w:abstractNumId w:val="2"/>
  </w:num>
  <w:num w:numId="5">
    <w:abstractNumId w:val="23"/>
  </w:num>
  <w:num w:numId="6">
    <w:abstractNumId w:val="18"/>
  </w:num>
  <w:num w:numId="7">
    <w:abstractNumId w:val="21"/>
  </w:num>
  <w:num w:numId="8">
    <w:abstractNumId w:val="9"/>
  </w:num>
  <w:num w:numId="9">
    <w:abstractNumId w:val="15"/>
  </w:num>
  <w:num w:numId="10">
    <w:abstractNumId w:val="19"/>
  </w:num>
  <w:num w:numId="11">
    <w:abstractNumId w:val="8"/>
  </w:num>
  <w:num w:numId="12">
    <w:abstractNumId w:val="16"/>
  </w:num>
  <w:num w:numId="13">
    <w:abstractNumId w:val="12"/>
  </w:num>
  <w:num w:numId="14">
    <w:abstractNumId w:val="14"/>
  </w:num>
  <w:num w:numId="15">
    <w:abstractNumId w:val="17"/>
  </w:num>
  <w:num w:numId="16">
    <w:abstractNumId w:val="1"/>
  </w:num>
  <w:num w:numId="17">
    <w:abstractNumId w:val="0"/>
  </w:num>
  <w:num w:numId="18">
    <w:abstractNumId w:val="20"/>
  </w:num>
  <w:num w:numId="19">
    <w:abstractNumId w:val="22"/>
  </w:num>
  <w:num w:numId="20">
    <w:abstractNumId w:val="6"/>
  </w:num>
  <w:num w:numId="21">
    <w:abstractNumId w:val="13"/>
  </w:num>
  <w:num w:numId="22">
    <w:abstractNumId w:val="10"/>
  </w:num>
  <w:num w:numId="23">
    <w:abstractNumId w:val="7"/>
  </w:num>
  <w:num w:numId="24">
    <w:abstractNumId w:val="11"/>
  </w:num>
  <w:num w:numId="25">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56"/>
  <w:doNotDisplayPageBoundaries w:val="1"/>
  <w:bordersDoNotSurroundHeader w:val="0"/>
  <w:bordersDoNotSurroundFooter w:val="0"/>
  <w:documentProtection w:enforcement="0"/>
  <w:defaultTabStop w:val="799"/>
  <w:displayHorizontalDrawingGridEvery w:val="1"/>
  <w:displayVerticalDrawingGridEvery w:val="1"/>
  <w:noPunctuationKerning w:val="1"/>
  <w:characterSpacingControl w:val="doNotCompress"/>
  <w:footnotePr>
    <w:footnote w:id="0"/>
    <w:footnote w:id="1"/>
  </w:footnotePr>
  <w:compat>
    <w:spaceForUL/>
    <w:balanceSingleByteDoubleByteWidth/>
    <w:doNotLeaveBackslashAlone/>
    <w:ulTrailSpace/>
    <w:doNotExpandShiftReturn/>
    <w:adjustLineHeightInTable/>
    <w:doNotWrapTextWithPunct/>
    <w:doNotUseEastAsianBreakRules/>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GFiYTZkYjgwNGI5YTczMzlhZmQ0NTkzZDkyNGQyYjAifQ=="/>
  </w:docVars>
  <w:rsids>
    <w:rsidRoot w:val="00345EEA"/>
    <w:rsid w:val="000049DC"/>
    <w:rsid w:val="00006E91"/>
    <w:rsid w:val="0001459F"/>
    <w:rsid w:val="00014DC2"/>
    <w:rsid w:val="000154E8"/>
    <w:rsid w:val="00016171"/>
    <w:rsid w:val="000206F5"/>
    <w:rsid w:val="00021963"/>
    <w:rsid w:val="00021A46"/>
    <w:rsid w:val="00027418"/>
    <w:rsid w:val="00035C3D"/>
    <w:rsid w:val="00041FB7"/>
    <w:rsid w:val="000443F7"/>
    <w:rsid w:val="0005011F"/>
    <w:rsid w:val="0005233E"/>
    <w:rsid w:val="00052672"/>
    <w:rsid w:val="000527DB"/>
    <w:rsid w:val="00052ACE"/>
    <w:rsid w:val="00053611"/>
    <w:rsid w:val="00054572"/>
    <w:rsid w:val="00054DD5"/>
    <w:rsid w:val="00060542"/>
    <w:rsid w:val="000605DA"/>
    <w:rsid w:val="00060C6D"/>
    <w:rsid w:val="00070E52"/>
    <w:rsid w:val="00073C45"/>
    <w:rsid w:val="00074A3E"/>
    <w:rsid w:val="00076A35"/>
    <w:rsid w:val="00076C50"/>
    <w:rsid w:val="000809D1"/>
    <w:rsid w:val="000845D8"/>
    <w:rsid w:val="000846FA"/>
    <w:rsid w:val="00084952"/>
    <w:rsid w:val="00085529"/>
    <w:rsid w:val="000A0641"/>
    <w:rsid w:val="000B3CBE"/>
    <w:rsid w:val="000B6706"/>
    <w:rsid w:val="000C256E"/>
    <w:rsid w:val="000C401F"/>
    <w:rsid w:val="000C47DE"/>
    <w:rsid w:val="000C4860"/>
    <w:rsid w:val="000C748B"/>
    <w:rsid w:val="000C74E2"/>
    <w:rsid w:val="000D241E"/>
    <w:rsid w:val="000D242E"/>
    <w:rsid w:val="000D698F"/>
    <w:rsid w:val="000E474A"/>
    <w:rsid w:val="000E5BCB"/>
    <w:rsid w:val="000E67A5"/>
    <w:rsid w:val="001018D5"/>
    <w:rsid w:val="0010230E"/>
    <w:rsid w:val="00111908"/>
    <w:rsid w:val="00120884"/>
    <w:rsid w:val="00130389"/>
    <w:rsid w:val="00131CB0"/>
    <w:rsid w:val="00132CBE"/>
    <w:rsid w:val="001376F6"/>
    <w:rsid w:val="00146D61"/>
    <w:rsid w:val="00156174"/>
    <w:rsid w:val="001671FB"/>
    <w:rsid w:val="00167B43"/>
    <w:rsid w:val="00176791"/>
    <w:rsid w:val="001777C6"/>
    <w:rsid w:val="0018004F"/>
    <w:rsid w:val="00181906"/>
    <w:rsid w:val="00182437"/>
    <w:rsid w:val="00184862"/>
    <w:rsid w:val="00185777"/>
    <w:rsid w:val="00186520"/>
    <w:rsid w:val="0019426E"/>
    <w:rsid w:val="001A235A"/>
    <w:rsid w:val="001A3FB4"/>
    <w:rsid w:val="001B3F4E"/>
    <w:rsid w:val="001C0BAC"/>
    <w:rsid w:val="001C12B4"/>
    <w:rsid w:val="001C2F76"/>
    <w:rsid w:val="001C40D9"/>
    <w:rsid w:val="001C5621"/>
    <w:rsid w:val="001C74BE"/>
    <w:rsid w:val="001D150F"/>
    <w:rsid w:val="001D41B7"/>
    <w:rsid w:val="001D52A5"/>
    <w:rsid w:val="001D6F38"/>
    <w:rsid w:val="001D7AE8"/>
    <w:rsid w:val="001F05DC"/>
    <w:rsid w:val="001F0B04"/>
    <w:rsid w:val="001F0CC3"/>
    <w:rsid w:val="001F20E5"/>
    <w:rsid w:val="001F2C8F"/>
    <w:rsid w:val="001F3669"/>
    <w:rsid w:val="001F37C1"/>
    <w:rsid w:val="00202C71"/>
    <w:rsid w:val="00206F84"/>
    <w:rsid w:val="00210B7B"/>
    <w:rsid w:val="00211448"/>
    <w:rsid w:val="0021214B"/>
    <w:rsid w:val="002134A6"/>
    <w:rsid w:val="00214F2A"/>
    <w:rsid w:val="00217699"/>
    <w:rsid w:val="00221E20"/>
    <w:rsid w:val="00222232"/>
    <w:rsid w:val="00225EB9"/>
    <w:rsid w:val="002318A4"/>
    <w:rsid w:val="00237671"/>
    <w:rsid w:val="002403C8"/>
    <w:rsid w:val="002418CB"/>
    <w:rsid w:val="00246843"/>
    <w:rsid w:val="00246C5D"/>
    <w:rsid w:val="00247983"/>
    <w:rsid w:val="0025116B"/>
    <w:rsid w:val="00251A50"/>
    <w:rsid w:val="0025466B"/>
    <w:rsid w:val="00255925"/>
    <w:rsid w:val="00255966"/>
    <w:rsid w:val="00256228"/>
    <w:rsid w:val="0025787C"/>
    <w:rsid w:val="002646DC"/>
    <w:rsid w:val="00265760"/>
    <w:rsid w:val="00271586"/>
    <w:rsid w:val="00271CD9"/>
    <w:rsid w:val="0027358D"/>
    <w:rsid w:val="00274937"/>
    <w:rsid w:val="00277FBD"/>
    <w:rsid w:val="00282066"/>
    <w:rsid w:val="00282E2C"/>
    <w:rsid w:val="00293C36"/>
    <w:rsid w:val="00293DB3"/>
    <w:rsid w:val="0029433B"/>
    <w:rsid w:val="0029757E"/>
    <w:rsid w:val="00297DD6"/>
    <w:rsid w:val="002A1E7D"/>
    <w:rsid w:val="002B08E6"/>
    <w:rsid w:val="002B1FFA"/>
    <w:rsid w:val="002B2B40"/>
    <w:rsid w:val="002B32DD"/>
    <w:rsid w:val="002B4B78"/>
    <w:rsid w:val="002B4D11"/>
    <w:rsid w:val="002B544D"/>
    <w:rsid w:val="002B6E04"/>
    <w:rsid w:val="002B6E21"/>
    <w:rsid w:val="002C2567"/>
    <w:rsid w:val="002C5DF1"/>
    <w:rsid w:val="002C7702"/>
    <w:rsid w:val="002D0410"/>
    <w:rsid w:val="002D1A27"/>
    <w:rsid w:val="002D4D40"/>
    <w:rsid w:val="002D5218"/>
    <w:rsid w:val="002E1DF6"/>
    <w:rsid w:val="002F0759"/>
    <w:rsid w:val="002F2880"/>
    <w:rsid w:val="002F4411"/>
    <w:rsid w:val="002F5259"/>
    <w:rsid w:val="002F57D7"/>
    <w:rsid w:val="002F7271"/>
    <w:rsid w:val="00304116"/>
    <w:rsid w:val="0030546D"/>
    <w:rsid w:val="0032089E"/>
    <w:rsid w:val="0032301D"/>
    <w:rsid w:val="003230FF"/>
    <w:rsid w:val="0032415B"/>
    <w:rsid w:val="003269DE"/>
    <w:rsid w:val="0033037F"/>
    <w:rsid w:val="003419DD"/>
    <w:rsid w:val="00343017"/>
    <w:rsid w:val="00343A55"/>
    <w:rsid w:val="00345EEA"/>
    <w:rsid w:val="003521DB"/>
    <w:rsid w:val="003544C1"/>
    <w:rsid w:val="003553AF"/>
    <w:rsid w:val="00357973"/>
    <w:rsid w:val="00360760"/>
    <w:rsid w:val="0036084B"/>
    <w:rsid w:val="00361E6E"/>
    <w:rsid w:val="00364947"/>
    <w:rsid w:val="003653F4"/>
    <w:rsid w:val="00365442"/>
    <w:rsid w:val="00367149"/>
    <w:rsid w:val="00371B1E"/>
    <w:rsid w:val="0037212B"/>
    <w:rsid w:val="00373044"/>
    <w:rsid w:val="003734D3"/>
    <w:rsid w:val="00377C65"/>
    <w:rsid w:val="003805D1"/>
    <w:rsid w:val="00382427"/>
    <w:rsid w:val="00382901"/>
    <w:rsid w:val="00387499"/>
    <w:rsid w:val="00390B6E"/>
    <w:rsid w:val="00391B3E"/>
    <w:rsid w:val="00391D63"/>
    <w:rsid w:val="00392A3A"/>
    <w:rsid w:val="00394AC8"/>
    <w:rsid w:val="003957ED"/>
    <w:rsid w:val="00397A6D"/>
    <w:rsid w:val="003A135F"/>
    <w:rsid w:val="003A4607"/>
    <w:rsid w:val="003B0BF8"/>
    <w:rsid w:val="003B1712"/>
    <w:rsid w:val="003B3DC0"/>
    <w:rsid w:val="003B6548"/>
    <w:rsid w:val="003C3033"/>
    <w:rsid w:val="003C3148"/>
    <w:rsid w:val="003C4584"/>
    <w:rsid w:val="003D33A8"/>
    <w:rsid w:val="003D7BDA"/>
    <w:rsid w:val="003E0305"/>
    <w:rsid w:val="003E04E9"/>
    <w:rsid w:val="003E35DC"/>
    <w:rsid w:val="003E6A3A"/>
    <w:rsid w:val="003E7642"/>
    <w:rsid w:val="003F4797"/>
    <w:rsid w:val="003F47B5"/>
    <w:rsid w:val="004003E8"/>
    <w:rsid w:val="0040222B"/>
    <w:rsid w:val="004022CC"/>
    <w:rsid w:val="00403018"/>
    <w:rsid w:val="004045BC"/>
    <w:rsid w:val="004109C3"/>
    <w:rsid w:val="00414181"/>
    <w:rsid w:val="0041782C"/>
    <w:rsid w:val="004206FA"/>
    <w:rsid w:val="004213CE"/>
    <w:rsid w:val="004223F1"/>
    <w:rsid w:val="00424AFD"/>
    <w:rsid w:val="00431123"/>
    <w:rsid w:val="00431E83"/>
    <w:rsid w:val="00432F62"/>
    <w:rsid w:val="0043707E"/>
    <w:rsid w:val="00437B5E"/>
    <w:rsid w:val="0044004B"/>
    <w:rsid w:val="00455581"/>
    <w:rsid w:val="004604FD"/>
    <w:rsid w:val="00460D00"/>
    <w:rsid w:val="00460DBF"/>
    <w:rsid w:val="00462878"/>
    <w:rsid w:val="00462BD0"/>
    <w:rsid w:val="00471F19"/>
    <w:rsid w:val="00474298"/>
    <w:rsid w:val="0048214B"/>
    <w:rsid w:val="004826E7"/>
    <w:rsid w:val="0048292A"/>
    <w:rsid w:val="0049013E"/>
    <w:rsid w:val="004902E0"/>
    <w:rsid w:val="00490947"/>
    <w:rsid w:val="004910AC"/>
    <w:rsid w:val="004945F3"/>
    <w:rsid w:val="004952EA"/>
    <w:rsid w:val="004A2F9D"/>
    <w:rsid w:val="004A5270"/>
    <w:rsid w:val="004B1BEE"/>
    <w:rsid w:val="004C20CB"/>
    <w:rsid w:val="004C2920"/>
    <w:rsid w:val="004C431C"/>
    <w:rsid w:val="004C5181"/>
    <w:rsid w:val="004C6C1E"/>
    <w:rsid w:val="004C7A79"/>
    <w:rsid w:val="004D31D3"/>
    <w:rsid w:val="004E14BC"/>
    <w:rsid w:val="004E1DF7"/>
    <w:rsid w:val="004E40C3"/>
    <w:rsid w:val="004E4F65"/>
    <w:rsid w:val="004F344E"/>
    <w:rsid w:val="00501F57"/>
    <w:rsid w:val="00502853"/>
    <w:rsid w:val="00510090"/>
    <w:rsid w:val="005104F5"/>
    <w:rsid w:val="00511D3D"/>
    <w:rsid w:val="00514701"/>
    <w:rsid w:val="00514C06"/>
    <w:rsid w:val="00516B1D"/>
    <w:rsid w:val="00520A88"/>
    <w:rsid w:val="00521FA7"/>
    <w:rsid w:val="005220E4"/>
    <w:rsid w:val="00545925"/>
    <w:rsid w:val="00546BEF"/>
    <w:rsid w:val="00547AEB"/>
    <w:rsid w:val="005519E2"/>
    <w:rsid w:val="00553E3A"/>
    <w:rsid w:val="00554166"/>
    <w:rsid w:val="00554E95"/>
    <w:rsid w:val="005551A3"/>
    <w:rsid w:val="00556A4D"/>
    <w:rsid w:val="005634EC"/>
    <w:rsid w:val="0056693D"/>
    <w:rsid w:val="00570536"/>
    <w:rsid w:val="0057060B"/>
    <w:rsid w:val="00571A20"/>
    <w:rsid w:val="00571B80"/>
    <w:rsid w:val="0057342F"/>
    <w:rsid w:val="005765F4"/>
    <w:rsid w:val="00585CC3"/>
    <w:rsid w:val="00587DE1"/>
    <w:rsid w:val="00591F23"/>
    <w:rsid w:val="00592F3B"/>
    <w:rsid w:val="005936B6"/>
    <w:rsid w:val="00593A44"/>
    <w:rsid w:val="0059417F"/>
    <w:rsid w:val="00595848"/>
    <w:rsid w:val="00595D38"/>
    <w:rsid w:val="0059656F"/>
    <w:rsid w:val="005A29FB"/>
    <w:rsid w:val="005B18C2"/>
    <w:rsid w:val="005B25BC"/>
    <w:rsid w:val="005B2683"/>
    <w:rsid w:val="005B6D21"/>
    <w:rsid w:val="005C3943"/>
    <w:rsid w:val="005C595C"/>
    <w:rsid w:val="005D4467"/>
    <w:rsid w:val="005E1E3F"/>
    <w:rsid w:val="005E4C37"/>
    <w:rsid w:val="005F1309"/>
    <w:rsid w:val="005F222D"/>
    <w:rsid w:val="00600CA7"/>
    <w:rsid w:val="0060301B"/>
    <w:rsid w:val="0060331A"/>
    <w:rsid w:val="00603782"/>
    <w:rsid w:val="00603E0B"/>
    <w:rsid w:val="00606592"/>
    <w:rsid w:val="00606731"/>
    <w:rsid w:val="006103E1"/>
    <w:rsid w:val="00613ABD"/>
    <w:rsid w:val="006147B1"/>
    <w:rsid w:val="0061561D"/>
    <w:rsid w:val="00623D44"/>
    <w:rsid w:val="0062423E"/>
    <w:rsid w:val="0062486E"/>
    <w:rsid w:val="00636884"/>
    <w:rsid w:val="00640051"/>
    <w:rsid w:val="00642348"/>
    <w:rsid w:val="00645247"/>
    <w:rsid w:val="00645CFD"/>
    <w:rsid w:val="00645E6A"/>
    <w:rsid w:val="006509B2"/>
    <w:rsid w:val="0065303B"/>
    <w:rsid w:val="00655E80"/>
    <w:rsid w:val="00666238"/>
    <w:rsid w:val="00674C16"/>
    <w:rsid w:val="0067658D"/>
    <w:rsid w:val="00683E76"/>
    <w:rsid w:val="00683F5D"/>
    <w:rsid w:val="00690502"/>
    <w:rsid w:val="00691D5A"/>
    <w:rsid w:val="00691E9D"/>
    <w:rsid w:val="0069331A"/>
    <w:rsid w:val="0069341C"/>
    <w:rsid w:val="0069360C"/>
    <w:rsid w:val="0069635A"/>
    <w:rsid w:val="006A3605"/>
    <w:rsid w:val="006A65B1"/>
    <w:rsid w:val="006A7CA7"/>
    <w:rsid w:val="006B2A42"/>
    <w:rsid w:val="006B2FA0"/>
    <w:rsid w:val="006B3BB5"/>
    <w:rsid w:val="006C3F49"/>
    <w:rsid w:val="006C7A4B"/>
    <w:rsid w:val="006D7A0E"/>
    <w:rsid w:val="006E5673"/>
    <w:rsid w:val="006F1592"/>
    <w:rsid w:val="006F4666"/>
    <w:rsid w:val="007003FC"/>
    <w:rsid w:val="007011E2"/>
    <w:rsid w:val="007040C1"/>
    <w:rsid w:val="00704829"/>
    <w:rsid w:val="00704D87"/>
    <w:rsid w:val="00705161"/>
    <w:rsid w:val="00706A1F"/>
    <w:rsid w:val="00720496"/>
    <w:rsid w:val="00721545"/>
    <w:rsid w:val="0072164E"/>
    <w:rsid w:val="0072399E"/>
    <w:rsid w:val="00726297"/>
    <w:rsid w:val="007308EC"/>
    <w:rsid w:val="00732E1C"/>
    <w:rsid w:val="007333B3"/>
    <w:rsid w:val="007349CA"/>
    <w:rsid w:val="00734CBF"/>
    <w:rsid w:val="0073548C"/>
    <w:rsid w:val="00735851"/>
    <w:rsid w:val="007366AA"/>
    <w:rsid w:val="00737671"/>
    <w:rsid w:val="007436B8"/>
    <w:rsid w:val="00746E84"/>
    <w:rsid w:val="00750E49"/>
    <w:rsid w:val="00750FE6"/>
    <w:rsid w:val="00755601"/>
    <w:rsid w:val="00756874"/>
    <w:rsid w:val="00757025"/>
    <w:rsid w:val="0075736E"/>
    <w:rsid w:val="00760E00"/>
    <w:rsid w:val="00763C91"/>
    <w:rsid w:val="00764B12"/>
    <w:rsid w:val="00775A2D"/>
    <w:rsid w:val="0077650B"/>
    <w:rsid w:val="007771B0"/>
    <w:rsid w:val="00777298"/>
    <w:rsid w:val="0078005E"/>
    <w:rsid w:val="00780875"/>
    <w:rsid w:val="00781E62"/>
    <w:rsid w:val="007831B0"/>
    <w:rsid w:val="00784592"/>
    <w:rsid w:val="00784890"/>
    <w:rsid w:val="00784BF2"/>
    <w:rsid w:val="00785E7F"/>
    <w:rsid w:val="007860DD"/>
    <w:rsid w:val="0078634F"/>
    <w:rsid w:val="007864FE"/>
    <w:rsid w:val="0079000A"/>
    <w:rsid w:val="00792320"/>
    <w:rsid w:val="007924C0"/>
    <w:rsid w:val="00792DD6"/>
    <w:rsid w:val="007948B6"/>
    <w:rsid w:val="007A210A"/>
    <w:rsid w:val="007A24A4"/>
    <w:rsid w:val="007A28A6"/>
    <w:rsid w:val="007A5238"/>
    <w:rsid w:val="007A6225"/>
    <w:rsid w:val="007B25A3"/>
    <w:rsid w:val="007B36DB"/>
    <w:rsid w:val="007B7AAC"/>
    <w:rsid w:val="007B7F47"/>
    <w:rsid w:val="007C2703"/>
    <w:rsid w:val="007C3C20"/>
    <w:rsid w:val="007C6301"/>
    <w:rsid w:val="007D016A"/>
    <w:rsid w:val="007E116C"/>
    <w:rsid w:val="007E3014"/>
    <w:rsid w:val="007E5906"/>
    <w:rsid w:val="007E5EE9"/>
    <w:rsid w:val="007F21CD"/>
    <w:rsid w:val="007F2445"/>
    <w:rsid w:val="007F7593"/>
    <w:rsid w:val="007F7DC7"/>
    <w:rsid w:val="008009D3"/>
    <w:rsid w:val="0080283D"/>
    <w:rsid w:val="00804F68"/>
    <w:rsid w:val="00807555"/>
    <w:rsid w:val="008120B3"/>
    <w:rsid w:val="00813F2B"/>
    <w:rsid w:val="00821F2C"/>
    <w:rsid w:val="00826C23"/>
    <w:rsid w:val="00827B33"/>
    <w:rsid w:val="00832C0D"/>
    <w:rsid w:val="00832EF8"/>
    <w:rsid w:val="00853E28"/>
    <w:rsid w:val="008543CB"/>
    <w:rsid w:val="00854556"/>
    <w:rsid w:val="0085677D"/>
    <w:rsid w:val="0086221E"/>
    <w:rsid w:val="00864E0E"/>
    <w:rsid w:val="0087282C"/>
    <w:rsid w:val="00874888"/>
    <w:rsid w:val="0087629E"/>
    <w:rsid w:val="00876A87"/>
    <w:rsid w:val="00876F3C"/>
    <w:rsid w:val="00877EDD"/>
    <w:rsid w:val="00882022"/>
    <w:rsid w:val="00884ADD"/>
    <w:rsid w:val="0088611D"/>
    <w:rsid w:val="00896910"/>
    <w:rsid w:val="00896BCB"/>
    <w:rsid w:val="0089715E"/>
    <w:rsid w:val="008A34F1"/>
    <w:rsid w:val="008A4FFD"/>
    <w:rsid w:val="008B4981"/>
    <w:rsid w:val="008C58BE"/>
    <w:rsid w:val="008C655F"/>
    <w:rsid w:val="008C6F30"/>
    <w:rsid w:val="008C753E"/>
    <w:rsid w:val="008D31DC"/>
    <w:rsid w:val="008D323F"/>
    <w:rsid w:val="008D32AD"/>
    <w:rsid w:val="008D34CA"/>
    <w:rsid w:val="008D36EE"/>
    <w:rsid w:val="008E2992"/>
    <w:rsid w:val="008E3830"/>
    <w:rsid w:val="008F04BE"/>
    <w:rsid w:val="008F427D"/>
    <w:rsid w:val="008F621B"/>
    <w:rsid w:val="008F7720"/>
    <w:rsid w:val="008F7C25"/>
    <w:rsid w:val="0090517A"/>
    <w:rsid w:val="009075A4"/>
    <w:rsid w:val="009103DB"/>
    <w:rsid w:val="00911042"/>
    <w:rsid w:val="009117D5"/>
    <w:rsid w:val="0091240F"/>
    <w:rsid w:val="0091254E"/>
    <w:rsid w:val="00913EE3"/>
    <w:rsid w:val="009170A8"/>
    <w:rsid w:val="0092050C"/>
    <w:rsid w:val="00924E2C"/>
    <w:rsid w:val="009278FF"/>
    <w:rsid w:val="00927F71"/>
    <w:rsid w:val="00930024"/>
    <w:rsid w:val="00931DD4"/>
    <w:rsid w:val="00933176"/>
    <w:rsid w:val="0093445B"/>
    <w:rsid w:val="009347F2"/>
    <w:rsid w:val="00937AE7"/>
    <w:rsid w:val="00937E20"/>
    <w:rsid w:val="009401DF"/>
    <w:rsid w:val="00943BDE"/>
    <w:rsid w:val="0094623B"/>
    <w:rsid w:val="00947247"/>
    <w:rsid w:val="009478AF"/>
    <w:rsid w:val="00951DCE"/>
    <w:rsid w:val="00952BD8"/>
    <w:rsid w:val="00953883"/>
    <w:rsid w:val="00954ED7"/>
    <w:rsid w:val="009559A2"/>
    <w:rsid w:val="00957FBE"/>
    <w:rsid w:val="00960785"/>
    <w:rsid w:val="00961DB4"/>
    <w:rsid w:val="009657DE"/>
    <w:rsid w:val="00965D4B"/>
    <w:rsid w:val="00967CFB"/>
    <w:rsid w:val="0097079E"/>
    <w:rsid w:val="00973F28"/>
    <w:rsid w:val="00973FA2"/>
    <w:rsid w:val="00981D9F"/>
    <w:rsid w:val="0098461A"/>
    <w:rsid w:val="00985935"/>
    <w:rsid w:val="00991C2A"/>
    <w:rsid w:val="009954CA"/>
    <w:rsid w:val="009A029F"/>
    <w:rsid w:val="009A02D8"/>
    <w:rsid w:val="009A5A09"/>
    <w:rsid w:val="009A6F45"/>
    <w:rsid w:val="009B1D77"/>
    <w:rsid w:val="009B1F2D"/>
    <w:rsid w:val="009B64D0"/>
    <w:rsid w:val="009C159F"/>
    <w:rsid w:val="009C2CD7"/>
    <w:rsid w:val="009C4B30"/>
    <w:rsid w:val="009C7A81"/>
    <w:rsid w:val="009D0A7F"/>
    <w:rsid w:val="009D11EC"/>
    <w:rsid w:val="009D25E3"/>
    <w:rsid w:val="009D49BC"/>
    <w:rsid w:val="009E0BBC"/>
    <w:rsid w:val="009E111F"/>
    <w:rsid w:val="009E2926"/>
    <w:rsid w:val="009E2F39"/>
    <w:rsid w:val="009E4019"/>
    <w:rsid w:val="009E45E5"/>
    <w:rsid w:val="009E4A2A"/>
    <w:rsid w:val="009E797F"/>
    <w:rsid w:val="009F020D"/>
    <w:rsid w:val="009F0DC3"/>
    <w:rsid w:val="009F4830"/>
    <w:rsid w:val="009F69FB"/>
    <w:rsid w:val="00A1200A"/>
    <w:rsid w:val="00A120D8"/>
    <w:rsid w:val="00A15BD6"/>
    <w:rsid w:val="00A16747"/>
    <w:rsid w:val="00A16B00"/>
    <w:rsid w:val="00A16B41"/>
    <w:rsid w:val="00A25C8A"/>
    <w:rsid w:val="00A2610F"/>
    <w:rsid w:val="00A301A7"/>
    <w:rsid w:val="00A31351"/>
    <w:rsid w:val="00A3604F"/>
    <w:rsid w:val="00A43A40"/>
    <w:rsid w:val="00A453E9"/>
    <w:rsid w:val="00A50048"/>
    <w:rsid w:val="00A5007F"/>
    <w:rsid w:val="00A5570E"/>
    <w:rsid w:val="00A55CF4"/>
    <w:rsid w:val="00A5611B"/>
    <w:rsid w:val="00A61E46"/>
    <w:rsid w:val="00A71D04"/>
    <w:rsid w:val="00A748B5"/>
    <w:rsid w:val="00A752B0"/>
    <w:rsid w:val="00A77EFD"/>
    <w:rsid w:val="00A80D3B"/>
    <w:rsid w:val="00A83B70"/>
    <w:rsid w:val="00A85637"/>
    <w:rsid w:val="00A95126"/>
    <w:rsid w:val="00AA1F42"/>
    <w:rsid w:val="00AA341E"/>
    <w:rsid w:val="00AA5A65"/>
    <w:rsid w:val="00AA5C7C"/>
    <w:rsid w:val="00AB348F"/>
    <w:rsid w:val="00AB5CB1"/>
    <w:rsid w:val="00AB6B4D"/>
    <w:rsid w:val="00AC0C03"/>
    <w:rsid w:val="00AC278D"/>
    <w:rsid w:val="00AC5033"/>
    <w:rsid w:val="00AC7554"/>
    <w:rsid w:val="00AD2F16"/>
    <w:rsid w:val="00AD7C0A"/>
    <w:rsid w:val="00AE2C21"/>
    <w:rsid w:val="00AE554F"/>
    <w:rsid w:val="00AF676F"/>
    <w:rsid w:val="00AF6EBE"/>
    <w:rsid w:val="00B057B7"/>
    <w:rsid w:val="00B13627"/>
    <w:rsid w:val="00B17047"/>
    <w:rsid w:val="00B20627"/>
    <w:rsid w:val="00B23921"/>
    <w:rsid w:val="00B26221"/>
    <w:rsid w:val="00B27A3D"/>
    <w:rsid w:val="00B323DD"/>
    <w:rsid w:val="00B34798"/>
    <w:rsid w:val="00B34F32"/>
    <w:rsid w:val="00B3574E"/>
    <w:rsid w:val="00B40351"/>
    <w:rsid w:val="00B40D93"/>
    <w:rsid w:val="00B439FC"/>
    <w:rsid w:val="00B51372"/>
    <w:rsid w:val="00B51987"/>
    <w:rsid w:val="00B52708"/>
    <w:rsid w:val="00B529BC"/>
    <w:rsid w:val="00B55528"/>
    <w:rsid w:val="00B601DC"/>
    <w:rsid w:val="00B631FD"/>
    <w:rsid w:val="00B639F2"/>
    <w:rsid w:val="00B640E8"/>
    <w:rsid w:val="00B7219D"/>
    <w:rsid w:val="00B75DE1"/>
    <w:rsid w:val="00B80F17"/>
    <w:rsid w:val="00B906C7"/>
    <w:rsid w:val="00B97AAA"/>
    <w:rsid w:val="00BA3769"/>
    <w:rsid w:val="00BA74B0"/>
    <w:rsid w:val="00BB01E2"/>
    <w:rsid w:val="00BB52CF"/>
    <w:rsid w:val="00BB56DE"/>
    <w:rsid w:val="00BC0B79"/>
    <w:rsid w:val="00BC370E"/>
    <w:rsid w:val="00BC3D43"/>
    <w:rsid w:val="00BC75B5"/>
    <w:rsid w:val="00BD4762"/>
    <w:rsid w:val="00BD491D"/>
    <w:rsid w:val="00BD5E6D"/>
    <w:rsid w:val="00BD604C"/>
    <w:rsid w:val="00BF1F78"/>
    <w:rsid w:val="00BF4E0E"/>
    <w:rsid w:val="00BF539D"/>
    <w:rsid w:val="00BF6CE0"/>
    <w:rsid w:val="00BF7C28"/>
    <w:rsid w:val="00C001BC"/>
    <w:rsid w:val="00C05269"/>
    <w:rsid w:val="00C06576"/>
    <w:rsid w:val="00C10B1F"/>
    <w:rsid w:val="00C10F07"/>
    <w:rsid w:val="00C116BC"/>
    <w:rsid w:val="00C157E3"/>
    <w:rsid w:val="00C1663B"/>
    <w:rsid w:val="00C16B72"/>
    <w:rsid w:val="00C244E6"/>
    <w:rsid w:val="00C2739B"/>
    <w:rsid w:val="00C315AF"/>
    <w:rsid w:val="00C351CE"/>
    <w:rsid w:val="00C37194"/>
    <w:rsid w:val="00C418B6"/>
    <w:rsid w:val="00C447E1"/>
    <w:rsid w:val="00C44A5D"/>
    <w:rsid w:val="00C51723"/>
    <w:rsid w:val="00C54454"/>
    <w:rsid w:val="00C569CC"/>
    <w:rsid w:val="00C6529A"/>
    <w:rsid w:val="00C707D9"/>
    <w:rsid w:val="00C72E52"/>
    <w:rsid w:val="00C73A93"/>
    <w:rsid w:val="00C758A0"/>
    <w:rsid w:val="00C765A2"/>
    <w:rsid w:val="00C805C1"/>
    <w:rsid w:val="00C80E0B"/>
    <w:rsid w:val="00C84B47"/>
    <w:rsid w:val="00C86B16"/>
    <w:rsid w:val="00C878E9"/>
    <w:rsid w:val="00C96A17"/>
    <w:rsid w:val="00CA2E12"/>
    <w:rsid w:val="00CA3C7D"/>
    <w:rsid w:val="00CA3CA3"/>
    <w:rsid w:val="00CA4A7A"/>
    <w:rsid w:val="00CA6650"/>
    <w:rsid w:val="00CC3B1C"/>
    <w:rsid w:val="00CC4B34"/>
    <w:rsid w:val="00CC4FB3"/>
    <w:rsid w:val="00CC5EE5"/>
    <w:rsid w:val="00CC6145"/>
    <w:rsid w:val="00CD08C0"/>
    <w:rsid w:val="00CD1153"/>
    <w:rsid w:val="00CD1D60"/>
    <w:rsid w:val="00CD2BB4"/>
    <w:rsid w:val="00CD5466"/>
    <w:rsid w:val="00CD660F"/>
    <w:rsid w:val="00CD680E"/>
    <w:rsid w:val="00CE35EA"/>
    <w:rsid w:val="00CE3D62"/>
    <w:rsid w:val="00CE478C"/>
    <w:rsid w:val="00CE53B6"/>
    <w:rsid w:val="00CF2307"/>
    <w:rsid w:val="00CF5F39"/>
    <w:rsid w:val="00CF7BB1"/>
    <w:rsid w:val="00D0138D"/>
    <w:rsid w:val="00D02D0D"/>
    <w:rsid w:val="00D1164E"/>
    <w:rsid w:val="00D1420E"/>
    <w:rsid w:val="00D15FAF"/>
    <w:rsid w:val="00D16974"/>
    <w:rsid w:val="00D20BAF"/>
    <w:rsid w:val="00D26D98"/>
    <w:rsid w:val="00D3374A"/>
    <w:rsid w:val="00D43CBF"/>
    <w:rsid w:val="00D506D0"/>
    <w:rsid w:val="00D5711F"/>
    <w:rsid w:val="00D63474"/>
    <w:rsid w:val="00D66373"/>
    <w:rsid w:val="00D6781B"/>
    <w:rsid w:val="00D72213"/>
    <w:rsid w:val="00D76391"/>
    <w:rsid w:val="00D82F01"/>
    <w:rsid w:val="00D82F8E"/>
    <w:rsid w:val="00D8622A"/>
    <w:rsid w:val="00D90334"/>
    <w:rsid w:val="00D91D8E"/>
    <w:rsid w:val="00D920C8"/>
    <w:rsid w:val="00D96537"/>
    <w:rsid w:val="00D978A0"/>
    <w:rsid w:val="00D97D4D"/>
    <w:rsid w:val="00DA4A9C"/>
    <w:rsid w:val="00DB156D"/>
    <w:rsid w:val="00DB17FD"/>
    <w:rsid w:val="00DB25C9"/>
    <w:rsid w:val="00DB6042"/>
    <w:rsid w:val="00DB7E00"/>
    <w:rsid w:val="00DC4EDD"/>
    <w:rsid w:val="00DC4FAB"/>
    <w:rsid w:val="00DC6FBA"/>
    <w:rsid w:val="00DD110B"/>
    <w:rsid w:val="00DD47DB"/>
    <w:rsid w:val="00DD5063"/>
    <w:rsid w:val="00DD6E69"/>
    <w:rsid w:val="00DD7393"/>
    <w:rsid w:val="00DD7B0B"/>
    <w:rsid w:val="00DE0182"/>
    <w:rsid w:val="00DE0B19"/>
    <w:rsid w:val="00DE144D"/>
    <w:rsid w:val="00DF0111"/>
    <w:rsid w:val="00DF5416"/>
    <w:rsid w:val="00E00BB2"/>
    <w:rsid w:val="00E02359"/>
    <w:rsid w:val="00E03022"/>
    <w:rsid w:val="00E11E5B"/>
    <w:rsid w:val="00E11EE2"/>
    <w:rsid w:val="00E177DB"/>
    <w:rsid w:val="00E20892"/>
    <w:rsid w:val="00E2627F"/>
    <w:rsid w:val="00E32BEE"/>
    <w:rsid w:val="00E3361E"/>
    <w:rsid w:val="00E34F25"/>
    <w:rsid w:val="00E36EAB"/>
    <w:rsid w:val="00E3784A"/>
    <w:rsid w:val="00E435D3"/>
    <w:rsid w:val="00E46490"/>
    <w:rsid w:val="00E524D0"/>
    <w:rsid w:val="00E541ED"/>
    <w:rsid w:val="00E54AFA"/>
    <w:rsid w:val="00E62F62"/>
    <w:rsid w:val="00E70311"/>
    <w:rsid w:val="00E7512C"/>
    <w:rsid w:val="00E75E82"/>
    <w:rsid w:val="00E7769E"/>
    <w:rsid w:val="00E83CC5"/>
    <w:rsid w:val="00E840A5"/>
    <w:rsid w:val="00E85A53"/>
    <w:rsid w:val="00E87AB9"/>
    <w:rsid w:val="00E95F0A"/>
    <w:rsid w:val="00E968DC"/>
    <w:rsid w:val="00EA235C"/>
    <w:rsid w:val="00EA3085"/>
    <w:rsid w:val="00EA7990"/>
    <w:rsid w:val="00EB14BE"/>
    <w:rsid w:val="00EB1A36"/>
    <w:rsid w:val="00EB37A1"/>
    <w:rsid w:val="00EB53DA"/>
    <w:rsid w:val="00EC1AFC"/>
    <w:rsid w:val="00EC7B40"/>
    <w:rsid w:val="00ED034C"/>
    <w:rsid w:val="00ED2E01"/>
    <w:rsid w:val="00ED55AE"/>
    <w:rsid w:val="00ED6F25"/>
    <w:rsid w:val="00EE1DB6"/>
    <w:rsid w:val="00EF1AAC"/>
    <w:rsid w:val="00EF31D8"/>
    <w:rsid w:val="00EF4F07"/>
    <w:rsid w:val="00EF5EC3"/>
    <w:rsid w:val="00EF6036"/>
    <w:rsid w:val="00F000D6"/>
    <w:rsid w:val="00F0023E"/>
    <w:rsid w:val="00F07602"/>
    <w:rsid w:val="00F07B8D"/>
    <w:rsid w:val="00F1304F"/>
    <w:rsid w:val="00F13A18"/>
    <w:rsid w:val="00F20665"/>
    <w:rsid w:val="00F230BA"/>
    <w:rsid w:val="00F23620"/>
    <w:rsid w:val="00F25370"/>
    <w:rsid w:val="00F261B5"/>
    <w:rsid w:val="00F26BD4"/>
    <w:rsid w:val="00F275EF"/>
    <w:rsid w:val="00F27DE6"/>
    <w:rsid w:val="00F27EBE"/>
    <w:rsid w:val="00F30FD9"/>
    <w:rsid w:val="00F31689"/>
    <w:rsid w:val="00F44ADB"/>
    <w:rsid w:val="00F52B54"/>
    <w:rsid w:val="00F61405"/>
    <w:rsid w:val="00F61573"/>
    <w:rsid w:val="00F6790B"/>
    <w:rsid w:val="00F703BE"/>
    <w:rsid w:val="00F7153E"/>
    <w:rsid w:val="00F71576"/>
    <w:rsid w:val="00F724AE"/>
    <w:rsid w:val="00F73D32"/>
    <w:rsid w:val="00F75264"/>
    <w:rsid w:val="00F75CFD"/>
    <w:rsid w:val="00F81DD5"/>
    <w:rsid w:val="00F82B4F"/>
    <w:rsid w:val="00F82E18"/>
    <w:rsid w:val="00F85221"/>
    <w:rsid w:val="00F8638F"/>
    <w:rsid w:val="00F91B6E"/>
    <w:rsid w:val="00F92A66"/>
    <w:rsid w:val="00F95794"/>
    <w:rsid w:val="00F962C8"/>
    <w:rsid w:val="00F9692E"/>
    <w:rsid w:val="00FA3B5F"/>
    <w:rsid w:val="00FB02B8"/>
    <w:rsid w:val="00FB0F0E"/>
    <w:rsid w:val="00FB3721"/>
    <w:rsid w:val="00FC0112"/>
    <w:rsid w:val="00FC2435"/>
    <w:rsid w:val="00FC2853"/>
    <w:rsid w:val="00FC5F97"/>
    <w:rsid w:val="00FC6459"/>
    <w:rsid w:val="00FD04CC"/>
    <w:rsid w:val="00FD30D3"/>
    <w:rsid w:val="00FD43E6"/>
    <w:rsid w:val="00FD445A"/>
    <w:rsid w:val="00FD62E2"/>
    <w:rsid w:val="00FE0993"/>
    <w:rsid w:val="00FE1FEE"/>
    <w:rsid w:val="00FE4392"/>
    <w:rsid w:val="00FE6A52"/>
    <w:rsid w:val="00FF45F8"/>
    <w:rsid w:val="03EE0526"/>
    <w:rsid w:val="06BD60FF"/>
    <w:rsid w:val="07D11F55"/>
    <w:rsid w:val="07FC6AF9"/>
    <w:rsid w:val="07FF2236"/>
    <w:rsid w:val="0BFFCB31"/>
    <w:rsid w:val="0DBE51FE"/>
    <w:rsid w:val="0E674F9E"/>
    <w:rsid w:val="0EEFD77C"/>
    <w:rsid w:val="0EFF5EE5"/>
    <w:rsid w:val="0F3F688D"/>
    <w:rsid w:val="0F3FD944"/>
    <w:rsid w:val="0F7939A3"/>
    <w:rsid w:val="0FB75FF2"/>
    <w:rsid w:val="0FBF922E"/>
    <w:rsid w:val="0FEEC336"/>
    <w:rsid w:val="12F38DA4"/>
    <w:rsid w:val="12FD98AF"/>
    <w:rsid w:val="13B3670F"/>
    <w:rsid w:val="13FF9E8C"/>
    <w:rsid w:val="14EEE120"/>
    <w:rsid w:val="15DDD0A9"/>
    <w:rsid w:val="167FA8FB"/>
    <w:rsid w:val="16BCF935"/>
    <w:rsid w:val="16F234CB"/>
    <w:rsid w:val="16F64615"/>
    <w:rsid w:val="1737FD4E"/>
    <w:rsid w:val="17754508"/>
    <w:rsid w:val="177F295B"/>
    <w:rsid w:val="177F5C08"/>
    <w:rsid w:val="17B37065"/>
    <w:rsid w:val="17BF423E"/>
    <w:rsid w:val="17F5DFCD"/>
    <w:rsid w:val="17FE843A"/>
    <w:rsid w:val="196A639A"/>
    <w:rsid w:val="197B1FBE"/>
    <w:rsid w:val="19C68BD0"/>
    <w:rsid w:val="19FBF958"/>
    <w:rsid w:val="1AD5EF0C"/>
    <w:rsid w:val="1AFD1BD4"/>
    <w:rsid w:val="1B47F461"/>
    <w:rsid w:val="1B4B8F93"/>
    <w:rsid w:val="1B58552D"/>
    <w:rsid w:val="1BD7A710"/>
    <w:rsid w:val="1BDF5405"/>
    <w:rsid w:val="1BE917CF"/>
    <w:rsid w:val="1BED3D43"/>
    <w:rsid w:val="1BF1A51D"/>
    <w:rsid w:val="1BFF06F2"/>
    <w:rsid w:val="1CD710B2"/>
    <w:rsid w:val="1D56AE7B"/>
    <w:rsid w:val="1D683FB7"/>
    <w:rsid w:val="1D7BDE20"/>
    <w:rsid w:val="1D7E90B0"/>
    <w:rsid w:val="1D8F9836"/>
    <w:rsid w:val="1DCE3724"/>
    <w:rsid w:val="1DD1514B"/>
    <w:rsid w:val="1DF7D2FA"/>
    <w:rsid w:val="1DFA6340"/>
    <w:rsid w:val="1DFB5AD0"/>
    <w:rsid w:val="1DFF6EC0"/>
    <w:rsid w:val="1E7FF417"/>
    <w:rsid w:val="1EA8C724"/>
    <w:rsid w:val="1EB5DD13"/>
    <w:rsid w:val="1EB7DA5D"/>
    <w:rsid w:val="1ED72561"/>
    <w:rsid w:val="1EDD1C9B"/>
    <w:rsid w:val="1EEBD891"/>
    <w:rsid w:val="1EEF206A"/>
    <w:rsid w:val="1EFEEEA3"/>
    <w:rsid w:val="1EFF4D78"/>
    <w:rsid w:val="1F591576"/>
    <w:rsid w:val="1F5F2EA8"/>
    <w:rsid w:val="1F7D00E2"/>
    <w:rsid w:val="1F7F2AB2"/>
    <w:rsid w:val="1F87E1C8"/>
    <w:rsid w:val="1F9D131E"/>
    <w:rsid w:val="1FA64DF9"/>
    <w:rsid w:val="1FACF26E"/>
    <w:rsid w:val="1FBCFB4B"/>
    <w:rsid w:val="1FBE963B"/>
    <w:rsid w:val="1FBF6F0E"/>
    <w:rsid w:val="1FCF462C"/>
    <w:rsid w:val="1FD72CEB"/>
    <w:rsid w:val="1FDC7134"/>
    <w:rsid w:val="1FDDFDEA"/>
    <w:rsid w:val="1FDE22F9"/>
    <w:rsid w:val="1FDFE669"/>
    <w:rsid w:val="1FDFFC35"/>
    <w:rsid w:val="1FE7A4CB"/>
    <w:rsid w:val="1FF5DC31"/>
    <w:rsid w:val="1FFB0274"/>
    <w:rsid w:val="1FFBE9E6"/>
    <w:rsid w:val="1FFE1B73"/>
    <w:rsid w:val="1FFE86D9"/>
    <w:rsid w:val="1FFF5A15"/>
    <w:rsid w:val="2369DAD2"/>
    <w:rsid w:val="237F7991"/>
    <w:rsid w:val="2399B001"/>
    <w:rsid w:val="239F143E"/>
    <w:rsid w:val="23F7DA84"/>
    <w:rsid w:val="25B1E3A4"/>
    <w:rsid w:val="266ED5DB"/>
    <w:rsid w:val="26CF4810"/>
    <w:rsid w:val="26FF91BD"/>
    <w:rsid w:val="26FFA137"/>
    <w:rsid w:val="2739D001"/>
    <w:rsid w:val="275F57DF"/>
    <w:rsid w:val="275F8708"/>
    <w:rsid w:val="27938C60"/>
    <w:rsid w:val="27C54ADD"/>
    <w:rsid w:val="27DD1306"/>
    <w:rsid w:val="28FB3A62"/>
    <w:rsid w:val="29BFF69A"/>
    <w:rsid w:val="29FED9AD"/>
    <w:rsid w:val="29FFC1B8"/>
    <w:rsid w:val="2AFE2CA9"/>
    <w:rsid w:val="2AFFAEB5"/>
    <w:rsid w:val="2B3EFF9B"/>
    <w:rsid w:val="2BD8EDF3"/>
    <w:rsid w:val="2BFF480C"/>
    <w:rsid w:val="2BFFFFF4"/>
    <w:rsid w:val="2CFF80B2"/>
    <w:rsid w:val="2D3DFAA7"/>
    <w:rsid w:val="2D7CCA7E"/>
    <w:rsid w:val="2D9F7D3C"/>
    <w:rsid w:val="2DC66CC5"/>
    <w:rsid w:val="2DE31D95"/>
    <w:rsid w:val="2DEDD455"/>
    <w:rsid w:val="2DF3F66F"/>
    <w:rsid w:val="2DFDEF4F"/>
    <w:rsid w:val="2DFF1358"/>
    <w:rsid w:val="2ED72B33"/>
    <w:rsid w:val="2EEF1179"/>
    <w:rsid w:val="2F2F35D8"/>
    <w:rsid w:val="2F3B305C"/>
    <w:rsid w:val="2F6BE4A5"/>
    <w:rsid w:val="2F79BEBC"/>
    <w:rsid w:val="2F7EA45E"/>
    <w:rsid w:val="2F7FC481"/>
    <w:rsid w:val="2F7FE822"/>
    <w:rsid w:val="2FBAC71C"/>
    <w:rsid w:val="2FCD17FE"/>
    <w:rsid w:val="2FD6F407"/>
    <w:rsid w:val="2FDD9AEC"/>
    <w:rsid w:val="2FDE3CF5"/>
    <w:rsid w:val="2FDE9597"/>
    <w:rsid w:val="2FE3EAD0"/>
    <w:rsid w:val="2FEBA335"/>
    <w:rsid w:val="2FEFC43B"/>
    <w:rsid w:val="2FF7BD03"/>
    <w:rsid w:val="2FFE296A"/>
    <w:rsid w:val="2FFE4BB4"/>
    <w:rsid w:val="2FFEAE68"/>
    <w:rsid w:val="2FFF38B2"/>
    <w:rsid w:val="2FFFFD3B"/>
    <w:rsid w:val="31774F73"/>
    <w:rsid w:val="326A9861"/>
    <w:rsid w:val="32DD48EE"/>
    <w:rsid w:val="32DF5FEE"/>
    <w:rsid w:val="337F9985"/>
    <w:rsid w:val="339B29B5"/>
    <w:rsid w:val="33A1780B"/>
    <w:rsid w:val="33D7DF31"/>
    <w:rsid w:val="33DF60F7"/>
    <w:rsid w:val="33FEE5C6"/>
    <w:rsid w:val="33FF0C47"/>
    <w:rsid w:val="33FF7004"/>
    <w:rsid w:val="34979F28"/>
    <w:rsid w:val="356D7EBB"/>
    <w:rsid w:val="3625C9C7"/>
    <w:rsid w:val="36DD1B31"/>
    <w:rsid w:val="36E71FC6"/>
    <w:rsid w:val="36FAA28E"/>
    <w:rsid w:val="36FAAC8C"/>
    <w:rsid w:val="36FD62CB"/>
    <w:rsid w:val="3729A6D2"/>
    <w:rsid w:val="373F842E"/>
    <w:rsid w:val="3749908D"/>
    <w:rsid w:val="376F1F80"/>
    <w:rsid w:val="377DD044"/>
    <w:rsid w:val="37CFE1E7"/>
    <w:rsid w:val="37D32AE9"/>
    <w:rsid w:val="37DDBD7C"/>
    <w:rsid w:val="37DF0E32"/>
    <w:rsid w:val="37EF7C89"/>
    <w:rsid w:val="37F15855"/>
    <w:rsid w:val="37F5DFF0"/>
    <w:rsid w:val="37F6DB5E"/>
    <w:rsid w:val="37FB4846"/>
    <w:rsid w:val="37FBB579"/>
    <w:rsid w:val="37FE8436"/>
    <w:rsid w:val="37FFBC96"/>
    <w:rsid w:val="38BFF05C"/>
    <w:rsid w:val="38ED71FF"/>
    <w:rsid w:val="38FD8B28"/>
    <w:rsid w:val="39599940"/>
    <w:rsid w:val="39793E25"/>
    <w:rsid w:val="397C1970"/>
    <w:rsid w:val="39DFDC60"/>
    <w:rsid w:val="39F06188"/>
    <w:rsid w:val="39FAA8B1"/>
    <w:rsid w:val="39FE87FE"/>
    <w:rsid w:val="3A3E30E5"/>
    <w:rsid w:val="3AAFE401"/>
    <w:rsid w:val="3AB51E0A"/>
    <w:rsid w:val="3ABD0261"/>
    <w:rsid w:val="3AD59A74"/>
    <w:rsid w:val="3AE78345"/>
    <w:rsid w:val="3AEBC369"/>
    <w:rsid w:val="3AEF5A95"/>
    <w:rsid w:val="3AFB6D37"/>
    <w:rsid w:val="3B5A07C9"/>
    <w:rsid w:val="3B5E9A3D"/>
    <w:rsid w:val="3B5F5B9B"/>
    <w:rsid w:val="3B950255"/>
    <w:rsid w:val="3BBBBBB7"/>
    <w:rsid w:val="3BBC56CF"/>
    <w:rsid w:val="3BBCAA3F"/>
    <w:rsid w:val="3BBD3DD7"/>
    <w:rsid w:val="3BC83D5B"/>
    <w:rsid w:val="3BCF7D96"/>
    <w:rsid w:val="3BD2E74C"/>
    <w:rsid w:val="3BD70A7B"/>
    <w:rsid w:val="3BDF6DFD"/>
    <w:rsid w:val="3BDFAE9A"/>
    <w:rsid w:val="3BE93401"/>
    <w:rsid w:val="3BEF3C2F"/>
    <w:rsid w:val="3BF96107"/>
    <w:rsid w:val="3BFCDA68"/>
    <w:rsid w:val="3BFDF1DE"/>
    <w:rsid w:val="3BFEBC01"/>
    <w:rsid w:val="3BFF6D4E"/>
    <w:rsid w:val="3C679A74"/>
    <w:rsid w:val="3C73EF66"/>
    <w:rsid w:val="3CBD3B9E"/>
    <w:rsid w:val="3CBDD602"/>
    <w:rsid w:val="3CCE5D48"/>
    <w:rsid w:val="3D6C6809"/>
    <w:rsid w:val="3D6F97E1"/>
    <w:rsid w:val="3D76EFCF"/>
    <w:rsid w:val="3D9CD68A"/>
    <w:rsid w:val="3DA51C0F"/>
    <w:rsid w:val="3DB7D722"/>
    <w:rsid w:val="3DDC5071"/>
    <w:rsid w:val="3DDFC8A6"/>
    <w:rsid w:val="3DEF3E02"/>
    <w:rsid w:val="3DF39836"/>
    <w:rsid w:val="3DF7A907"/>
    <w:rsid w:val="3DF7C757"/>
    <w:rsid w:val="3DFEB275"/>
    <w:rsid w:val="3DFF1C6C"/>
    <w:rsid w:val="3DFF320A"/>
    <w:rsid w:val="3DFF842F"/>
    <w:rsid w:val="3DFF906A"/>
    <w:rsid w:val="3DFF9265"/>
    <w:rsid w:val="3DFFC6F5"/>
    <w:rsid w:val="3E39CDDC"/>
    <w:rsid w:val="3E7F8524"/>
    <w:rsid w:val="3E7FFDF2"/>
    <w:rsid w:val="3E9FD91D"/>
    <w:rsid w:val="3EA92C72"/>
    <w:rsid w:val="3EAFB311"/>
    <w:rsid w:val="3EDB9DF8"/>
    <w:rsid w:val="3EEB091C"/>
    <w:rsid w:val="3EEFC854"/>
    <w:rsid w:val="3EFD52C1"/>
    <w:rsid w:val="3EFF1668"/>
    <w:rsid w:val="3EFF3045"/>
    <w:rsid w:val="3EFF8FCE"/>
    <w:rsid w:val="3EFFAD1C"/>
    <w:rsid w:val="3EFFD595"/>
    <w:rsid w:val="3F2F90B0"/>
    <w:rsid w:val="3F3D89BE"/>
    <w:rsid w:val="3F4D471A"/>
    <w:rsid w:val="3F57DE20"/>
    <w:rsid w:val="3F5F16CA"/>
    <w:rsid w:val="3F611987"/>
    <w:rsid w:val="3F63EAC5"/>
    <w:rsid w:val="3F6F1446"/>
    <w:rsid w:val="3F746EFB"/>
    <w:rsid w:val="3F7A8097"/>
    <w:rsid w:val="3F7BE574"/>
    <w:rsid w:val="3F7CD38E"/>
    <w:rsid w:val="3F7D5570"/>
    <w:rsid w:val="3F7F0760"/>
    <w:rsid w:val="3F7F17B4"/>
    <w:rsid w:val="3F7F49AD"/>
    <w:rsid w:val="3F7FB2A0"/>
    <w:rsid w:val="3F91CC08"/>
    <w:rsid w:val="3F99D58D"/>
    <w:rsid w:val="3F9E20F3"/>
    <w:rsid w:val="3FACA718"/>
    <w:rsid w:val="3FACB02C"/>
    <w:rsid w:val="3FAD175A"/>
    <w:rsid w:val="3FBF2F7A"/>
    <w:rsid w:val="3FBFE78E"/>
    <w:rsid w:val="3FC211D6"/>
    <w:rsid w:val="3FC595B3"/>
    <w:rsid w:val="3FC7C244"/>
    <w:rsid w:val="3FCFC00F"/>
    <w:rsid w:val="3FD8308C"/>
    <w:rsid w:val="3FD90DE9"/>
    <w:rsid w:val="3FDB0F3C"/>
    <w:rsid w:val="3FDCA234"/>
    <w:rsid w:val="3FDD9AAA"/>
    <w:rsid w:val="3FDE61D2"/>
    <w:rsid w:val="3FDF15E4"/>
    <w:rsid w:val="3FDF4CDC"/>
    <w:rsid w:val="3FDF9B9C"/>
    <w:rsid w:val="3FDFC961"/>
    <w:rsid w:val="3FDFDC87"/>
    <w:rsid w:val="3FEB3D82"/>
    <w:rsid w:val="3FED3B9E"/>
    <w:rsid w:val="3FED99EB"/>
    <w:rsid w:val="3FEDB643"/>
    <w:rsid w:val="3FEE1525"/>
    <w:rsid w:val="3FEE2E00"/>
    <w:rsid w:val="3FEF02FD"/>
    <w:rsid w:val="3FEF60BD"/>
    <w:rsid w:val="3FF36D69"/>
    <w:rsid w:val="3FF75DB5"/>
    <w:rsid w:val="3FF770EE"/>
    <w:rsid w:val="3FF78505"/>
    <w:rsid w:val="3FFB200D"/>
    <w:rsid w:val="3FFC2BA0"/>
    <w:rsid w:val="3FFED96B"/>
    <w:rsid w:val="3FFF390F"/>
    <w:rsid w:val="3FFFB6DB"/>
    <w:rsid w:val="3FFFEDD1"/>
    <w:rsid w:val="3FFFF6F4"/>
    <w:rsid w:val="42FBFAB4"/>
    <w:rsid w:val="4335B52F"/>
    <w:rsid w:val="43FF29B0"/>
    <w:rsid w:val="443F6464"/>
    <w:rsid w:val="457DD5B8"/>
    <w:rsid w:val="45B76A85"/>
    <w:rsid w:val="474599F2"/>
    <w:rsid w:val="478F00E7"/>
    <w:rsid w:val="47B7B2B0"/>
    <w:rsid w:val="47F71E7F"/>
    <w:rsid w:val="47FFE77F"/>
    <w:rsid w:val="48FFBF54"/>
    <w:rsid w:val="499EA8EB"/>
    <w:rsid w:val="4AFFA14B"/>
    <w:rsid w:val="4B574010"/>
    <w:rsid w:val="4BBFCC52"/>
    <w:rsid w:val="4BCE0F0D"/>
    <w:rsid w:val="4BDF173F"/>
    <w:rsid w:val="4BEF729F"/>
    <w:rsid w:val="4BFB6D7D"/>
    <w:rsid w:val="4BFF1C0F"/>
    <w:rsid w:val="4BFF43CD"/>
    <w:rsid w:val="4CFF43DF"/>
    <w:rsid w:val="4D56A331"/>
    <w:rsid w:val="4D7714F5"/>
    <w:rsid w:val="4DFD82A9"/>
    <w:rsid w:val="4EBB49D9"/>
    <w:rsid w:val="4EBFFD95"/>
    <w:rsid w:val="4EFB4C0A"/>
    <w:rsid w:val="4EFC03B0"/>
    <w:rsid w:val="4F2E23DC"/>
    <w:rsid w:val="4F2E6E6F"/>
    <w:rsid w:val="4F3289ED"/>
    <w:rsid w:val="4F73F38A"/>
    <w:rsid w:val="4F7795BA"/>
    <w:rsid w:val="4F790468"/>
    <w:rsid w:val="4F7D2D1B"/>
    <w:rsid w:val="4FA7CE88"/>
    <w:rsid w:val="4FBCEBE6"/>
    <w:rsid w:val="4FCD002C"/>
    <w:rsid w:val="4FCFB67F"/>
    <w:rsid w:val="4FDD59B8"/>
    <w:rsid w:val="4FDF0D4D"/>
    <w:rsid w:val="4FE35410"/>
    <w:rsid w:val="4FED1289"/>
    <w:rsid w:val="4FEF2FB8"/>
    <w:rsid w:val="4FF5E918"/>
    <w:rsid w:val="4FFA8F75"/>
    <w:rsid w:val="4FFD86E8"/>
    <w:rsid w:val="4FFE8978"/>
    <w:rsid w:val="4FFF7E42"/>
    <w:rsid w:val="517AB350"/>
    <w:rsid w:val="51FC44F9"/>
    <w:rsid w:val="52DFFC42"/>
    <w:rsid w:val="52EFB736"/>
    <w:rsid w:val="52F705CD"/>
    <w:rsid w:val="53BCD43E"/>
    <w:rsid w:val="53BDDEAC"/>
    <w:rsid w:val="53EF833D"/>
    <w:rsid w:val="53F44591"/>
    <w:rsid w:val="53F99A15"/>
    <w:rsid w:val="53FE2E18"/>
    <w:rsid w:val="53FFECBF"/>
    <w:rsid w:val="54BF9E32"/>
    <w:rsid w:val="54EFD6A2"/>
    <w:rsid w:val="55355B0A"/>
    <w:rsid w:val="556FD682"/>
    <w:rsid w:val="55EE46D5"/>
    <w:rsid w:val="55F7C28A"/>
    <w:rsid w:val="55FCBBFA"/>
    <w:rsid w:val="569DE0E5"/>
    <w:rsid w:val="56ED5D6B"/>
    <w:rsid w:val="56F3B552"/>
    <w:rsid w:val="56FD4FC2"/>
    <w:rsid w:val="56FF6BFE"/>
    <w:rsid w:val="571C412A"/>
    <w:rsid w:val="572F581E"/>
    <w:rsid w:val="577FB7CD"/>
    <w:rsid w:val="578A5A4C"/>
    <w:rsid w:val="57AB3C1F"/>
    <w:rsid w:val="57BB4020"/>
    <w:rsid w:val="57D577A6"/>
    <w:rsid w:val="57EDBB43"/>
    <w:rsid w:val="57EFB44C"/>
    <w:rsid w:val="57F5F8CB"/>
    <w:rsid w:val="57F9434C"/>
    <w:rsid w:val="57FB953D"/>
    <w:rsid w:val="57FCB477"/>
    <w:rsid w:val="57FCE081"/>
    <w:rsid w:val="57FF6AE9"/>
    <w:rsid w:val="587B3231"/>
    <w:rsid w:val="58DB2FC8"/>
    <w:rsid w:val="58FF9F7B"/>
    <w:rsid w:val="592DB141"/>
    <w:rsid w:val="596DF8F6"/>
    <w:rsid w:val="59ADCE7C"/>
    <w:rsid w:val="59AE26B4"/>
    <w:rsid w:val="59BAFFCD"/>
    <w:rsid w:val="59BF7BA4"/>
    <w:rsid w:val="59C6D7CD"/>
    <w:rsid w:val="59F55A21"/>
    <w:rsid w:val="59FD3BA7"/>
    <w:rsid w:val="59FD9B91"/>
    <w:rsid w:val="5A6C914D"/>
    <w:rsid w:val="5AB39BDF"/>
    <w:rsid w:val="5ABB1D52"/>
    <w:rsid w:val="5ABE3926"/>
    <w:rsid w:val="5AC4411B"/>
    <w:rsid w:val="5AEF8475"/>
    <w:rsid w:val="5AEF87D7"/>
    <w:rsid w:val="5AFBE507"/>
    <w:rsid w:val="5AFC6073"/>
    <w:rsid w:val="5AFF801D"/>
    <w:rsid w:val="5AFFE17D"/>
    <w:rsid w:val="5B577AAE"/>
    <w:rsid w:val="5B7F679C"/>
    <w:rsid w:val="5BBB6762"/>
    <w:rsid w:val="5BCD9CB9"/>
    <w:rsid w:val="5BCF52E0"/>
    <w:rsid w:val="5BDF98B0"/>
    <w:rsid w:val="5BE7E72C"/>
    <w:rsid w:val="5BF7A927"/>
    <w:rsid w:val="5BF97753"/>
    <w:rsid w:val="5BFC4AF8"/>
    <w:rsid w:val="5BFD280B"/>
    <w:rsid w:val="5BFF01BA"/>
    <w:rsid w:val="5C67FA28"/>
    <w:rsid w:val="5C7F6D61"/>
    <w:rsid w:val="5CBD15DF"/>
    <w:rsid w:val="5CCEF936"/>
    <w:rsid w:val="5CED1F8B"/>
    <w:rsid w:val="5CF6BBAD"/>
    <w:rsid w:val="5CFBD983"/>
    <w:rsid w:val="5CFE71C1"/>
    <w:rsid w:val="5D39A983"/>
    <w:rsid w:val="5D5E47F0"/>
    <w:rsid w:val="5D5FF611"/>
    <w:rsid w:val="5D6710AF"/>
    <w:rsid w:val="5D6E9AD2"/>
    <w:rsid w:val="5D7BDF5D"/>
    <w:rsid w:val="5D7CAFA0"/>
    <w:rsid w:val="5D9BB497"/>
    <w:rsid w:val="5D9F3B44"/>
    <w:rsid w:val="5DBD15AE"/>
    <w:rsid w:val="5DDD9C54"/>
    <w:rsid w:val="5DEB456D"/>
    <w:rsid w:val="5DED0560"/>
    <w:rsid w:val="5DEE7AD0"/>
    <w:rsid w:val="5DEEC1A5"/>
    <w:rsid w:val="5DEF6940"/>
    <w:rsid w:val="5DF70F25"/>
    <w:rsid w:val="5DFBF5D8"/>
    <w:rsid w:val="5DFD3781"/>
    <w:rsid w:val="5DFE4B4B"/>
    <w:rsid w:val="5E2D0D96"/>
    <w:rsid w:val="5E2DD47F"/>
    <w:rsid w:val="5E2F4999"/>
    <w:rsid w:val="5EAFFF9A"/>
    <w:rsid w:val="5EBF5FD7"/>
    <w:rsid w:val="5EBF6341"/>
    <w:rsid w:val="5EBFEB88"/>
    <w:rsid w:val="5EDD47F4"/>
    <w:rsid w:val="5EDF16E9"/>
    <w:rsid w:val="5EE79346"/>
    <w:rsid w:val="5EEB0C2F"/>
    <w:rsid w:val="5EEF79D0"/>
    <w:rsid w:val="5EF73BBD"/>
    <w:rsid w:val="5EF959CF"/>
    <w:rsid w:val="5EFD58E5"/>
    <w:rsid w:val="5EFF6ABF"/>
    <w:rsid w:val="5F167CEF"/>
    <w:rsid w:val="5F2BDDD7"/>
    <w:rsid w:val="5F3D0900"/>
    <w:rsid w:val="5F5A4043"/>
    <w:rsid w:val="5F5FDAA4"/>
    <w:rsid w:val="5F6ACE0B"/>
    <w:rsid w:val="5F776E2D"/>
    <w:rsid w:val="5F776FF0"/>
    <w:rsid w:val="5F778CD1"/>
    <w:rsid w:val="5F778F87"/>
    <w:rsid w:val="5F7B6072"/>
    <w:rsid w:val="5F7F2F50"/>
    <w:rsid w:val="5F7F5689"/>
    <w:rsid w:val="5F7FD51C"/>
    <w:rsid w:val="5F86B797"/>
    <w:rsid w:val="5F9E5C56"/>
    <w:rsid w:val="5FA76ADE"/>
    <w:rsid w:val="5FAB6FAB"/>
    <w:rsid w:val="5FB7F1A0"/>
    <w:rsid w:val="5FB7F3B5"/>
    <w:rsid w:val="5FBDC23C"/>
    <w:rsid w:val="5FBEA2D1"/>
    <w:rsid w:val="5FBF13F1"/>
    <w:rsid w:val="5FBFCA1C"/>
    <w:rsid w:val="5FBFCB9A"/>
    <w:rsid w:val="5FBFEA9E"/>
    <w:rsid w:val="5FBFEC5B"/>
    <w:rsid w:val="5FD79E4E"/>
    <w:rsid w:val="5FDB42DF"/>
    <w:rsid w:val="5FDC4F67"/>
    <w:rsid w:val="5FDEA1AB"/>
    <w:rsid w:val="5FDF514E"/>
    <w:rsid w:val="5FDF52A3"/>
    <w:rsid w:val="5FDF6BEC"/>
    <w:rsid w:val="5FEC935B"/>
    <w:rsid w:val="5FF7ECC8"/>
    <w:rsid w:val="5FF7FC36"/>
    <w:rsid w:val="5FF93235"/>
    <w:rsid w:val="5FFB2FD1"/>
    <w:rsid w:val="5FFB7435"/>
    <w:rsid w:val="5FFBBCC0"/>
    <w:rsid w:val="5FFCD758"/>
    <w:rsid w:val="5FFD6A79"/>
    <w:rsid w:val="5FFD7A05"/>
    <w:rsid w:val="5FFE69F9"/>
    <w:rsid w:val="5FFF2D1B"/>
    <w:rsid w:val="5FFF4CEC"/>
    <w:rsid w:val="5FFFB03C"/>
    <w:rsid w:val="5FFFB463"/>
    <w:rsid w:val="61370541"/>
    <w:rsid w:val="6176B1AA"/>
    <w:rsid w:val="6199721E"/>
    <w:rsid w:val="6255D7DE"/>
    <w:rsid w:val="627D9AF7"/>
    <w:rsid w:val="629F4119"/>
    <w:rsid w:val="62DD949D"/>
    <w:rsid w:val="636F13DC"/>
    <w:rsid w:val="637F280F"/>
    <w:rsid w:val="63A42056"/>
    <w:rsid w:val="63FC3560"/>
    <w:rsid w:val="64860BF2"/>
    <w:rsid w:val="64BA68B4"/>
    <w:rsid w:val="64EF2E01"/>
    <w:rsid w:val="6533D71B"/>
    <w:rsid w:val="656BD1D9"/>
    <w:rsid w:val="656D0340"/>
    <w:rsid w:val="657DA5B8"/>
    <w:rsid w:val="65DF6360"/>
    <w:rsid w:val="65E75653"/>
    <w:rsid w:val="65E75803"/>
    <w:rsid w:val="65F4A0A7"/>
    <w:rsid w:val="65FAFFE2"/>
    <w:rsid w:val="66799B59"/>
    <w:rsid w:val="667F1A99"/>
    <w:rsid w:val="667F3BCC"/>
    <w:rsid w:val="667FEB88"/>
    <w:rsid w:val="669CA4CC"/>
    <w:rsid w:val="669EDE7B"/>
    <w:rsid w:val="66BB0D03"/>
    <w:rsid w:val="66BF9F41"/>
    <w:rsid w:val="66DBB7F1"/>
    <w:rsid w:val="66EFD9CE"/>
    <w:rsid w:val="676E7B6C"/>
    <w:rsid w:val="677BF1BF"/>
    <w:rsid w:val="677E306D"/>
    <w:rsid w:val="677FDC44"/>
    <w:rsid w:val="67A7996B"/>
    <w:rsid w:val="67B711DE"/>
    <w:rsid w:val="67B7199A"/>
    <w:rsid w:val="67BEAC87"/>
    <w:rsid w:val="67BF8659"/>
    <w:rsid w:val="67D040B9"/>
    <w:rsid w:val="67DD7B94"/>
    <w:rsid w:val="67DFE6AF"/>
    <w:rsid w:val="67F3118D"/>
    <w:rsid w:val="67FF0EDD"/>
    <w:rsid w:val="67FFD6E4"/>
    <w:rsid w:val="684D488A"/>
    <w:rsid w:val="68BD9255"/>
    <w:rsid w:val="68D51B67"/>
    <w:rsid w:val="68DF0A78"/>
    <w:rsid w:val="68F700F6"/>
    <w:rsid w:val="68FA6EF3"/>
    <w:rsid w:val="68FB00BC"/>
    <w:rsid w:val="68FF337F"/>
    <w:rsid w:val="695788F4"/>
    <w:rsid w:val="69BB5E77"/>
    <w:rsid w:val="69BFA27A"/>
    <w:rsid w:val="69EDF1A7"/>
    <w:rsid w:val="6A774F55"/>
    <w:rsid w:val="6ABFD5F3"/>
    <w:rsid w:val="6ADAAD96"/>
    <w:rsid w:val="6AEBC67D"/>
    <w:rsid w:val="6B1F5E22"/>
    <w:rsid w:val="6B2F85CC"/>
    <w:rsid w:val="6B3F0E3F"/>
    <w:rsid w:val="6B3F71F0"/>
    <w:rsid w:val="6B6EDAD7"/>
    <w:rsid w:val="6B7B2C0D"/>
    <w:rsid w:val="6B8F1534"/>
    <w:rsid w:val="6BA7253E"/>
    <w:rsid w:val="6BAD1490"/>
    <w:rsid w:val="6BAF1DB4"/>
    <w:rsid w:val="6BB73BC9"/>
    <w:rsid w:val="6BBF59D3"/>
    <w:rsid w:val="6BCF6349"/>
    <w:rsid w:val="6BD5342C"/>
    <w:rsid w:val="6BDE16B9"/>
    <w:rsid w:val="6BEB7F3C"/>
    <w:rsid w:val="6BED3B44"/>
    <w:rsid w:val="6BF5EEA8"/>
    <w:rsid w:val="6BF7D5AF"/>
    <w:rsid w:val="6BFA1BC6"/>
    <w:rsid w:val="6BFAC080"/>
    <w:rsid w:val="6BFE97FD"/>
    <w:rsid w:val="6BFF34D0"/>
    <w:rsid w:val="6BFFFB85"/>
    <w:rsid w:val="6C772487"/>
    <w:rsid w:val="6C7E4808"/>
    <w:rsid w:val="6C9FB842"/>
    <w:rsid w:val="6CAFA7D4"/>
    <w:rsid w:val="6CB3D9E4"/>
    <w:rsid w:val="6CD7F273"/>
    <w:rsid w:val="6CEC8A1F"/>
    <w:rsid w:val="6CEE33DA"/>
    <w:rsid w:val="6D36FE50"/>
    <w:rsid w:val="6D6E2C73"/>
    <w:rsid w:val="6D7FE0A8"/>
    <w:rsid w:val="6D9E056C"/>
    <w:rsid w:val="6DABFB57"/>
    <w:rsid w:val="6DB73056"/>
    <w:rsid w:val="6DBF04A6"/>
    <w:rsid w:val="6DBF6126"/>
    <w:rsid w:val="6DC36DF1"/>
    <w:rsid w:val="6DCF091F"/>
    <w:rsid w:val="6DDE3796"/>
    <w:rsid w:val="6DDF3A20"/>
    <w:rsid w:val="6DEBEDED"/>
    <w:rsid w:val="6DFE04B5"/>
    <w:rsid w:val="6DFE1652"/>
    <w:rsid w:val="6DFFD413"/>
    <w:rsid w:val="6E0A9904"/>
    <w:rsid w:val="6E373CCA"/>
    <w:rsid w:val="6E3B746B"/>
    <w:rsid w:val="6E5B765D"/>
    <w:rsid w:val="6E6B318A"/>
    <w:rsid w:val="6E6F973A"/>
    <w:rsid w:val="6E784AB3"/>
    <w:rsid w:val="6EA7D165"/>
    <w:rsid w:val="6EBFA798"/>
    <w:rsid w:val="6ED988E8"/>
    <w:rsid w:val="6EE7D019"/>
    <w:rsid w:val="6EE9BEB1"/>
    <w:rsid w:val="6EFB84BC"/>
    <w:rsid w:val="6EFD39BF"/>
    <w:rsid w:val="6EFF8F2F"/>
    <w:rsid w:val="6F1F0F06"/>
    <w:rsid w:val="6F1FE594"/>
    <w:rsid w:val="6F2E9556"/>
    <w:rsid w:val="6F4F2E43"/>
    <w:rsid w:val="6F5DF95D"/>
    <w:rsid w:val="6F6B5CF5"/>
    <w:rsid w:val="6F759620"/>
    <w:rsid w:val="6F7B1C65"/>
    <w:rsid w:val="6F7BDFD1"/>
    <w:rsid w:val="6F7DA596"/>
    <w:rsid w:val="6F7DFE3C"/>
    <w:rsid w:val="6F7E3E74"/>
    <w:rsid w:val="6F7FAEFF"/>
    <w:rsid w:val="6F958F90"/>
    <w:rsid w:val="6F9BF064"/>
    <w:rsid w:val="6FB75B3A"/>
    <w:rsid w:val="6FB8B242"/>
    <w:rsid w:val="6FBE8802"/>
    <w:rsid w:val="6FBF7E80"/>
    <w:rsid w:val="6FC775D6"/>
    <w:rsid w:val="6FCBEF66"/>
    <w:rsid w:val="6FCDEF5F"/>
    <w:rsid w:val="6FD10053"/>
    <w:rsid w:val="6FD21CA6"/>
    <w:rsid w:val="6FDC3A62"/>
    <w:rsid w:val="6FDF4E3F"/>
    <w:rsid w:val="6FDF660A"/>
    <w:rsid w:val="6FDF7D13"/>
    <w:rsid w:val="6FE6C251"/>
    <w:rsid w:val="6FEB20FF"/>
    <w:rsid w:val="6FEEEC14"/>
    <w:rsid w:val="6FEF2344"/>
    <w:rsid w:val="6FF344CB"/>
    <w:rsid w:val="6FF40871"/>
    <w:rsid w:val="6FF4EA6C"/>
    <w:rsid w:val="6FF65E4C"/>
    <w:rsid w:val="6FF93807"/>
    <w:rsid w:val="6FFAE0AC"/>
    <w:rsid w:val="6FFB0957"/>
    <w:rsid w:val="6FFB3E84"/>
    <w:rsid w:val="6FFB9915"/>
    <w:rsid w:val="6FFBEB46"/>
    <w:rsid w:val="6FFC7C18"/>
    <w:rsid w:val="6FFE0C47"/>
    <w:rsid w:val="6FFE3AF4"/>
    <w:rsid w:val="6FFEB3C0"/>
    <w:rsid w:val="6FFEEB8C"/>
    <w:rsid w:val="6FFF50D6"/>
    <w:rsid w:val="6FFF659A"/>
    <w:rsid w:val="6FFFBC9B"/>
    <w:rsid w:val="6FFFC35D"/>
    <w:rsid w:val="6FFFFAFE"/>
    <w:rsid w:val="707B0B89"/>
    <w:rsid w:val="70C7C51B"/>
    <w:rsid w:val="713D3F3E"/>
    <w:rsid w:val="717FD47B"/>
    <w:rsid w:val="725B695B"/>
    <w:rsid w:val="72761237"/>
    <w:rsid w:val="72E07929"/>
    <w:rsid w:val="72FA7394"/>
    <w:rsid w:val="731EEC20"/>
    <w:rsid w:val="733FE5B7"/>
    <w:rsid w:val="735F973D"/>
    <w:rsid w:val="7363C258"/>
    <w:rsid w:val="737C767D"/>
    <w:rsid w:val="737F664C"/>
    <w:rsid w:val="73B6E9B4"/>
    <w:rsid w:val="73BE2158"/>
    <w:rsid w:val="73BF0381"/>
    <w:rsid w:val="73C6D4CE"/>
    <w:rsid w:val="73D5EBED"/>
    <w:rsid w:val="73D8BCE1"/>
    <w:rsid w:val="73DFFA01"/>
    <w:rsid w:val="73EB456E"/>
    <w:rsid w:val="73EB8752"/>
    <w:rsid w:val="73EBDE6D"/>
    <w:rsid w:val="73F300CB"/>
    <w:rsid w:val="73F42BD2"/>
    <w:rsid w:val="73F7119C"/>
    <w:rsid w:val="73F7A283"/>
    <w:rsid w:val="73FA7638"/>
    <w:rsid w:val="73FADFED"/>
    <w:rsid w:val="73FD7C11"/>
    <w:rsid w:val="73FF1398"/>
    <w:rsid w:val="73FF8627"/>
    <w:rsid w:val="73FFDA0A"/>
    <w:rsid w:val="73FFE61C"/>
    <w:rsid w:val="746BA0DD"/>
    <w:rsid w:val="747F12FB"/>
    <w:rsid w:val="747FD6C1"/>
    <w:rsid w:val="74B7242A"/>
    <w:rsid w:val="74FC01CD"/>
    <w:rsid w:val="74FF8DDF"/>
    <w:rsid w:val="755F7D4D"/>
    <w:rsid w:val="757B51C5"/>
    <w:rsid w:val="757DCAFF"/>
    <w:rsid w:val="757FCACB"/>
    <w:rsid w:val="75892510"/>
    <w:rsid w:val="759FB682"/>
    <w:rsid w:val="759FCB8F"/>
    <w:rsid w:val="75B622F6"/>
    <w:rsid w:val="75B966B9"/>
    <w:rsid w:val="75B9AB41"/>
    <w:rsid w:val="75BCD856"/>
    <w:rsid w:val="75CE8D8A"/>
    <w:rsid w:val="75D5059F"/>
    <w:rsid w:val="75D99F7E"/>
    <w:rsid w:val="75DBFB72"/>
    <w:rsid w:val="75DF4BC7"/>
    <w:rsid w:val="75DFC984"/>
    <w:rsid w:val="75EB4490"/>
    <w:rsid w:val="75EB7D74"/>
    <w:rsid w:val="75F35D7F"/>
    <w:rsid w:val="75F66364"/>
    <w:rsid w:val="75FBFC25"/>
    <w:rsid w:val="75FD9053"/>
    <w:rsid w:val="75FF2D60"/>
    <w:rsid w:val="75FF573D"/>
    <w:rsid w:val="75FFB2C0"/>
    <w:rsid w:val="760245DF"/>
    <w:rsid w:val="761B0255"/>
    <w:rsid w:val="762272ED"/>
    <w:rsid w:val="76548BFB"/>
    <w:rsid w:val="7659D22A"/>
    <w:rsid w:val="765FC10D"/>
    <w:rsid w:val="766F3ED5"/>
    <w:rsid w:val="767F29B1"/>
    <w:rsid w:val="7698975F"/>
    <w:rsid w:val="76A3A913"/>
    <w:rsid w:val="76A7F04C"/>
    <w:rsid w:val="76ABCD11"/>
    <w:rsid w:val="76AD9A03"/>
    <w:rsid w:val="76AE200A"/>
    <w:rsid w:val="76B40A45"/>
    <w:rsid w:val="76B7CA2B"/>
    <w:rsid w:val="76BF039C"/>
    <w:rsid w:val="76BF0DCC"/>
    <w:rsid w:val="76DD7202"/>
    <w:rsid w:val="76DE68C5"/>
    <w:rsid w:val="76DF31F2"/>
    <w:rsid w:val="76DF8235"/>
    <w:rsid w:val="76E94852"/>
    <w:rsid w:val="76EE82CF"/>
    <w:rsid w:val="76EF7BC6"/>
    <w:rsid w:val="76EF7CE3"/>
    <w:rsid w:val="76F5BDC6"/>
    <w:rsid w:val="76F7DC77"/>
    <w:rsid w:val="76FAC1FA"/>
    <w:rsid w:val="76FB58E2"/>
    <w:rsid w:val="76FF623F"/>
    <w:rsid w:val="76FFA304"/>
    <w:rsid w:val="77075592"/>
    <w:rsid w:val="772FFD7A"/>
    <w:rsid w:val="773FD625"/>
    <w:rsid w:val="7743D126"/>
    <w:rsid w:val="77572B20"/>
    <w:rsid w:val="775B1D63"/>
    <w:rsid w:val="775F58F1"/>
    <w:rsid w:val="7773362B"/>
    <w:rsid w:val="77742C96"/>
    <w:rsid w:val="7777BCF1"/>
    <w:rsid w:val="77783D8B"/>
    <w:rsid w:val="777E49D0"/>
    <w:rsid w:val="777F16DA"/>
    <w:rsid w:val="777F4C50"/>
    <w:rsid w:val="778F0AE1"/>
    <w:rsid w:val="779B1C04"/>
    <w:rsid w:val="77AE39D3"/>
    <w:rsid w:val="77AF8F60"/>
    <w:rsid w:val="77BD6C0F"/>
    <w:rsid w:val="77BE8B60"/>
    <w:rsid w:val="77BF640A"/>
    <w:rsid w:val="77BFDD4D"/>
    <w:rsid w:val="77C919DA"/>
    <w:rsid w:val="77DAABCE"/>
    <w:rsid w:val="77DAF369"/>
    <w:rsid w:val="77DB0DA2"/>
    <w:rsid w:val="77DCA1FD"/>
    <w:rsid w:val="77DE0C5B"/>
    <w:rsid w:val="77DEE580"/>
    <w:rsid w:val="77DEF9A0"/>
    <w:rsid w:val="77DF67ED"/>
    <w:rsid w:val="77E53932"/>
    <w:rsid w:val="77E735B8"/>
    <w:rsid w:val="77E752BD"/>
    <w:rsid w:val="77EB2018"/>
    <w:rsid w:val="77EB4012"/>
    <w:rsid w:val="77EDCE88"/>
    <w:rsid w:val="77EDE429"/>
    <w:rsid w:val="77EE48C4"/>
    <w:rsid w:val="77EFBD1B"/>
    <w:rsid w:val="77F24640"/>
    <w:rsid w:val="77F4AEC6"/>
    <w:rsid w:val="77F76211"/>
    <w:rsid w:val="77F7BCF1"/>
    <w:rsid w:val="77F7FEBC"/>
    <w:rsid w:val="77FD8C32"/>
    <w:rsid w:val="77FE922E"/>
    <w:rsid w:val="77FEDA87"/>
    <w:rsid w:val="77FEE763"/>
    <w:rsid w:val="77FF007E"/>
    <w:rsid w:val="77FF0C05"/>
    <w:rsid w:val="77FF2CA8"/>
    <w:rsid w:val="77FF90FE"/>
    <w:rsid w:val="77FFA073"/>
    <w:rsid w:val="783FA6EE"/>
    <w:rsid w:val="78A3AFFD"/>
    <w:rsid w:val="78BE66CC"/>
    <w:rsid w:val="78D334A2"/>
    <w:rsid w:val="78D7CF70"/>
    <w:rsid w:val="78EBA900"/>
    <w:rsid w:val="78EE3BC5"/>
    <w:rsid w:val="78F7D99B"/>
    <w:rsid w:val="78FDC933"/>
    <w:rsid w:val="78FE3972"/>
    <w:rsid w:val="78FF2EFA"/>
    <w:rsid w:val="795F2435"/>
    <w:rsid w:val="795FEDE4"/>
    <w:rsid w:val="797A2F22"/>
    <w:rsid w:val="797F389F"/>
    <w:rsid w:val="798BEC09"/>
    <w:rsid w:val="7999CA58"/>
    <w:rsid w:val="79AF6FF5"/>
    <w:rsid w:val="79B554C1"/>
    <w:rsid w:val="79D22DA2"/>
    <w:rsid w:val="79DAC33B"/>
    <w:rsid w:val="79DBF5DF"/>
    <w:rsid w:val="79DCCFE2"/>
    <w:rsid w:val="79DEA2A6"/>
    <w:rsid w:val="79DF4BE2"/>
    <w:rsid w:val="79E55861"/>
    <w:rsid w:val="79EE297F"/>
    <w:rsid w:val="79EF0602"/>
    <w:rsid w:val="79F71457"/>
    <w:rsid w:val="79FAA623"/>
    <w:rsid w:val="79FB4780"/>
    <w:rsid w:val="79FE5CED"/>
    <w:rsid w:val="79FFBD74"/>
    <w:rsid w:val="79FFC651"/>
    <w:rsid w:val="7A77EA5C"/>
    <w:rsid w:val="7A7E68C0"/>
    <w:rsid w:val="7AAF6CD2"/>
    <w:rsid w:val="7AB769D8"/>
    <w:rsid w:val="7ACD6925"/>
    <w:rsid w:val="7ACDD141"/>
    <w:rsid w:val="7ACEB05F"/>
    <w:rsid w:val="7AD4848C"/>
    <w:rsid w:val="7ADB3DAD"/>
    <w:rsid w:val="7ADEA436"/>
    <w:rsid w:val="7ADF1E29"/>
    <w:rsid w:val="7ADF83D9"/>
    <w:rsid w:val="7AE7A5B2"/>
    <w:rsid w:val="7AEB7DAA"/>
    <w:rsid w:val="7AEFC9D3"/>
    <w:rsid w:val="7AF467C0"/>
    <w:rsid w:val="7AF793EA"/>
    <w:rsid w:val="7AF7B2CF"/>
    <w:rsid w:val="7AFB249B"/>
    <w:rsid w:val="7AFD3D54"/>
    <w:rsid w:val="7AFE4330"/>
    <w:rsid w:val="7AFFDE4F"/>
    <w:rsid w:val="7B1E86AA"/>
    <w:rsid w:val="7B1EBB05"/>
    <w:rsid w:val="7B1F32A3"/>
    <w:rsid w:val="7B275854"/>
    <w:rsid w:val="7B2BF636"/>
    <w:rsid w:val="7B378FE1"/>
    <w:rsid w:val="7B3FAF0B"/>
    <w:rsid w:val="7B5FB0A2"/>
    <w:rsid w:val="7B5FC6DB"/>
    <w:rsid w:val="7B6DD947"/>
    <w:rsid w:val="7B6F5C7D"/>
    <w:rsid w:val="7B750FB1"/>
    <w:rsid w:val="7B7744C3"/>
    <w:rsid w:val="7B7A45BD"/>
    <w:rsid w:val="7B7B37D7"/>
    <w:rsid w:val="7B7C6697"/>
    <w:rsid w:val="7B7F55A6"/>
    <w:rsid w:val="7B7F6AAC"/>
    <w:rsid w:val="7B7FE135"/>
    <w:rsid w:val="7B8872AC"/>
    <w:rsid w:val="7B8E7DD2"/>
    <w:rsid w:val="7B9EC0B7"/>
    <w:rsid w:val="7B9FACFD"/>
    <w:rsid w:val="7B9FF84C"/>
    <w:rsid w:val="7BABFAE7"/>
    <w:rsid w:val="7BADF811"/>
    <w:rsid w:val="7BAFDD52"/>
    <w:rsid w:val="7BB72620"/>
    <w:rsid w:val="7BB7E6EB"/>
    <w:rsid w:val="7BC7C63F"/>
    <w:rsid w:val="7BD9893D"/>
    <w:rsid w:val="7BDD5EBD"/>
    <w:rsid w:val="7BDF128F"/>
    <w:rsid w:val="7BDF3769"/>
    <w:rsid w:val="7BDF3A98"/>
    <w:rsid w:val="7BDF5C5A"/>
    <w:rsid w:val="7BDF86A2"/>
    <w:rsid w:val="7BDFD592"/>
    <w:rsid w:val="7BE32445"/>
    <w:rsid w:val="7BE7D416"/>
    <w:rsid w:val="7BEBFB97"/>
    <w:rsid w:val="7BED1CEC"/>
    <w:rsid w:val="7BEE2618"/>
    <w:rsid w:val="7BEF41C6"/>
    <w:rsid w:val="7BF56F8A"/>
    <w:rsid w:val="7BF72B0B"/>
    <w:rsid w:val="7BF7315D"/>
    <w:rsid w:val="7BF75F79"/>
    <w:rsid w:val="7BF77663"/>
    <w:rsid w:val="7BF7E450"/>
    <w:rsid w:val="7BF91CC1"/>
    <w:rsid w:val="7BF95226"/>
    <w:rsid w:val="7BFB03DA"/>
    <w:rsid w:val="7BFB3216"/>
    <w:rsid w:val="7BFD2876"/>
    <w:rsid w:val="7BFDFA08"/>
    <w:rsid w:val="7BFED97E"/>
    <w:rsid w:val="7BFF2703"/>
    <w:rsid w:val="7BFF2DCA"/>
    <w:rsid w:val="7BFF6BC5"/>
    <w:rsid w:val="7BFF924D"/>
    <w:rsid w:val="7BFFD83C"/>
    <w:rsid w:val="7BFFE739"/>
    <w:rsid w:val="7C0D33A0"/>
    <w:rsid w:val="7C3E9B72"/>
    <w:rsid w:val="7C4CBC89"/>
    <w:rsid w:val="7C57CA1C"/>
    <w:rsid w:val="7C646209"/>
    <w:rsid w:val="7C75CA8E"/>
    <w:rsid w:val="7C7A82FB"/>
    <w:rsid w:val="7C919D17"/>
    <w:rsid w:val="7CA50AAA"/>
    <w:rsid w:val="7CB4BDE1"/>
    <w:rsid w:val="7CB6F3E0"/>
    <w:rsid w:val="7CC7E77E"/>
    <w:rsid w:val="7CCA3437"/>
    <w:rsid w:val="7CCF85FB"/>
    <w:rsid w:val="7CDDA498"/>
    <w:rsid w:val="7CDFFA28"/>
    <w:rsid w:val="7CEF2E98"/>
    <w:rsid w:val="7CEF91D4"/>
    <w:rsid w:val="7CF7928C"/>
    <w:rsid w:val="7CF91B72"/>
    <w:rsid w:val="7CFAA8D9"/>
    <w:rsid w:val="7CFD21BE"/>
    <w:rsid w:val="7CFDE05B"/>
    <w:rsid w:val="7CFEABE1"/>
    <w:rsid w:val="7CFFB46B"/>
    <w:rsid w:val="7D3E583D"/>
    <w:rsid w:val="7D57E2AB"/>
    <w:rsid w:val="7D5D7DF1"/>
    <w:rsid w:val="7D5DD509"/>
    <w:rsid w:val="7D5E6713"/>
    <w:rsid w:val="7D6FE386"/>
    <w:rsid w:val="7D70C8EA"/>
    <w:rsid w:val="7D770DF9"/>
    <w:rsid w:val="7D7B6C6D"/>
    <w:rsid w:val="7D7DD08B"/>
    <w:rsid w:val="7D7F1D2B"/>
    <w:rsid w:val="7D7FBAA4"/>
    <w:rsid w:val="7D7FCA6F"/>
    <w:rsid w:val="7D7FE9AF"/>
    <w:rsid w:val="7D972E3E"/>
    <w:rsid w:val="7D9F2117"/>
    <w:rsid w:val="7D9FC573"/>
    <w:rsid w:val="7DAAED9F"/>
    <w:rsid w:val="7DAB7343"/>
    <w:rsid w:val="7DAF0F5B"/>
    <w:rsid w:val="7DAF537E"/>
    <w:rsid w:val="7DB32ADE"/>
    <w:rsid w:val="7DBF367C"/>
    <w:rsid w:val="7DC9C6E6"/>
    <w:rsid w:val="7DDF98A4"/>
    <w:rsid w:val="7DEBC09F"/>
    <w:rsid w:val="7DEF72BD"/>
    <w:rsid w:val="7DEF7CE6"/>
    <w:rsid w:val="7DEFECB1"/>
    <w:rsid w:val="7DF12DB6"/>
    <w:rsid w:val="7DF2D993"/>
    <w:rsid w:val="7DF31EB6"/>
    <w:rsid w:val="7DF3BDA4"/>
    <w:rsid w:val="7DF69C86"/>
    <w:rsid w:val="7DF723F3"/>
    <w:rsid w:val="7DFA4AF2"/>
    <w:rsid w:val="7DFAD83E"/>
    <w:rsid w:val="7DFAF7F9"/>
    <w:rsid w:val="7DFB16BB"/>
    <w:rsid w:val="7DFB218B"/>
    <w:rsid w:val="7DFC03EC"/>
    <w:rsid w:val="7DFD49C9"/>
    <w:rsid w:val="7DFDF6DC"/>
    <w:rsid w:val="7DFE65BB"/>
    <w:rsid w:val="7DFE7598"/>
    <w:rsid w:val="7DFEC013"/>
    <w:rsid w:val="7DFF00FB"/>
    <w:rsid w:val="7DFF15EF"/>
    <w:rsid w:val="7DFF2916"/>
    <w:rsid w:val="7DFF2929"/>
    <w:rsid w:val="7DFF60FF"/>
    <w:rsid w:val="7DFF9AA2"/>
    <w:rsid w:val="7DFFBC05"/>
    <w:rsid w:val="7E1FE06C"/>
    <w:rsid w:val="7E2C1B25"/>
    <w:rsid w:val="7E333104"/>
    <w:rsid w:val="7E37F961"/>
    <w:rsid w:val="7E3E0B6E"/>
    <w:rsid w:val="7E567177"/>
    <w:rsid w:val="7E5F0069"/>
    <w:rsid w:val="7E5F8355"/>
    <w:rsid w:val="7E5FBD46"/>
    <w:rsid w:val="7E6F1BC0"/>
    <w:rsid w:val="7E76F9CD"/>
    <w:rsid w:val="7E778F2E"/>
    <w:rsid w:val="7E7C910A"/>
    <w:rsid w:val="7E7EA806"/>
    <w:rsid w:val="7E7F1E0F"/>
    <w:rsid w:val="7E7F77FB"/>
    <w:rsid w:val="7E7FD011"/>
    <w:rsid w:val="7E8BE701"/>
    <w:rsid w:val="7E8E8D30"/>
    <w:rsid w:val="7E97F961"/>
    <w:rsid w:val="7E98DE11"/>
    <w:rsid w:val="7E9A499F"/>
    <w:rsid w:val="7E9CEE97"/>
    <w:rsid w:val="7E9D1DBB"/>
    <w:rsid w:val="7EA12BDC"/>
    <w:rsid w:val="7EA6731F"/>
    <w:rsid w:val="7EA7E675"/>
    <w:rsid w:val="7EA7FFB0"/>
    <w:rsid w:val="7EA907C1"/>
    <w:rsid w:val="7EADAC2E"/>
    <w:rsid w:val="7EB62F5C"/>
    <w:rsid w:val="7EB86791"/>
    <w:rsid w:val="7EBA5A85"/>
    <w:rsid w:val="7EBB6BF7"/>
    <w:rsid w:val="7EBBAECD"/>
    <w:rsid w:val="7EBBFD9D"/>
    <w:rsid w:val="7EBBFF65"/>
    <w:rsid w:val="7EBDC495"/>
    <w:rsid w:val="7EBDCC43"/>
    <w:rsid w:val="7EDB65FA"/>
    <w:rsid w:val="7EDFE8E8"/>
    <w:rsid w:val="7EDFEC23"/>
    <w:rsid w:val="7EE7A62B"/>
    <w:rsid w:val="7EE82CF8"/>
    <w:rsid w:val="7EE93B94"/>
    <w:rsid w:val="7EEF1757"/>
    <w:rsid w:val="7EF68BC1"/>
    <w:rsid w:val="7EF7BE90"/>
    <w:rsid w:val="7EF9DE75"/>
    <w:rsid w:val="7EFB50C3"/>
    <w:rsid w:val="7EFBF876"/>
    <w:rsid w:val="7EFCF9DA"/>
    <w:rsid w:val="7EFD25FA"/>
    <w:rsid w:val="7EFD7D9B"/>
    <w:rsid w:val="7EFD88B5"/>
    <w:rsid w:val="7EFDAD43"/>
    <w:rsid w:val="7EFF03F6"/>
    <w:rsid w:val="7EFF1EED"/>
    <w:rsid w:val="7EFF5DE9"/>
    <w:rsid w:val="7EFF761C"/>
    <w:rsid w:val="7EFF9C25"/>
    <w:rsid w:val="7EFFBD51"/>
    <w:rsid w:val="7EFFF302"/>
    <w:rsid w:val="7F0DD09E"/>
    <w:rsid w:val="7F2F826F"/>
    <w:rsid w:val="7F346187"/>
    <w:rsid w:val="7F3681E6"/>
    <w:rsid w:val="7F371993"/>
    <w:rsid w:val="7F37533F"/>
    <w:rsid w:val="7F3F867C"/>
    <w:rsid w:val="7F3FCBA7"/>
    <w:rsid w:val="7F48EDE7"/>
    <w:rsid w:val="7F4A6031"/>
    <w:rsid w:val="7F4C1F70"/>
    <w:rsid w:val="7F57870C"/>
    <w:rsid w:val="7F5B7F5B"/>
    <w:rsid w:val="7F5BF52F"/>
    <w:rsid w:val="7F5CCE02"/>
    <w:rsid w:val="7F5E521A"/>
    <w:rsid w:val="7F69ADC3"/>
    <w:rsid w:val="7F6CA4B3"/>
    <w:rsid w:val="7F6CD427"/>
    <w:rsid w:val="7F6D82EB"/>
    <w:rsid w:val="7F73FFD9"/>
    <w:rsid w:val="7F76D677"/>
    <w:rsid w:val="7F773EEC"/>
    <w:rsid w:val="7F779390"/>
    <w:rsid w:val="7F77DCDA"/>
    <w:rsid w:val="7F79A6FA"/>
    <w:rsid w:val="7F7BA7B0"/>
    <w:rsid w:val="7F7BEFF6"/>
    <w:rsid w:val="7F7CBA93"/>
    <w:rsid w:val="7F7D6495"/>
    <w:rsid w:val="7F7DC623"/>
    <w:rsid w:val="7F7EA5AA"/>
    <w:rsid w:val="7F7EB44C"/>
    <w:rsid w:val="7F7F0A53"/>
    <w:rsid w:val="7F7F152D"/>
    <w:rsid w:val="7F7F26EB"/>
    <w:rsid w:val="7F7F50BA"/>
    <w:rsid w:val="7F7F6475"/>
    <w:rsid w:val="7F7F67B2"/>
    <w:rsid w:val="7F7F68EB"/>
    <w:rsid w:val="7F7F6B44"/>
    <w:rsid w:val="7F947F5A"/>
    <w:rsid w:val="7F994C92"/>
    <w:rsid w:val="7F9DA31F"/>
    <w:rsid w:val="7F9DE047"/>
    <w:rsid w:val="7F9FC1AD"/>
    <w:rsid w:val="7FA7A812"/>
    <w:rsid w:val="7FAAD0AC"/>
    <w:rsid w:val="7FAD9BCA"/>
    <w:rsid w:val="7FAFE232"/>
    <w:rsid w:val="7FAFF143"/>
    <w:rsid w:val="7FB16625"/>
    <w:rsid w:val="7FB445AB"/>
    <w:rsid w:val="7FB523B9"/>
    <w:rsid w:val="7FB7EC57"/>
    <w:rsid w:val="7FB9336D"/>
    <w:rsid w:val="7FB948CB"/>
    <w:rsid w:val="7FB9C255"/>
    <w:rsid w:val="7FBBE709"/>
    <w:rsid w:val="7FBC6030"/>
    <w:rsid w:val="7FBD63B6"/>
    <w:rsid w:val="7FBEA538"/>
    <w:rsid w:val="7FBECA8B"/>
    <w:rsid w:val="7FBEDC61"/>
    <w:rsid w:val="7FBF25C2"/>
    <w:rsid w:val="7FBF2ACA"/>
    <w:rsid w:val="7FBF6312"/>
    <w:rsid w:val="7FBF7EEE"/>
    <w:rsid w:val="7FBF9E9D"/>
    <w:rsid w:val="7FBFC857"/>
    <w:rsid w:val="7FBFDB48"/>
    <w:rsid w:val="7FBFF8AD"/>
    <w:rsid w:val="7FC533DE"/>
    <w:rsid w:val="7FC56791"/>
    <w:rsid w:val="7FCF1D05"/>
    <w:rsid w:val="7FCF2CE8"/>
    <w:rsid w:val="7FCF4170"/>
    <w:rsid w:val="7FCF64C6"/>
    <w:rsid w:val="7FD99899"/>
    <w:rsid w:val="7FD9D7B6"/>
    <w:rsid w:val="7FDB078B"/>
    <w:rsid w:val="7FDB9132"/>
    <w:rsid w:val="7FDDEB4D"/>
    <w:rsid w:val="7FDE8D17"/>
    <w:rsid w:val="7FDE9144"/>
    <w:rsid w:val="7FDEF5E0"/>
    <w:rsid w:val="7FDF0CFE"/>
    <w:rsid w:val="7FDF7E3B"/>
    <w:rsid w:val="7FDF85FB"/>
    <w:rsid w:val="7FDFD9D9"/>
    <w:rsid w:val="7FE1FCF9"/>
    <w:rsid w:val="7FE294F5"/>
    <w:rsid w:val="7FE3F7ED"/>
    <w:rsid w:val="7FE731CB"/>
    <w:rsid w:val="7FEAA6BE"/>
    <w:rsid w:val="7FEB13A8"/>
    <w:rsid w:val="7FEB18FF"/>
    <w:rsid w:val="7FEB2E71"/>
    <w:rsid w:val="7FEB906D"/>
    <w:rsid w:val="7FEBE740"/>
    <w:rsid w:val="7FED3AA0"/>
    <w:rsid w:val="7FED7105"/>
    <w:rsid w:val="7FEDB9E1"/>
    <w:rsid w:val="7FEF2082"/>
    <w:rsid w:val="7FEF37FA"/>
    <w:rsid w:val="7FEF4BC5"/>
    <w:rsid w:val="7FEFE58B"/>
    <w:rsid w:val="7FEFF903"/>
    <w:rsid w:val="7FF10089"/>
    <w:rsid w:val="7FF4157B"/>
    <w:rsid w:val="7FF4C5B9"/>
    <w:rsid w:val="7FF57E66"/>
    <w:rsid w:val="7FF722E3"/>
    <w:rsid w:val="7FF73947"/>
    <w:rsid w:val="7FF74FAF"/>
    <w:rsid w:val="7FF7D403"/>
    <w:rsid w:val="7FF7E102"/>
    <w:rsid w:val="7FF88306"/>
    <w:rsid w:val="7FFA9552"/>
    <w:rsid w:val="7FFB4AC7"/>
    <w:rsid w:val="7FFBC578"/>
    <w:rsid w:val="7FFBE056"/>
    <w:rsid w:val="7FFBEFF7"/>
    <w:rsid w:val="7FFBFB15"/>
    <w:rsid w:val="7FFCC8E5"/>
    <w:rsid w:val="7FFD0957"/>
    <w:rsid w:val="7FFD1D91"/>
    <w:rsid w:val="7FFD1DA1"/>
    <w:rsid w:val="7FFD3492"/>
    <w:rsid w:val="7FFD4691"/>
    <w:rsid w:val="7FFD7E10"/>
    <w:rsid w:val="7FFD88AA"/>
    <w:rsid w:val="7FFDA763"/>
    <w:rsid w:val="7FFDF779"/>
    <w:rsid w:val="7FFE90A5"/>
    <w:rsid w:val="7FFEEAA6"/>
    <w:rsid w:val="7FFF1C0C"/>
    <w:rsid w:val="7FFF250F"/>
    <w:rsid w:val="7FFF31B0"/>
    <w:rsid w:val="7FFF3DC8"/>
    <w:rsid w:val="7FFF487E"/>
    <w:rsid w:val="7FFF4A90"/>
    <w:rsid w:val="7FFF5457"/>
    <w:rsid w:val="7FFF5E75"/>
    <w:rsid w:val="7FFFA240"/>
    <w:rsid w:val="7FFFA4EB"/>
    <w:rsid w:val="7FFFE444"/>
    <w:rsid w:val="7FFFFEB1"/>
    <w:rsid w:val="83E59360"/>
    <w:rsid w:val="83FDB215"/>
    <w:rsid w:val="83FF39F3"/>
    <w:rsid w:val="87B39FA3"/>
    <w:rsid w:val="8B7F122A"/>
    <w:rsid w:val="8B964181"/>
    <w:rsid w:val="8CBF3FFF"/>
    <w:rsid w:val="8CF9EAAB"/>
    <w:rsid w:val="8D9F1C4F"/>
    <w:rsid w:val="8DEF505F"/>
    <w:rsid w:val="8DF78FBC"/>
    <w:rsid w:val="8DFF1255"/>
    <w:rsid w:val="8DFFD420"/>
    <w:rsid w:val="8EDD2E02"/>
    <w:rsid w:val="8F9F77B3"/>
    <w:rsid w:val="8FDD0C49"/>
    <w:rsid w:val="8FDFD254"/>
    <w:rsid w:val="8FEFFAE0"/>
    <w:rsid w:val="8FFF0EB1"/>
    <w:rsid w:val="931715F9"/>
    <w:rsid w:val="936F7455"/>
    <w:rsid w:val="94F68FDF"/>
    <w:rsid w:val="94FF11FF"/>
    <w:rsid w:val="955F4313"/>
    <w:rsid w:val="95FB417D"/>
    <w:rsid w:val="95FF6CCF"/>
    <w:rsid w:val="96BD9DFA"/>
    <w:rsid w:val="97774202"/>
    <w:rsid w:val="9797DF7D"/>
    <w:rsid w:val="97BE4502"/>
    <w:rsid w:val="97FFBF98"/>
    <w:rsid w:val="995F49D6"/>
    <w:rsid w:val="9AFB4E60"/>
    <w:rsid w:val="9B294156"/>
    <w:rsid w:val="9B2A2C36"/>
    <w:rsid w:val="9B5FA97E"/>
    <w:rsid w:val="9BDF2FFD"/>
    <w:rsid w:val="9BF12DD7"/>
    <w:rsid w:val="9BF5ED61"/>
    <w:rsid w:val="9C7FC703"/>
    <w:rsid w:val="9CEED8AE"/>
    <w:rsid w:val="9D1C44B0"/>
    <w:rsid w:val="9D6F223C"/>
    <w:rsid w:val="9D7AB100"/>
    <w:rsid w:val="9DAFD2F0"/>
    <w:rsid w:val="9DDD55F2"/>
    <w:rsid w:val="9DDEB802"/>
    <w:rsid w:val="9DEF2BB9"/>
    <w:rsid w:val="9DFD264D"/>
    <w:rsid w:val="9E975E76"/>
    <w:rsid w:val="9EF66036"/>
    <w:rsid w:val="9EFF7D23"/>
    <w:rsid w:val="9EFFD2C1"/>
    <w:rsid w:val="9F3F6BBA"/>
    <w:rsid w:val="9F3FA6BC"/>
    <w:rsid w:val="9F5F8E23"/>
    <w:rsid w:val="9F7B616A"/>
    <w:rsid w:val="9F7CBDDF"/>
    <w:rsid w:val="9F7FA46F"/>
    <w:rsid w:val="9F9FB17D"/>
    <w:rsid w:val="9FAFAC11"/>
    <w:rsid w:val="9FB67F2A"/>
    <w:rsid w:val="9FB7A1A2"/>
    <w:rsid w:val="9FBE17CD"/>
    <w:rsid w:val="9FD5041F"/>
    <w:rsid w:val="9FD6FD4C"/>
    <w:rsid w:val="9FEA024F"/>
    <w:rsid w:val="9FEE5271"/>
    <w:rsid w:val="9FEF0377"/>
    <w:rsid w:val="9FEF61E3"/>
    <w:rsid w:val="9FF67C87"/>
    <w:rsid w:val="9FF751C2"/>
    <w:rsid w:val="9FFB2DDB"/>
    <w:rsid w:val="9FFDBF0F"/>
    <w:rsid w:val="9FFF43CE"/>
    <w:rsid w:val="9FFF5C9A"/>
    <w:rsid w:val="9FFF8ED2"/>
    <w:rsid w:val="9FFF9276"/>
    <w:rsid w:val="A1FF95C0"/>
    <w:rsid w:val="A4FDF8B2"/>
    <w:rsid w:val="A56E6DE0"/>
    <w:rsid w:val="A5D69D04"/>
    <w:rsid w:val="A5FFF134"/>
    <w:rsid w:val="A6DE1C43"/>
    <w:rsid w:val="A6F7262E"/>
    <w:rsid w:val="A76A2D53"/>
    <w:rsid w:val="A7D7051C"/>
    <w:rsid w:val="A7DE9F8C"/>
    <w:rsid w:val="A7E7B3AF"/>
    <w:rsid w:val="A7F7BB64"/>
    <w:rsid w:val="A7FCA32C"/>
    <w:rsid w:val="A7FF4975"/>
    <w:rsid w:val="AA1B686C"/>
    <w:rsid w:val="AB557C2A"/>
    <w:rsid w:val="AB6B38B7"/>
    <w:rsid w:val="ABB6DB26"/>
    <w:rsid w:val="ABB71C30"/>
    <w:rsid w:val="ABDB74BF"/>
    <w:rsid w:val="ABF72BAA"/>
    <w:rsid w:val="ABFBA41A"/>
    <w:rsid w:val="ABFF7F87"/>
    <w:rsid w:val="AC7376B2"/>
    <w:rsid w:val="ACFB8E6D"/>
    <w:rsid w:val="ACFE2AF2"/>
    <w:rsid w:val="AD5F7576"/>
    <w:rsid w:val="AD9FBD7E"/>
    <w:rsid w:val="ADB32626"/>
    <w:rsid w:val="ADBD1249"/>
    <w:rsid w:val="ADBD136E"/>
    <w:rsid w:val="ADFFC9A1"/>
    <w:rsid w:val="AE3F1A9A"/>
    <w:rsid w:val="AEDBFA7B"/>
    <w:rsid w:val="AEF33391"/>
    <w:rsid w:val="AEF6FA11"/>
    <w:rsid w:val="AF3FE0A9"/>
    <w:rsid w:val="AF7706DD"/>
    <w:rsid w:val="AF77254C"/>
    <w:rsid w:val="AF7B9456"/>
    <w:rsid w:val="AFCF1F82"/>
    <w:rsid w:val="AFDA5302"/>
    <w:rsid w:val="AFDE2058"/>
    <w:rsid w:val="AFF757BE"/>
    <w:rsid w:val="AFFD202E"/>
    <w:rsid w:val="B267941B"/>
    <w:rsid w:val="B2EF65AE"/>
    <w:rsid w:val="B35F0F9B"/>
    <w:rsid w:val="B3BF5673"/>
    <w:rsid w:val="B3F70E21"/>
    <w:rsid w:val="B3F8EDF6"/>
    <w:rsid w:val="B3FB0237"/>
    <w:rsid w:val="B3FB72EF"/>
    <w:rsid w:val="B41E6A9D"/>
    <w:rsid w:val="B4DF08D4"/>
    <w:rsid w:val="B4E55ADA"/>
    <w:rsid w:val="B4EC3F5F"/>
    <w:rsid w:val="B4ED73D1"/>
    <w:rsid w:val="B53DADE9"/>
    <w:rsid w:val="B5AF6BDA"/>
    <w:rsid w:val="B5BAD1AD"/>
    <w:rsid w:val="B5BEC459"/>
    <w:rsid w:val="B5BF45A6"/>
    <w:rsid w:val="B5BFC98A"/>
    <w:rsid w:val="B5D3C75D"/>
    <w:rsid w:val="B5DB6C91"/>
    <w:rsid w:val="B5DD178B"/>
    <w:rsid w:val="B5DECE72"/>
    <w:rsid w:val="B5DF086F"/>
    <w:rsid w:val="B67D2059"/>
    <w:rsid w:val="B67FC84B"/>
    <w:rsid w:val="B6AFC210"/>
    <w:rsid w:val="B6D78AB9"/>
    <w:rsid w:val="B6F394A4"/>
    <w:rsid w:val="B6FF92FF"/>
    <w:rsid w:val="B737A024"/>
    <w:rsid w:val="B73FAA22"/>
    <w:rsid w:val="B757FF24"/>
    <w:rsid w:val="B76B60E2"/>
    <w:rsid w:val="B7ACE797"/>
    <w:rsid w:val="B7BBA3A8"/>
    <w:rsid w:val="B7BFA3CF"/>
    <w:rsid w:val="B7C6EDCF"/>
    <w:rsid w:val="B7CB7B1D"/>
    <w:rsid w:val="B7DAF56C"/>
    <w:rsid w:val="B7DD0DB8"/>
    <w:rsid w:val="B7DEE547"/>
    <w:rsid w:val="B7EFD3E2"/>
    <w:rsid w:val="B7F2EFCD"/>
    <w:rsid w:val="B7F74EA6"/>
    <w:rsid w:val="B7F98CC8"/>
    <w:rsid w:val="B7F99515"/>
    <w:rsid w:val="B7FBACDC"/>
    <w:rsid w:val="B7FC9A18"/>
    <w:rsid w:val="B7FD03FC"/>
    <w:rsid w:val="B7FD2F84"/>
    <w:rsid w:val="B7FD3B7D"/>
    <w:rsid w:val="B7FE0708"/>
    <w:rsid w:val="B7FE4841"/>
    <w:rsid w:val="B7FE744E"/>
    <w:rsid w:val="B7FEF8CE"/>
    <w:rsid w:val="B7FFE184"/>
    <w:rsid w:val="B8DC2CB3"/>
    <w:rsid w:val="B9B37872"/>
    <w:rsid w:val="B9D12C80"/>
    <w:rsid w:val="B9DDF53E"/>
    <w:rsid w:val="B9E78C5E"/>
    <w:rsid w:val="B9ED25D0"/>
    <w:rsid w:val="B9F7A3B8"/>
    <w:rsid w:val="B9FB4F89"/>
    <w:rsid w:val="BA4651ED"/>
    <w:rsid w:val="BA7F3884"/>
    <w:rsid w:val="BAB71E37"/>
    <w:rsid w:val="BAEF27EB"/>
    <w:rsid w:val="BAF141BC"/>
    <w:rsid w:val="BAFAF203"/>
    <w:rsid w:val="BAFC25E0"/>
    <w:rsid w:val="BAFF2045"/>
    <w:rsid w:val="BAFFAFDC"/>
    <w:rsid w:val="BB360D08"/>
    <w:rsid w:val="BB3F5291"/>
    <w:rsid w:val="BB47DE59"/>
    <w:rsid w:val="BB572791"/>
    <w:rsid w:val="BB5D3999"/>
    <w:rsid w:val="BB774697"/>
    <w:rsid w:val="BB7F3B17"/>
    <w:rsid w:val="BB943487"/>
    <w:rsid w:val="BBB76DF4"/>
    <w:rsid w:val="BBBE2AEB"/>
    <w:rsid w:val="BBC595C1"/>
    <w:rsid w:val="BBD72C90"/>
    <w:rsid w:val="BBDB51A7"/>
    <w:rsid w:val="BBDBFEE2"/>
    <w:rsid w:val="BBDFABEE"/>
    <w:rsid w:val="BBDFDA47"/>
    <w:rsid w:val="BBE1C08A"/>
    <w:rsid w:val="BBE7AB3B"/>
    <w:rsid w:val="BBEF43D6"/>
    <w:rsid w:val="BBFCDA8A"/>
    <w:rsid w:val="BBFCDFDF"/>
    <w:rsid w:val="BBFD4013"/>
    <w:rsid w:val="BBFDC474"/>
    <w:rsid w:val="BBFDD411"/>
    <w:rsid w:val="BBFFD33E"/>
    <w:rsid w:val="BC4F5338"/>
    <w:rsid w:val="BC7FEAD6"/>
    <w:rsid w:val="BCFFF29B"/>
    <w:rsid w:val="BD6F74BB"/>
    <w:rsid w:val="BD7B39E0"/>
    <w:rsid w:val="BDAD0F2E"/>
    <w:rsid w:val="BDB74512"/>
    <w:rsid w:val="BDBD4BDD"/>
    <w:rsid w:val="BDBDAACD"/>
    <w:rsid w:val="BDBE26D6"/>
    <w:rsid w:val="BDCC67FF"/>
    <w:rsid w:val="BDCFC426"/>
    <w:rsid w:val="BDCFDA67"/>
    <w:rsid w:val="BDD53BB8"/>
    <w:rsid w:val="BDDAB90B"/>
    <w:rsid w:val="BDDF72F2"/>
    <w:rsid w:val="BDDFF735"/>
    <w:rsid w:val="BDE71836"/>
    <w:rsid w:val="BDF8E5A8"/>
    <w:rsid w:val="BDF904EA"/>
    <w:rsid w:val="BDF9A271"/>
    <w:rsid w:val="BDFEBDDC"/>
    <w:rsid w:val="BDFF7BC1"/>
    <w:rsid w:val="BE2EC49F"/>
    <w:rsid w:val="BE3BDBAE"/>
    <w:rsid w:val="BE5F346C"/>
    <w:rsid w:val="BE6B1CBD"/>
    <w:rsid w:val="BE7580C3"/>
    <w:rsid w:val="BE7E8399"/>
    <w:rsid w:val="BE7F9D9C"/>
    <w:rsid w:val="BE7FC33C"/>
    <w:rsid w:val="BEAD0A71"/>
    <w:rsid w:val="BEBFC497"/>
    <w:rsid w:val="BEBFDB68"/>
    <w:rsid w:val="BEDE5F64"/>
    <w:rsid w:val="BEEF0341"/>
    <w:rsid w:val="BEEF251D"/>
    <w:rsid w:val="BEEF3269"/>
    <w:rsid w:val="BEFF58EF"/>
    <w:rsid w:val="BEFFF216"/>
    <w:rsid w:val="BF0A6711"/>
    <w:rsid w:val="BF1F7393"/>
    <w:rsid w:val="BF25BA91"/>
    <w:rsid w:val="BF3343E5"/>
    <w:rsid w:val="BF5D2697"/>
    <w:rsid w:val="BF6FB6B2"/>
    <w:rsid w:val="BF75A9A5"/>
    <w:rsid w:val="BF78FBFD"/>
    <w:rsid w:val="BF7BE57E"/>
    <w:rsid w:val="BF7CECDC"/>
    <w:rsid w:val="BF7D6BF1"/>
    <w:rsid w:val="BF7E2C07"/>
    <w:rsid w:val="BF7E6B93"/>
    <w:rsid w:val="BF7F0C0B"/>
    <w:rsid w:val="BF7F6831"/>
    <w:rsid w:val="BF7FB128"/>
    <w:rsid w:val="BF7FF65A"/>
    <w:rsid w:val="BF9F1542"/>
    <w:rsid w:val="BF9F58D7"/>
    <w:rsid w:val="BFA77635"/>
    <w:rsid w:val="BFAB60BF"/>
    <w:rsid w:val="BFAD531D"/>
    <w:rsid w:val="BFB7371E"/>
    <w:rsid w:val="BFB9C019"/>
    <w:rsid w:val="BFBB4E97"/>
    <w:rsid w:val="BFBD83D3"/>
    <w:rsid w:val="BFBDAC19"/>
    <w:rsid w:val="BFBE5BD7"/>
    <w:rsid w:val="BFBF48AA"/>
    <w:rsid w:val="BFBFA1C1"/>
    <w:rsid w:val="BFBFBF27"/>
    <w:rsid w:val="BFC33D45"/>
    <w:rsid w:val="BFD6E57A"/>
    <w:rsid w:val="BFE74C08"/>
    <w:rsid w:val="BFE7A46F"/>
    <w:rsid w:val="BFEA6DC9"/>
    <w:rsid w:val="BFEB0AD3"/>
    <w:rsid w:val="BFEB2C42"/>
    <w:rsid w:val="BFEB53F7"/>
    <w:rsid w:val="BFEF26BE"/>
    <w:rsid w:val="BFEF6313"/>
    <w:rsid w:val="BFEFBFC7"/>
    <w:rsid w:val="BFF2D1A8"/>
    <w:rsid w:val="BFF33667"/>
    <w:rsid w:val="BFF41435"/>
    <w:rsid w:val="BFF653F4"/>
    <w:rsid w:val="BFF71C7E"/>
    <w:rsid w:val="BFF74E39"/>
    <w:rsid w:val="BFF942F8"/>
    <w:rsid w:val="BFF95543"/>
    <w:rsid w:val="BFFA27EE"/>
    <w:rsid w:val="BFFB0BEF"/>
    <w:rsid w:val="BFFB7AA8"/>
    <w:rsid w:val="BFFBD36D"/>
    <w:rsid w:val="BFFD39FF"/>
    <w:rsid w:val="BFFD4E78"/>
    <w:rsid w:val="BFFD72B0"/>
    <w:rsid w:val="BFFDEEC0"/>
    <w:rsid w:val="BFFEE067"/>
    <w:rsid w:val="BFFF0C87"/>
    <w:rsid w:val="BFFF2DC4"/>
    <w:rsid w:val="BFFFB9A0"/>
    <w:rsid w:val="BFFFBA01"/>
    <w:rsid w:val="C13D46F6"/>
    <w:rsid w:val="C2731D21"/>
    <w:rsid w:val="C3752CDD"/>
    <w:rsid w:val="C37F8915"/>
    <w:rsid w:val="C39FFF79"/>
    <w:rsid w:val="C4F7A977"/>
    <w:rsid w:val="C5FF0B95"/>
    <w:rsid w:val="C6B9C59D"/>
    <w:rsid w:val="C6FF1E32"/>
    <w:rsid w:val="C6FFABDF"/>
    <w:rsid w:val="C75E2051"/>
    <w:rsid w:val="C7BE55DB"/>
    <w:rsid w:val="C7CA8611"/>
    <w:rsid w:val="C7EBB6FD"/>
    <w:rsid w:val="C7F76CB8"/>
    <w:rsid w:val="C7FA8390"/>
    <w:rsid w:val="C7FF8C09"/>
    <w:rsid w:val="C8BE061E"/>
    <w:rsid w:val="C97EC343"/>
    <w:rsid w:val="C9DE2A5F"/>
    <w:rsid w:val="C9F7AD69"/>
    <w:rsid w:val="CAEC67DC"/>
    <w:rsid w:val="CAFF0F27"/>
    <w:rsid w:val="CB7FA3CB"/>
    <w:rsid w:val="CB7FF9E3"/>
    <w:rsid w:val="CBA5DD9A"/>
    <w:rsid w:val="CD22791A"/>
    <w:rsid w:val="CD5D761D"/>
    <w:rsid w:val="CD7641BC"/>
    <w:rsid w:val="CDBF85D2"/>
    <w:rsid w:val="CDD7D95E"/>
    <w:rsid w:val="CDDFE49C"/>
    <w:rsid w:val="CDF95FB5"/>
    <w:rsid w:val="CDFF620B"/>
    <w:rsid w:val="CE0D2BBE"/>
    <w:rsid w:val="CE0E6FAD"/>
    <w:rsid w:val="CE2FF17F"/>
    <w:rsid w:val="CE5DED78"/>
    <w:rsid w:val="CE7EA83F"/>
    <w:rsid w:val="CEA301C2"/>
    <w:rsid w:val="CECC6066"/>
    <w:rsid w:val="CEEBDD0A"/>
    <w:rsid w:val="CF2ACEB1"/>
    <w:rsid w:val="CF4B0F12"/>
    <w:rsid w:val="CF571E4B"/>
    <w:rsid w:val="CF775517"/>
    <w:rsid w:val="CFACF9BC"/>
    <w:rsid w:val="CFB69433"/>
    <w:rsid w:val="CFB7CDC7"/>
    <w:rsid w:val="CFBEA803"/>
    <w:rsid w:val="CFD4183B"/>
    <w:rsid w:val="CFD7F72C"/>
    <w:rsid w:val="CFDD10F7"/>
    <w:rsid w:val="CFE7AA4D"/>
    <w:rsid w:val="CFE7FC4B"/>
    <w:rsid w:val="CFFA2499"/>
    <w:rsid w:val="CFFF5C11"/>
    <w:rsid w:val="CFFF640A"/>
    <w:rsid w:val="CFFF75C8"/>
    <w:rsid w:val="D0F934DC"/>
    <w:rsid w:val="D1BF2CE1"/>
    <w:rsid w:val="D1FD4A3B"/>
    <w:rsid w:val="D1FF79E9"/>
    <w:rsid w:val="D2DF0EBC"/>
    <w:rsid w:val="D37BB188"/>
    <w:rsid w:val="D37F1CDB"/>
    <w:rsid w:val="D3A772F3"/>
    <w:rsid w:val="D3CF7867"/>
    <w:rsid w:val="D3F5CD87"/>
    <w:rsid w:val="D3FA8346"/>
    <w:rsid w:val="D3FFE441"/>
    <w:rsid w:val="D4EE833E"/>
    <w:rsid w:val="D4F3FD1A"/>
    <w:rsid w:val="D5578B26"/>
    <w:rsid w:val="D55D6020"/>
    <w:rsid w:val="D57D768F"/>
    <w:rsid w:val="D5DBF5D2"/>
    <w:rsid w:val="D5EF278D"/>
    <w:rsid w:val="D5FAA8F5"/>
    <w:rsid w:val="D5FE1320"/>
    <w:rsid w:val="D5FF3551"/>
    <w:rsid w:val="D67B6AF0"/>
    <w:rsid w:val="D67F26EE"/>
    <w:rsid w:val="D68FC395"/>
    <w:rsid w:val="D6B7398E"/>
    <w:rsid w:val="D6DF94FD"/>
    <w:rsid w:val="D71A3079"/>
    <w:rsid w:val="D76E2F1E"/>
    <w:rsid w:val="D7724A82"/>
    <w:rsid w:val="D77F483D"/>
    <w:rsid w:val="D77FED32"/>
    <w:rsid w:val="D7AF958E"/>
    <w:rsid w:val="D7BF2FC6"/>
    <w:rsid w:val="D7DB6DCC"/>
    <w:rsid w:val="D7DD78D7"/>
    <w:rsid w:val="D7DF50F0"/>
    <w:rsid w:val="D7DF7E8E"/>
    <w:rsid w:val="D7DF8643"/>
    <w:rsid w:val="D7E93BB7"/>
    <w:rsid w:val="D7EAC0F7"/>
    <w:rsid w:val="D7EDD2A9"/>
    <w:rsid w:val="D7EF23C3"/>
    <w:rsid w:val="D7EFA52F"/>
    <w:rsid w:val="D7EFC391"/>
    <w:rsid w:val="D7F7F2AB"/>
    <w:rsid w:val="D7F85B1D"/>
    <w:rsid w:val="D7FCBE7C"/>
    <w:rsid w:val="D7FD586E"/>
    <w:rsid w:val="D7FE0932"/>
    <w:rsid w:val="D89CC2A3"/>
    <w:rsid w:val="D8F34E58"/>
    <w:rsid w:val="D8FEFF63"/>
    <w:rsid w:val="D95FD199"/>
    <w:rsid w:val="D9BF04F9"/>
    <w:rsid w:val="D9E7511B"/>
    <w:rsid w:val="D9E754ED"/>
    <w:rsid w:val="D9F516A5"/>
    <w:rsid w:val="D9F6EB6F"/>
    <w:rsid w:val="D9FE2277"/>
    <w:rsid w:val="D9FEE863"/>
    <w:rsid w:val="D9FF4756"/>
    <w:rsid w:val="D9FFDE06"/>
    <w:rsid w:val="DA579354"/>
    <w:rsid w:val="DA7F3442"/>
    <w:rsid w:val="DAB29172"/>
    <w:rsid w:val="DAC7524A"/>
    <w:rsid w:val="DAFBDD48"/>
    <w:rsid w:val="DAFBFBCF"/>
    <w:rsid w:val="DAFFAC6B"/>
    <w:rsid w:val="DAFFDFC8"/>
    <w:rsid w:val="DB2F6085"/>
    <w:rsid w:val="DB3E09C5"/>
    <w:rsid w:val="DB5C873D"/>
    <w:rsid w:val="DB5F6419"/>
    <w:rsid w:val="DB6F1A21"/>
    <w:rsid w:val="DB749F5A"/>
    <w:rsid w:val="DB78E05B"/>
    <w:rsid w:val="DB7B1CB4"/>
    <w:rsid w:val="DB9A6A83"/>
    <w:rsid w:val="DB9F00E5"/>
    <w:rsid w:val="DB9F4B65"/>
    <w:rsid w:val="DBAECAA0"/>
    <w:rsid w:val="DBB97026"/>
    <w:rsid w:val="DBBE5396"/>
    <w:rsid w:val="DBCCE519"/>
    <w:rsid w:val="DBDB38D7"/>
    <w:rsid w:val="DBDB6DC8"/>
    <w:rsid w:val="DBDF2405"/>
    <w:rsid w:val="DBEEF701"/>
    <w:rsid w:val="DBEFCD45"/>
    <w:rsid w:val="DBFCA1A2"/>
    <w:rsid w:val="DBFF1D17"/>
    <w:rsid w:val="DBFF8E89"/>
    <w:rsid w:val="DBFF9AE7"/>
    <w:rsid w:val="DBFFD7BD"/>
    <w:rsid w:val="DC4C70FF"/>
    <w:rsid w:val="DC67DF90"/>
    <w:rsid w:val="DC7D43D7"/>
    <w:rsid w:val="DC91B064"/>
    <w:rsid w:val="DCDE69B8"/>
    <w:rsid w:val="DCEA6D7F"/>
    <w:rsid w:val="DCF6F144"/>
    <w:rsid w:val="DCFA8FD8"/>
    <w:rsid w:val="DCFF2C51"/>
    <w:rsid w:val="DCFF5EEC"/>
    <w:rsid w:val="DD35914E"/>
    <w:rsid w:val="DD5D6725"/>
    <w:rsid w:val="DD665B96"/>
    <w:rsid w:val="DD67001D"/>
    <w:rsid w:val="DD735960"/>
    <w:rsid w:val="DD765C36"/>
    <w:rsid w:val="DD7F54D6"/>
    <w:rsid w:val="DD9DF61B"/>
    <w:rsid w:val="DDB69F4E"/>
    <w:rsid w:val="DDBFDE32"/>
    <w:rsid w:val="DDDD0AA7"/>
    <w:rsid w:val="DDDF64EC"/>
    <w:rsid w:val="DDEBC9A9"/>
    <w:rsid w:val="DDFB9388"/>
    <w:rsid w:val="DDFEB2DD"/>
    <w:rsid w:val="DE3FFB6D"/>
    <w:rsid w:val="DE472184"/>
    <w:rsid w:val="DE7504DF"/>
    <w:rsid w:val="DE75E3F8"/>
    <w:rsid w:val="DE768D51"/>
    <w:rsid w:val="DE7F0BEC"/>
    <w:rsid w:val="DE9EFDFF"/>
    <w:rsid w:val="DEAB16AC"/>
    <w:rsid w:val="DEB68154"/>
    <w:rsid w:val="DEBF2B78"/>
    <w:rsid w:val="DECFB6F9"/>
    <w:rsid w:val="DED78786"/>
    <w:rsid w:val="DEDBC2A5"/>
    <w:rsid w:val="DEDE8F5B"/>
    <w:rsid w:val="DEEED69C"/>
    <w:rsid w:val="DEF65DE9"/>
    <w:rsid w:val="DEFDFBA4"/>
    <w:rsid w:val="DEFFA625"/>
    <w:rsid w:val="DEFFC284"/>
    <w:rsid w:val="DF1F2D30"/>
    <w:rsid w:val="DF27F0B0"/>
    <w:rsid w:val="DF32462A"/>
    <w:rsid w:val="DF4FE8C3"/>
    <w:rsid w:val="DF4FFAAA"/>
    <w:rsid w:val="DF5FE1D6"/>
    <w:rsid w:val="DF67F927"/>
    <w:rsid w:val="DF6BB96C"/>
    <w:rsid w:val="DF6E094D"/>
    <w:rsid w:val="DF6F41EA"/>
    <w:rsid w:val="DF7915B7"/>
    <w:rsid w:val="DF797530"/>
    <w:rsid w:val="DF7A6A64"/>
    <w:rsid w:val="DF7B6BB3"/>
    <w:rsid w:val="DF7D1B7C"/>
    <w:rsid w:val="DF7F095C"/>
    <w:rsid w:val="DF7F31D9"/>
    <w:rsid w:val="DF7FB390"/>
    <w:rsid w:val="DF85398A"/>
    <w:rsid w:val="DF8B06D9"/>
    <w:rsid w:val="DF96D4FE"/>
    <w:rsid w:val="DF9AA96F"/>
    <w:rsid w:val="DF9F3019"/>
    <w:rsid w:val="DF9FCAF8"/>
    <w:rsid w:val="DFAF7798"/>
    <w:rsid w:val="DFB66CE7"/>
    <w:rsid w:val="DFB73750"/>
    <w:rsid w:val="DFBD77ED"/>
    <w:rsid w:val="DFBFBFE9"/>
    <w:rsid w:val="DFC9BC33"/>
    <w:rsid w:val="DFD7D1A0"/>
    <w:rsid w:val="DFDBD44C"/>
    <w:rsid w:val="DFDE3236"/>
    <w:rsid w:val="DFDE74BA"/>
    <w:rsid w:val="DFE387D4"/>
    <w:rsid w:val="DFE4284F"/>
    <w:rsid w:val="DFEB9B3D"/>
    <w:rsid w:val="DFED19E0"/>
    <w:rsid w:val="DFEE57CF"/>
    <w:rsid w:val="DFEFB452"/>
    <w:rsid w:val="DFEFBFAF"/>
    <w:rsid w:val="DFF1FD59"/>
    <w:rsid w:val="DFF3C95C"/>
    <w:rsid w:val="DFF50829"/>
    <w:rsid w:val="DFF752D7"/>
    <w:rsid w:val="DFF948E9"/>
    <w:rsid w:val="DFFA4849"/>
    <w:rsid w:val="DFFBF5F9"/>
    <w:rsid w:val="DFFE81F4"/>
    <w:rsid w:val="DFFE8885"/>
    <w:rsid w:val="DFFEC56E"/>
    <w:rsid w:val="DFFF06F0"/>
    <w:rsid w:val="DFFF17FB"/>
    <w:rsid w:val="DFFF25A5"/>
    <w:rsid w:val="DFFF5C9B"/>
    <w:rsid w:val="DFFF7EE4"/>
    <w:rsid w:val="DFFFBFF2"/>
    <w:rsid w:val="DFFFC836"/>
    <w:rsid w:val="DFFFEFC5"/>
    <w:rsid w:val="E0DE7974"/>
    <w:rsid w:val="E196290A"/>
    <w:rsid w:val="E1EF9DFE"/>
    <w:rsid w:val="E2F926BB"/>
    <w:rsid w:val="E2FF7EE8"/>
    <w:rsid w:val="E337A866"/>
    <w:rsid w:val="E345EEB8"/>
    <w:rsid w:val="E3679A36"/>
    <w:rsid w:val="E377C2C3"/>
    <w:rsid w:val="E37C921D"/>
    <w:rsid w:val="E37DDC42"/>
    <w:rsid w:val="E3BBF84A"/>
    <w:rsid w:val="E3DF0CA4"/>
    <w:rsid w:val="E3DF52B1"/>
    <w:rsid w:val="E3DFFB7F"/>
    <w:rsid w:val="E3FF38A0"/>
    <w:rsid w:val="E43FBA99"/>
    <w:rsid w:val="E57FB85D"/>
    <w:rsid w:val="E59FDEBF"/>
    <w:rsid w:val="E5BB5F97"/>
    <w:rsid w:val="E5DD01D9"/>
    <w:rsid w:val="E5E30141"/>
    <w:rsid w:val="E5FCD7F3"/>
    <w:rsid w:val="E5FF0CC1"/>
    <w:rsid w:val="E5FFCA07"/>
    <w:rsid w:val="E5FFEF29"/>
    <w:rsid w:val="E62FA252"/>
    <w:rsid w:val="E6E7FE9C"/>
    <w:rsid w:val="E74DC7C3"/>
    <w:rsid w:val="E77BAE1C"/>
    <w:rsid w:val="E7AD4E93"/>
    <w:rsid w:val="E7BA9530"/>
    <w:rsid w:val="E7BE7DB3"/>
    <w:rsid w:val="E7D9E382"/>
    <w:rsid w:val="E7EF950A"/>
    <w:rsid w:val="E7F74A5C"/>
    <w:rsid w:val="E7F76C4E"/>
    <w:rsid w:val="E7F79FA8"/>
    <w:rsid w:val="E7FA9622"/>
    <w:rsid w:val="E7FDAB03"/>
    <w:rsid w:val="E7FDDBF5"/>
    <w:rsid w:val="E7FDEEEE"/>
    <w:rsid w:val="E7FFD9D6"/>
    <w:rsid w:val="E8DF86EE"/>
    <w:rsid w:val="E8F7F1F0"/>
    <w:rsid w:val="E97120CE"/>
    <w:rsid w:val="E99F5413"/>
    <w:rsid w:val="E9BF1D36"/>
    <w:rsid w:val="E9CF5F7B"/>
    <w:rsid w:val="E9DF001A"/>
    <w:rsid w:val="E9FE44BC"/>
    <w:rsid w:val="EA5F4718"/>
    <w:rsid w:val="EA93BB3E"/>
    <w:rsid w:val="EABFBB69"/>
    <w:rsid w:val="EAF71CA6"/>
    <w:rsid w:val="EAFF95CD"/>
    <w:rsid w:val="EB07C82F"/>
    <w:rsid w:val="EB4FFAFC"/>
    <w:rsid w:val="EB73CECC"/>
    <w:rsid w:val="EB7E2A18"/>
    <w:rsid w:val="EB7F1BCF"/>
    <w:rsid w:val="EB8FE47C"/>
    <w:rsid w:val="EB9F62E6"/>
    <w:rsid w:val="EBB736AE"/>
    <w:rsid w:val="EBBE190A"/>
    <w:rsid w:val="EBD75843"/>
    <w:rsid w:val="EBE7A41E"/>
    <w:rsid w:val="EBF51BAB"/>
    <w:rsid w:val="EBF7795D"/>
    <w:rsid w:val="EBFD1589"/>
    <w:rsid w:val="EBFEBFD6"/>
    <w:rsid w:val="EBFFB803"/>
    <w:rsid w:val="EC5B6C08"/>
    <w:rsid w:val="EC5D5850"/>
    <w:rsid w:val="EC9B763A"/>
    <w:rsid w:val="ECD4ACF8"/>
    <w:rsid w:val="ECF51DD2"/>
    <w:rsid w:val="ECF75E6A"/>
    <w:rsid w:val="ED5F9D67"/>
    <w:rsid w:val="ED9EDE5A"/>
    <w:rsid w:val="EDA4120F"/>
    <w:rsid w:val="EDA73382"/>
    <w:rsid w:val="EDBF274B"/>
    <w:rsid w:val="EDBF9E3D"/>
    <w:rsid w:val="EDDBF8FD"/>
    <w:rsid w:val="EDDDDC5F"/>
    <w:rsid w:val="EDDE0704"/>
    <w:rsid w:val="EDDF6B5A"/>
    <w:rsid w:val="EDE21B0F"/>
    <w:rsid w:val="EDEB55D7"/>
    <w:rsid w:val="EDEBAAED"/>
    <w:rsid w:val="EDF58937"/>
    <w:rsid w:val="EDF894A9"/>
    <w:rsid w:val="EDF9BC2E"/>
    <w:rsid w:val="EDFB1E57"/>
    <w:rsid w:val="EDFC28F7"/>
    <w:rsid w:val="EDFD65F0"/>
    <w:rsid w:val="EDFE53A6"/>
    <w:rsid w:val="EDFEB9B8"/>
    <w:rsid w:val="EDFFE13D"/>
    <w:rsid w:val="EE3B67C5"/>
    <w:rsid w:val="EE6F606D"/>
    <w:rsid w:val="EE7612A2"/>
    <w:rsid w:val="EE77412B"/>
    <w:rsid w:val="EE7F3F9B"/>
    <w:rsid w:val="EE7FB600"/>
    <w:rsid w:val="EE7FD042"/>
    <w:rsid w:val="EE95114D"/>
    <w:rsid w:val="EEA36037"/>
    <w:rsid w:val="EEA74941"/>
    <w:rsid w:val="EEABD305"/>
    <w:rsid w:val="EEAF6956"/>
    <w:rsid w:val="EEB7A7DA"/>
    <w:rsid w:val="EEBB6346"/>
    <w:rsid w:val="EEBE212B"/>
    <w:rsid w:val="EEBFDD34"/>
    <w:rsid w:val="EEEFE554"/>
    <w:rsid w:val="EEF3FB0E"/>
    <w:rsid w:val="EEF3FEBC"/>
    <w:rsid w:val="EEF75386"/>
    <w:rsid w:val="EEFF1112"/>
    <w:rsid w:val="EEFF634B"/>
    <w:rsid w:val="EEFFDE94"/>
    <w:rsid w:val="EF1EE17D"/>
    <w:rsid w:val="EF3B83F3"/>
    <w:rsid w:val="EF3FACC1"/>
    <w:rsid w:val="EF52B055"/>
    <w:rsid w:val="EF5E1872"/>
    <w:rsid w:val="EF5E5C68"/>
    <w:rsid w:val="EF5F5D99"/>
    <w:rsid w:val="EF6D7CCD"/>
    <w:rsid w:val="EF6F2685"/>
    <w:rsid w:val="EF7779AB"/>
    <w:rsid w:val="EF7BEBB5"/>
    <w:rsid w:val="EF7D5968"/>
    <w:rsid w:val="EF7ED8F4"/>
    <w:rsid w:val="EF7F0C98"/>
    <w:rsid w:val="EF7F3E34"/>
    <w:rsid w:val="EF7F4B4D"/>
    <w:rsid w:val="EF9A0829"/>
    <w:rsid w:val="EF9FB113"/>
    <w:rsid w:val="EFADB054"/>
    <w:rsid w:val="EFAF0D5B"/>
    <w:rsid w:val="EFAFE7AA"/>
    <w:rsid w:val="EFBE6158"/>
    <w:rsid w:val="EFCF48DA"/>
    <w:rsid w:val="EFD576DA"/>
    <w:rsid w:val="EFDFBEC1"/>
    <w:rsid w:val="EFDFC412"/>
    <w:rsid w:val="EFDFE6A3"/>
    <w:rsid w:val="EFE64A47"/>
    <w:rsid w:val="EFE72690"/>
    <w:rsid w:val="EFE7DB9C"/>
    <w:rsid w:val="EFE7FB10"/>
    <w:rsid w:val="EFE929AC"/>
    <w:rsid w:val="EFEC6E2A"/>
    <w:rsid w:val="EFED98E0"/>
    <w:rsid w:val="EFEF2A30"/>
    <w:rsid w:val="EFEF885C"/>
    <w:rsid w:val="EFEFFF02"/>
    <w:rsid w:val="EFF3AE5B"/>
    <w:rsid w:val="EFF3E4DE"/>
    <w:rsid w:val="EFF7F24E"/>
    <w:rsid w:val="EFFB68E2"/>
    <w:rsid w:val="EFFB9FFE"/>
    <w:rsid w:val="EFFC6378"/>
    <w:rsid w:val="EFFC8DD2"/>
    <w:rsid w:val="EFFD985F"/>
    <w:rsid w:val="EFFDB1CF"/>
    <w:rsid w:val="EFFDC54F"/>
    <w:rsid w:val="EFFDCB7A"/>
    <w:rsid w:val="EFFF04E9"/>
    <w:rsid w:val="EFFF98CD"/>
    <w:rsid w:val="EFFFB38B"/>
    <w:rsid w:val="EFFFCBC8"/>
    <w:rsid w:val="EFFFEB73"/>
    <w:rsid w:val="EFFFEFCA"/>
    <w:rsid w:val="F015EB2D"/>
    <w:rsid w:val="F07D493F"/>
    <w:rsid w:val="F0D705C9"/>
    <w:rsid w:val="F0DFDB71"/>
    <w:rsid w:val="F0FF208C"/>
    <w:rsid w:val="F1CDE2EF"/>
    <w:rsid w:val="F1D70BF8"/>
    <w:rsid w:val="F1FF4655"/>
    <w:rsid w:val="F1FF8BD2"/>
    <w:rsid w:val="F2AF3611"/>
    <w:rsid w:val="F2AF77B3"/>
    <w:rsid w:val="F2BB49C3"/>
    <w:rsid w:val="F2BEB065"/>
    <w:rsid w:val="F2FD4143"/>
    <w:rsid w:val="F339977A"/>
    <w:rsid w:val="F35B05C3"/>
    <w:rsid w:val="F37D6018"/>
    <w:rsid w:val="F3979036"/>
    <w:rsid w:val="F3BF743E"/>
    <w:rsid w:val="F3BF8BF9"/>
    <w:rsid w:val="F3CD3966"/>
    <w:rsid w:val="F3DB0299"/>
    <w:rsid w:val="F3DFADCA"/>
    <w:rsid w:val="F3E5C3F0"/>
    <w:rsid w:val="F3EFF826"/>
    <w:rsid w:val="F3F532D2"/>
    <w:rsid w:val="F3FBA869"/>
    <w:rsid w:val="F3FD7437"/>
    <w:rsid w:val="F3FE7A32"/>
    <w:rsid w:val="F3FFD75F"/>
    <w:rsid w:val="F43FDE54"/>
    <w:rsid w:val="F473A4B6"/>
    <w:rsid w:val="F4778063"/>
    <w:rsid w:val="F49F002C"/>
    <w:rsid w:val="F4B7F2C6"/>
    <w:rsid w:val="F4C36AE0"/>
    <w:rsid w:val="F4C75959"/>
    <w:rsid w:val="F4DBA36B"/>
    <w:rsid w:val="F4EF3413"/>
    <w:rsid w:val="F4F9719C"/>
    <w:rsid w:val="F4FF2F68"/>
    <w:rsid w:val="F4FF366A"/>
    <w:rsid w:val="F4FF4B60"/>
    <w:rsid w:val="F4FF547D"/>
    <w:rsid w:val="F53F5DAB"/>
    <w:rsid w:val="F5703A16"/>
    <w:rsid w:val="F57B3BC0"/>
    <w:rsid w:val="F57EC80B"/>
    <w:rsid w:val="F57EFD26"/>
    <w:rsid w:val="F596CD85"/>
    <w:rsid w:val="F5BD07DF"/>
    <w:rsid w:val="F5BF5BD0"/>
    <w:rsid w:val="F5C62EC6"/>
    <w:rsid w:val="F5C748AB"/>
    <w:rsid w:val="F5DA79DD"/>
    <w:rsid w:val="F5DF0321"/>
    <w:rsid w:val="F5E38D88"/>
    <w:rsid w:val="F5EB03F1"/>
    <w:rsid w:val="F5EB0E28"/>
    <w:rsid w:val="F5EEC27A"/>
    <w:rsid w:val="F5EF69D0"/>
    <w:rsid w:val="F5F948B6"/>
    <w:rsid w:val="F5FB034A"/>
    <w:rsid w:val="F5FB8552"/>
    <w:rsid w:val="F5FEE626"/>
    <w:rsid w:val="F5FFB775"/>
    <w:rsid w:val="F65F01AB"/>
    <w:rsid w:val="F67D8C6B"/>
    <w:rsid w:val="F67EDAB6"/>
    <w:rsid w:val="F694008F"/>
    <w:rsid w:val="F696BDDF"/>
    <w:rsid w:val="F6BC0EE0"/>
    <w:rsid w:val="F6BFE770"/>
    <w:rsid w:val="F6CF6D28"/>
    <w:rsid w:val="F6CFF706"/>
    <w:rsid w:val="F6E97DB8"/>
    <w:rsid w:val="F6EB9582"/>
    <w:rsid w:val="F6EBEF60"/>
    <w:rsid w:val="F6EF5BFB"/>
    <w:rsid w:val="F6F375BD"/>
    <w:rsid w:val="F6F3BBA7"/>
    <w:rsid w:val="F6F9E451"/>
    <w:rsid w:val="F6FC6CE4"/>
    <w:rsid w:val="F6FFE955"/>
    <w:rsid w:val="F72559CA"/>
    <w:rsid w:val="F72F7D30"/>
    <w:rsid w:val="F73550C9"/>
    <w:rsid w:val="F739E75D"/>
    <w:rsid w:val="F73CA25A"/>
    <w:rsid w:val="F73F1D98"/>
    <w:rsid w:val="F73F7029"/>
    <w:rsid w:val="F755A15C"/>
    <w:rsid w:val="F7595FA6"/>
    <w:rsid w:val="F75B6D70"/>
    <w:rsid w:val="F75D3F7E"/>
    <w:rsid w:val="F75DC377"/>
    <w:rsid w:val="F76A78A6"/>
    <w:rsid w:val="F76BDDF3"/>
    <w:rsid w:val="F76D6409"/>
    <w:rsid w:val="F76F98FC"/>
    <w:rsid w:val="F76FA53F"/>
    <w:rsid w:val="F76FD604"/>
    <w:rsid w:val="F775B352"/>
    <w:rsid w:val="F779F31F"/>
    <w:rsid w:val="F77A2D62"/>
    <w:rsid w:val="F77F21CC"/>
    <w:rsid w:val="F77F4D87"/>
    <w:rsid w:val="F79F016E"/>
    <w:rsid w:val="F7A75E8E"/>
    <w:rsid w:val="F7AD3BB9"/>
    <w:rsid w:val="F7AF55CF"/>
    <w:rsid w:val="F7B3CB50"/>
    <w:rsid w:val="F7B5FECB"/>
    <w:rsid w:val="F7B7860C"/>
    <w:rsid w:val="F7B8C4F9"/>
    <w:rsid w:val="F7BBEBDC"/>
    <w:rsid w:val="F7BD2855"/>
    <w:rsid w:val="F7CDD0D2"/>
    <w:rsid w:val="F7D79E07"/>
    <w:rsid w:val="F7DD00F0"/>
    <w:rsid w:val="F7DDA7E0"/>
    <w:rsid w:val="F7DDC196"/>
    <w:rsid w:val="F7DEA9BD"/>
    <w:rsid w:val="F7DF357A"/>
    <w:rsid w:val="F7DF7703"/>
    <w:rsid w:val="F7E9DEBA"/>
    <w:rsid w:val="F7EEE66C"/>
    <w:rsid w:val="F7EFFE7D"/>
    <w:rsid w:val="F7F32CCB"/>
    <w:rsid w:val="F7F34219"/>
    <w:rsid w:val="F7F7EACE"/>
    <w:rsid w:val="F7FA812A"/>
    <w:rsid w:val="F7FB4BA3"/>
    <w:rsid w:val="F7FC4DEC"/>
    <w:rsid w:val="F7FDEC17"/>
    <w:rsid w:val="F7FE4E29"/>
    <w:rsid w:val="F7FEEFF4"/>
    <w:rsid w:val="F7FF0A84"/>
    <w:rsid w:val="F7FF592A"/>
    <w:rsid w:val="F7FF775E"/>
    <w:rsid w:val="F7FFF685"/>
    <w:rsid w:val="F87BFF15"/>
    <w:rsid w:val="F87E0E99"/>
    <w:rsid w:val="F8828D9B"/>
    <w:rsid w:val="F8F70281"/>
    <w:rsid w:val="F8FB43BC"/>
    <w:rsid w:val="F8FF950A"/>
    <w:rsid w:val="F8FFBCEB"/>
    <w:rsid w:val="F92FB623"/>
    <w:rsid w:val="F94FA4AB"/>
    <w:rsid w:val="F973C8FE"/>
    <w:rsid w:val="F97A6304"/>
    <w:rsid w:val="F97B17A7"/>
    <w:rsid w:val="F99EB409"/>
    <w:rsid w:val="F9A832FA"/>
    <w:rsid w:val="F9B39373"/>
    <w:rsid w:val="F9BC6619"/>
    <w:rsid w:val="F9D665EE"/>
    <w:rsid w:val="F9DE9933"/>
    <w:rsid w:val="F9DF2339"/>
    <w:rsid w:val="F9EBAE04"/>
    <w:rsid w:val="F9EE87F1"/>
    <w:rsid w:val="F9FBE6B1"/>
    <w:rsid w:val="F9FCBA95"/>
    <w:rsid w:val="F9FEE992"/>
    <w:rsid w:val="F9FF637D"/>
    <w:rsid w:val="F9FF7994"/>
    <w:rsid w:val="F9FFA6B2"/>
    <w:rsid w:val="F9FFD5E9"/>
    <w:rsid w:val="FA5F0480"/>
    <w:rsid w:val="FABB6B18"/>
    <w:rsid w:val="FABD52A3"/>
    <w:rsid w:val="FABFDF05"/>
    <w:rsid w:val="FADE495E"/>
    <w:rsid w:val="FADFBD0E"/>
    <w:rsid w:val="FADFF173"/>
    <w:rsid w:val="FAE11E62"/>
    <w:rsid w:val="FAEAE6F4"/>
    <w:rsid w:val="FAF7F702"/>
    <w:rsid w:val="FAFD41BD"/>
    <w:rsid w:val="FAFE154E"/>
    <w:rsid w:val="FAFEC97F"/>
    <w:rsid w:val="FAFF27BD"/>
    <w:rsid w:val="FAFF4FE3"/>
    <w:rsid w:val="FB3EDB51"/>
    <w:rsid w:val="FB3F496D"/>
    <w:rsid w:val="FB56246A"/>
    <w:rsid w:val="FB562937"/>
    <w:rsid w:val="FB5B36CD"/>
    <w:rsid w:val="FB5D5295"/>
    <w:rsid w:val="FB5E5ED5"/>
    <w:rsid w:val="FB5F3939"/>
    <w:rsid w:val="FB5F8520"/>
    <w:rsid w:val="FB66B6BC"/>
    <w:rsid w:val="FB79C85F"/>
    <w:rsid w:val="FB7AD835"/>
    <w:rsid w:val="FB7F5DD6"/>
    <w:rsid w:val="FB7F652A"/>
    <w:rsid w:val="FB7F870E"/>
    <w:rsid w:val="FB951F01"/>
    <w:rsid w:val="FBAD4609"/>
    <w:rsid w:val="FBAF52D4"/>
    <w:rsid w:val="FBAF52E4"/>
    <w:rsid w:val="FBAFECC6"/>
    <w:rsid w:val="FBB7A04C"/>
    <w:rsid w:val="FBBF51B6"/>
    <w:rsid w:val="FBD38076"/>
    <w:rsid w:val="FBD54724"/>
    <w:rsid w:val="FBD7D242"/>
    <w:rsid w:val="FBDB8B69"/>
    <w:rsid w:val="FBDFB951"/>
    <w:rsid w:val="FBE32F49"/>
    <w:rsid w:val="FBE62A81"/>
    <w:rsid w:val="FBEE4404"/>
    <w:rsid w:val="FBEF56C9"/>
    <w:rsid w:val="FBF260FA"/>
    <w:rsid w:val="FBF290BA"/>
    <w:rsid w:val="FBF34DCF"/>
    <w:rsid w:val="FBF7CD8C"/>
    <w:rsid w:val="FBF9190D"/>
    <w:rsid w:val="FBF9DD62"/>
    <w:rsid w:val="FBF9E57A"/>
    <w:rsid w:val="FBFC22FC"/>
    <w:rsid w:val="FBFD0EF4"/>
    <w:rsid w:val="FBFE081A"/>
    <w:rsid w:val="FBFE52DA"/>
    <w:rsid w:val="FBFE9489"/>
    <w:rsid w:val="FBFEB932"/>
    <w:rsid w:val="FBFF10B9"/>
    <w:rsid w:val="FBFF17E5"/>
    <w:rsid w:val="FBFF1EF3"/>
    <w:rsid w:val="FBFF24B9"/>
    <w:rsid w:val="FBFF945E"/>
    <w:rsid w:val="FC5F032E"/>
    <w:rsid w:val="FC6E6283"/>
    <w:rsid w:val="FC7747CB"/>
    <w:rsid w:val="FC7BC053"/>
    <w:rsid w:val="FC7D5569"/>
    <w:rsid w:val="FC7E0B5C"/>
    <w:rsid w:val="FC7F3BC4"/>
    <w:rsid w:val="FC8F5739"/>
    <w:rsid w:val="FC9FD6B2"/>
    <w:rsid w:val="FCB6AD8F"/>
    <w:rsid w:val="FCBFC082"/>
    <w:rsid w:val="FCC6A7CD"/>
    <w:rsid w:val="FCCC2984"/>
    <w:rsid w:val="FCE5BE1F"/>
    <w:rsid w:val="FCEFE24A"/>
    <w:rsid w:val="FCF1DEBA"/>
    <w:rsid w:val="FCF3199A"/>
    <w:rsid w:val="FCF7149B"/>
    <w:rsid w:val="FCFA9D44"/>
    <w:rsid w:val="FCFECE0D"/>
    <w:rsid w:val="FCFF05C1"/>
    <w:rsid w:val="FCFF9BD5"/>
    <w:rsid w:val="FD3722FC"/>
    <w:rsid w:val="FD374CDF"/>
    <w:rsid w:val="FD37E26E"/>
    <w:rsid w:val="FD3D0E73"/>
    <w:rsid w:val="FD3E638D"/>
    <w:rsid w:val="FD3E7485"/>
    <w:rsid w:val="FD458315"/>
    <w:rsid w:val="FD4DACA2"/>
    <w:rsid w:val="FD5D9EB9"/>
    <w:rsid w:val="FD5F6177"/>
    <w:rsid w:val="FD6749DE"/>
    <w:rsid w:val="FD67AE51"/>
    <w:rsid w:val="FD6D4D74"/>
    <w:rsid w:val="FD6E643D"/>
    <w:rsid w:val="FD6F7AB7"/>
    <w:rsid w:val="FD73A3DC"/>
    <w:rsid w:val="FD7AFF16"/>
    <w:rsid w:val="FD7BE909"/>
    <w:rsid w:val="FD7D2198"/>
    <w:rsid w:val="FD7F07FE"/>
    <w:rsid w:val="FD7FF8D1"/>
    <w:rsid w:val="FD9F98D8"/>
    <w:rsid w:val="FDA35F2E"/>
    <w:rsid w:val="FDBDCC19"/>
    <w:rsid w:val="FDBEC1F8"/>
    <w:rsid w:val="FDBF54C7"/>
    <w:rsid w:val="FDD5E44E"/>
    <w:rsid w:val="FDD7A2B8"/>
    <w:rsid w:val="FDDA5D7E"/>
    <w:rsid w:val="FDDDDFDE"/>
    <w:rsid w:val="FDDDEF04"/>
    <w:rsid w:val="FDDF74CA"/>
    <w:rsid w:val="FDE4F706"/>
    <w:rsid w:val="FDEB066F"/>
    <w:rsid w:val="FDEF37BA"/>
    <w:rsid w:val="FDEF7061"/>
    <w:rsid w:val="FDEF87BC"/>
    <w:rsid w:val="FDF3AD60"/>
    <w:rsid w:val="FDF7ADA8"/>
    <w:rsid w:val="FDF98BDA"/>
    <w:rsid w:val="FDF9A2CB"/>
    <w:rsid w:val="FDF9F429"/>
    <w:rsid w:val="FDFA0509"/>
    <w:rsid w:val="FDFAD313"/>
    <w:rsid w:val="FDFB3044"/>
    <w:rsid w:val="FDFBBAF4"/>
    <w:rsid w:val="FDFC4B69"/>
    <w:rsid w:val="FDFCADCA"/>
    <w:rsid w:val="FDFD1912"/>
    <w:rsid w:val="FDFD66E5"/>
    <w:rsid w:val="FDFD971D"/>
    <w:rsid w:val="FDFE185D"/>
    <w:rsid w:val="FDFE2351"/>
    <w:rsid w:val="FDFF59D2"/>
    <w:rsid w:val="FDFFAABF"/>
    <w:rsid w:val="FDFFC291"/>
    <w:rsid w:val="FDFFC8A9"/>
    <w:rsid w:val="FE199AE2"/>
    <w:rsid w:val="FE2744CB"/>
    <w:rsid w:val="FE3DA8DF"/>
    <w:rsid w:val="FE3F7829"/>
    <w:rsid w:val="FE550DEA"/>
    <w:rsid w:val="FE5DED2C"/>
    <w:rsid w:val="FE64F5AB"/>
    <w:rsid w:val="FE6F1302"/>
    <w:rsid w:val="FE6F4479"/>
    <w:rsid w:val="FE776666"/>
    <w:rsid w:val="FE7B68E6"/>
    <w:rsid w:val="FE7D7B01"/>
    <w:rsid w:val="FE7DA149"/>
    <w:rsid w:val="FE7F3FB5"/>
    <w:rsid w:val="FE7F9498"/>
    <w:rsid w:val="FE7FAA33"/>
    <w:rsid w:val="FE9E8FDF"/>
    <w:rsid w:val="FE9F7F65"/>
    <w:rsid w:val="FE9F808E"/>
    <w:rsid w:val="FEAF8328"/>
    <w:rsid w:val="FEBF3692"/>
    <w:rsid w:val="FEBF6FBB"/>
    <w:rsid w:val="FEBFB14B"/>
    <w:rsid w:val="FED685C3"/>
    <w:rsid w:val="FEDDF8BE"/>
    <w:rsid w:val="FEE7AF29"/>
    <w:rsid w:val="FEE7C8D8"/>
    <w:rsid w:val="FEEB145B"/>
    <w:rsid w:val="FEEB55A2"/>
    <w:rsid w:val="FEEF3CC2"/>
    <w:rsid w:val="FEF32B61"/>
    <w:rsid w:val="FEFE8294"/>
    <w:rsid w:val="FEFEB50F"/>
    <w:rsid w:val="FEFF336C"/>
    <w:rsid w:val="FEFF4584"/>
    <w:rsid w:val="FEFF5D85"/>
    <w:rsid w:val="FEFF7B77"/>
    <w:rsid w:val="FEFF7E41"/>
    <w:rsid w:val="FEFF9A5A"/>
    <w:rsid w:val="FEFF9B19"/>
    <w:rsid w:val="FEFFBF6A"/>
    <w:rsid w:val="FEFFF0EB"/>
    <w:rsid w:val="FF1C1AD6"/>
    <w:rsid w:val="FF2CE3E3"/>
    <w:rsid w:val="FF2DA9A6"/>
    <w:rsid w:val="FF3B398F"/>
    <w:rsid w:val="FF3D4481"/>
    <w:rsid w:val="FF3E500E"/>
    <w:rsid w:val="FF3E680A"/>
    <w:rsid w:val="FF3F6870"/>
    <w:rsid w:val="FF3F88FD"/>
    <w:rsid w:val="FF3FDC6A"/>
    <w:rsid w:val="FF4F0501"/>
    <w:rsid w:val="FF56C9F8"/>
    <w:rsid w:val="FF5B15C0"/>
    <w:rsid w:val="FF5B72BD"/>
    <w:rsid w:val="FF5F0765"/>
    <w:rsid w:val="FF5F91E7"/>
    <w:rsid w:val="FF6481E1"/>
    <w:rsid w:val="FF67E798"/>
    <w:rsid w:val="FF692B21"/>
    <w:rsid w:val="FF696D7B"/>
    <w:rsid w:val="FF6AB21A"/>
    <w:rsid w:val="FF6CE2C7"/>
    <w:rsid w:val="FF6D573B"/>
    <w:rsid w:val="FF6F509A"/>
    <w:rsid w:val="FF6F74B3"/>
    <w:rsid w:val="FF6F7B19"/>
    <w:rsid w:val="FF751BC8"/>
    <w:rsid w:val="FF76966C"/>
    <w:rsid w:val="FF78BE7E"/>
    <w:rsid w:val="FF7A43BB"/>
    <w:rsid w:val="FF7B3FFF"/>
    <w:rsid w:val="FF7B8808"/>
    <w:rsid w:val="FF7BA39D"/>
    <w:rsid w:val="FF7CB4D3"/>
    <w:rsid w:val="FF7D0BA6"/>
    <w:rsid w:val="FF7E264A"/>
    <w:rsid w:val="FF7E7A89"/>
    <w:rsid w:val="FF7E855C"/>
    <w:rsid w:val="FF7E95A2"/>
    <w:rsid w:val="FF7EA1C5"/>
    <w:rsid w:val="FF7F4844"/>
    <w:rsid w:val="FF7F95FF"/>
    <w:rsid w:val="FF7F9D05"/>
    <w:rsid w:val="FF7FD7E7"/>
    <w:rsid w:val="FF7FFEFA"/>
    <w:rsid w:val="FF8D8293"/>
    <w:rsid w:val="FF8F5AB4"/>
    <w:rsid w:val="FF98C9DF"/>
    <w:rsid w:val="FF9F7554"/>
    <w:rsid w:val="FFAB3989"/>
    <w:rsid w:val="FFAB5C29"/>
    <w:rsid w:val="FFAF97CF"/>
    <w:rsid w:val="FFAFA0A1"/>
    <w:rsid w:val="FFB0BAEC"/>
    <w:rsid w:val="FFB5C899"/>
    <w:rsid w:val="FFB6A8F2"/>
    <w:rsid w:val="FFB71392"/>
    <w:rsid w:val="FFB780B7"/>
    <w:rsid w:val="FFB7877B"/>
    <w:rsid w:val="FFB88B0C"/>
    <w:rsid w:val="FFB99453"/>
    <w:rsid w:val="FFB9DF4F"/>
    <w:rsid w:val="FFBA9CCF"/>
    <w:rsid w:val="FFBB616A"/>
    <w:rsid w:val="FFBB898A"/>
    <w:rsid w:val="FFBBA585"/>
    <w:rsid w:val="FFBC70E1"/>
    <w:rsid w:val="FFBD0B92"/>
    <w:rsid w:val="FFBE094E"/>
    <w:rsid w:val="FFBE09CE"/>
    <w:rsid w:val="FFBE304E"/>
    <w:rsid w:val="FFBECB5B"/>
    <w:rsid w:val="FFBF0407"/>
    <w:rsid w:val="FFBF1B6A"/>
    <w:rsid w:val="FFBF48A7"/>
    <w:rsid w:val="FFBF9834"/>
    <w:rsid w:val="FFBFB342"/>
    <w:rsid w:val="FFBFD284"/>
    <w:rsid w:val="FFC61425"/>
    <w:rsid w:val="FFC7DA29"/>
    <w:rsid w:val="FFC7FF38"/>
    <w:rsid w:val="FFCD5932"/>
    <w:rsid w:val="FFCF7064"/>
    <w:rsid w:val="FFCF9443"/>
    <w:rsid w:val="FFCFD9BF"/>
    <w:rsid w:val="FFCFF030"/>
    <w:rsid w:val="FFD2D2C6"/>
    <w:rsid w:val="FFD4A91A"/>
    <w:rsid w:val="FFD7022D"/>
    <w:rsid w:val="FFD7B0C2"/>
    <w:rsid w:val="FFD7DE79"/>
    <w:rsid w:val="FFD83BC3"/>
    <w:rsid w:val="FFDA9EBE"/>
    <w:rsid w:val="FFDF06AB"/>
    <w:rsid w:val="FFDF1F02"/>
    <w:rsid w:val="FFDF48AA"/>
    <w:rsid w:val="FFDF64EF"/>
    <w:rsid w:val="FFDFB22D"/>
    <w:rsid w:val="FFDFFD17"/>
    <w:rsid w:val="FFED559D"/>
    <w:rsid w:val="FFEDB795"/>
    <w:rsid w:val="FFEDFA1D"/>
    <w:rsid w:val="FFEE0FDA"/>
    <w:rsid w:val="FFEF3803"/>
    <w:rsid w:val="FFEF559E"/>
    <w:rsid w:val="FFEF6698"/>
    <w:rsid w:val="FFEF6F4B"/>
    <w:rsid w:val="FFEFE73B"/>
    <w:rsid w:val="FFF14206"/>
    <w:rsid w:val="FFF320FC"/>
    <w:rsid w:val="FFF32E9B"/>
    <w:rsid w:val="FFF34DDF"/>
    <w:rsid w:val="FFF3C8EF"/>
    <w:rsid w:val="FFF3E8A5"/>
    <w:rsid w:val="FFF57FF1"/>
    <w:rsid w:val="FFF69935"/>
    <w:rsid w:val="FFF6B8E1"/>
    <w:rsid w:val="FFF70AEE"/>
    <w:rsid w:val="FFF72A8D"/>
    <w:rsid w:val="FFF76BF9"/>
    <w:rsid w:val="FFF79AB4"/>
    <w:rsid w:val="FFF7A85E"/>
    <w:rsid w:val="FFF7AEEB"/>
    <w:rsid w:val="FFF7B766"/>
    <w:rsid w:val="FFF7D355"/>
    <w:rsid w:val="FFF7F94A"/>
    <w:rsid w:val="FFF875F6"/>
    <w:rsid w:val="FFF9D721"/>
    <w:rsid w:val="FFFAF080"/>
    <w:rsid w:val="FFFB252C"/>
    <w:rsid w:val="FFFB37F6"/>
    <w:rsid w:val="FFFB3F8B"/>
    <w:rsid w:val="FFFB42AE"/>
    <w:rsid w:val="FFFB6374"/>
    <w:rsid w:val="FFFB6E5C"/>
    <w:rsid w:val="FFFB91AC"/>
    <w:rsid w:val="FFFB9646"/>
    <w:rsid w:val="FFFBC22C"/>
    <w:rsid w:val="FFFC3DF9"/>
    <w:rsid w:val="FFFCC834"/>
    <w:rsid w:val="FFFCE016"/>
    <w:rsid w:val="FFFD45C5"/>
    <w:rsid w:val="FFFD6884"/>
    <w:rsid w:val="FFFDB0FD"/>
    <w:rsid w:val="FFFDC6B2"/>
    <w:rsid w:val="FFFDC82B"/>
    <w:rsid w:val="FFFDEB96"/>
    <w:rsid w:val="FFFDEE5F"/>
    <w:rsid w:val="FFFDEEB8"/>
    <w:rsid w:val="FFFE1CFC"/>
    <w:rsid w:val="FFFE522E"/>
    <w:rsid w:val="FFFE915B"/>
    <w:rsid w:val="FFFEC151"/>
    <w:rsid w:val="FFFF0671"/>
    <w:rsid w:val="FFFF0FB6"/>
    <w:rsid w:val="FFFF104E"/>
    <w:rsid w:val="FFFF2FB7"/>
    <w:rsid w:val="FFFF3B9D"/>
    <w:rsid w:val="FFFF4C18"/>
    <w:rsid w:val="FFFF57C7"/>
    <w:rsid w:val="FFFF5B91"/>
    <w:rsid w:val="FFFF7847"/>
    <w:rsid w:val="FFFF7A89"/>
    <w:rsid w:val="FFFF7F29"/>
    <w:rsid w:val="FFFF84B2"/>
    <w:rsid w:val="FFFFB6FA"/>
    <w:rsid w:val="FFFFCC48"/>
    <w:rsid w:val="FFFFE91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nhideWhenUsed="0" w:uiPriority="9" w:semiHidden="0" w:name="heading 2"/>
    <w:lsdException w:qFormat="1" w:unhideWhenUsed="0" w:uiPriority="0" w:semiHidden="0" w:name="heading 3"/>
    <w:lsdException w:qFormat="1" w:unhideWhenUsed="0" w:uiPriority="9" w:semiHidden="0" w:name="heading 4"/>
    <w:lsdException w:qFormat="1" w:unhideWhenUsed="0" w:uiPriority="9" w:semiHidden="0" w:name="heading 5"/>
    <w:lsdException w:qFormat="1" w:unhideWhenUsed="0" w:uiPriority="9" w:semiHidden="0" w:name="heading 6"/>
    <w:lsdException w:qFormat="1" w:unhideWhenUsed="0" w:uiPriority="9" w:semiHidden="0" w:name="heading 7"/>
    <w:lsdException w:qFormat="1" w:unhideWhenUsed="0" w:uiPriority="9" w:semiHidden="0" w:name="heading 8"/>
    <w:lsdException w:qFormat="1" w:unhideWhenUsed="0" w:uiPriority="9" w:semiHidden="0"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uiPriority="99" w:semiHidden="0" w:name="header"/>
    <w:lsdException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semiHidden="0" w:name="List"/>
    <w:lsdException w:uiPriority="99" w:name="List Bullet"/>
    <w:lsdException w:uiPriority="99" w:name="List Number"/>
    <w:lsdException w:unhideWhenUsed="0" w:uiPriority="0" w:semiHidden="0" w:name="List 2"/>
    <w:lsdException w:unhideWhenUsed="0" w:uiPriority="0" w:semiHidden="0"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qFormat="1" w:unhideWhenUsed="0" w:uiPriority="0"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nhideWhenUsed="0" w:uiPriority="99" w:semiHidden="0" w:name="Hyperlink"/>
    <w:lsdException w:uiPriority="99" w:semiHidden="0" w:name="FollowedHyperlink"/>
    <w:lsdException w:qFormat="1" w:unhideWhenUsed="0" w:uiPriority="22" w:semiHidden="0" w:name="Strong"/>
    <w:lsdException w:qFormat="1" w:unhideWhenUsed="0" w:uiPriority="20" w:semiHidden="0" w:name="Emphasis"/>
    <w:lsdException w:uiPriority="99" w:name="Document Map"/>
    <w:lsdException w:uiPriority="99" w:semiHidden="0"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semiHidden="0" w:name="Balloon Text"/>
    <w:lsdException w:qFormat="1" w:unhideWhenUsed="0" w:uiPriority="0"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autoSpaceDE w:val="0"/>
      <w:autoSpaceDN w:val="0"/>
      <w:spacing w:after="50" w:afterLines="50"/>
      <w:jc w:val="both"/>
    </w:pPr>
    <w:rPr>
      <w:rFonts w:ascii="Times New Roman" w:hAnsi="Times New Roman" w:eastAsia="Batang" w:cs="Times New Roman"/>
      <w:lang w:val="en-GB" w:eastAsia="en-US" w:bidi="ar-SA"/>
    </w:rPr>
  </w:style>
  <w:style w:type="paragraph" w:styleId="2">
    <w:name w:val="heading 1"/>
    <w:basedOn w:val="1"/>
    <w:next w:val="1"/>
    <w:link w:val="28"/>
    <w:qFormat/>
    <w:uiPriority w:val="9"/>
    <w:pPr>
      <w:widowControl w:val="0"/>
      <w:numPr>
        <w:ilvl w:val="0"/>
        <w:numId w:val="1"/>
      </w:numPr>
      <w:spacing w:before="360" w:after="60"/>
      <w:outlineLvl w:val="0"/>
    </w:pPr>
    <w:rPr>
      <w:rFonts w:ascii="Arial" w:hAnsi="Arial"/>
      <w:b/>
      <w:bCs/>
      <w:kern w:val="32"/>
      <w:sz w:val="32"/>
      <w:szCs w:val="32"/>
    </w:rPr>
  </w:style>
  <w:style w:type="paragraph" w:styleId="3">
    <w:name w:val="heading 2"/>
    <w:basedOn w:val="2"/>
    <w:next w:val="1"/>
    <w:link w:val="29"/>
    <w:qFormat/>
    <w:uiPriority w:val="9"/>
    <w:pPr>
      <w:keepNext/>
      <w:numPr>
        <w:ilvl w:val="1"/>
      </w:numPr>
      <w:tabs>
        <w:tab w:val="clear" w:pos="432"/>
      </w:tabs>
      <w:spacing w:before="240" w:after="50"/>
      <w:outlineLvl w:val="1"/>
    </w:pPr>
    <w:rPr>
      <w:b w:val="0"/>
      <w:bCs w:val="0"/>
      <w:iCs/>
      <w:sz w:val="24"/>
      <w:szCs w:val="28"/>
    </w:rPr>
  </w:style>
  <w:style w:type="paragraph" w:styleId="4">
    <w:name w:val="heading 3"/>
    <w:basedOn w:val="1"/>
    <w:next w:val="1"/>
    <w:link w:val="30"/>
    <w:qFormat/>
    <w:uiPriority w:val="0"/>
    <w:pPr>
      <w:keepNext/>
      <w:numPr>
        <w:ilvl w:val="2"/>
        <w:numId w:val="1"/>
      </w:numPr>
      <w:tabs>
        <w:tab w:val="left" w:pos="720"/>
      </w:tabs>
      <w:spacing w:before="240" w:after="60"/>
      <w:outlineLvl w:val="2"/>
    </w:pPr>
    <w:rPr>
      <w:rFonts w:ascii="Arial" w:hAnsi="Arial"/>
      <w:b/>
      <w:bCs/>
      <w:szCs w:val="26"/>
    </w:rPr>
  </w:style>
  <w:style w:type="paragraph" w:styleId="5">
    <w:name w:val="heading 4"/>
    <w:basedOn w:val="4"/>
    <w:next w:val="1"/>
    <w:link w:val="31"/>
    <w:qFormat/>
    <w:uiPriority w:val="9"/>
    <w:pPr>
      <w:numPr>
        <w:ilvl w:val="3"/>
      </w:numPr>
      <w:tabs>
        <w:tab w:val="clear" w:pos="0"/>
      </w:tabs>
      <w:outlineLvl w:val="3"/>
    </w:pPr>
    <w:rPr>
      <w:i/>
    </w:rPr>
  </w:style>
  <w:style w:type="paragraph" w:styleId="6">
    <w:name w:val="heading 5"/>
    <w:basedOn w:val="5"/>
    <w:next w:val="1"/>
    <w:link w:val="32"/>
    <w:qFormat/>
    <w:uiPriority w:val="9"/>
    <w:pPr>
      <w:numPr>
        <w:ilvl w:val="4"/>
      </w:numPr>
      <w:ind w:left="864" w:hanging="864"/>
      <w:outlineLvl w:val="4"/>
    </w:pPr>
    <w:rPr>
      <w:bCs w:val="0"/>
      <w:i w:val="0"/>
      <w:iCs/>
      <w:sz w:val="18"/>
    </w:rPr>
  </w:style>
  <w:style w:type="paragraph" w:styleId="7">
    <w:name w:val="heading 6"/>
    <w:basedOn w:val="1"/>
    <w:next w:val="1"/>
    <w:link w:val="33"/>
    <w:qFormat/>
    <w:uiPriority w:val="9"/>
    <w:pPr>
      <w:numPr>
        <w:ilvl w:val="5"/>
        <w:numId w:val="1"/>
      </w:numPr>
      <w:spacing w:before="240" w:after="60"/>
      <w:outlineLvl w:val="5"/>
    </w:pPr>
    <w:rPr>
      <w:b/>
      <w:bCs/>
      <w:i/>
      <w:szCs w:val="22"/>
    </w:rPr>
  </w:style>
  <w:style w:type="paragraph" w:styleId="8">
    <w:name w:val="heading 7"/>
    <w:basedOn w:val="1"/>
    <w:next w:val="1"/>
    <w:link w:val="34"/>
    <w:qFormat/>
    <w:uiPriority w:val="9"/>
    <w:pPr>
      <w:numPr>
        <w:ilvl w:val="6"/>
        <w:numId w:val="1"/>
      </w:numPr>
      <w:spacing w:before="240" w:after="60"/>
      <w:outlineLvl w:val="6"/>
    </w:pPr>
    <w:rPr>
      <w:sz w:val="24"/>
    </w:rPr>
  </w:style>
  <w:style w:type="paragraph" w:styleId="9">
    <w:name w:val="heading 8"/>
    <w:basedOn w:val="1"/>
    <w:next w:val="1"/>
    <w:link w:val="35"/>
    <w:qFormat/>
    <w:uiPriority w:val="9"/>
    <w:pPr>
      <w:numPr>
        <w:ilvl w:val="7"/>
        <w:numId w:val="1"/>
      </w:numPr>
      <w:spacing w:before="240" w:after="60"/>
      <w:outlineLvl w:val="7"/>
    </w:pPr>
    <w:rPr>
      <w:i/>
      <w:iCs/>
      <w:sz w:val="24"/>
    </w:rPr>
  </w:style>
  <w:style w:type="paragraph" w:styleId="10">
    <w:name w:val="heading 9"/>
    <w:basedOn w:val="1"/>
    <w:next w:val="1"/>
    <w:link w:val="36"/>
    <w:qFormat/>
    <w:uiPriority w:val="9"/>
    <w:pPr>
      <w:numPr>
        <w:ilvl w:val="8"/>
        <w:numId w:val="1"/>
      </w:numPr>
      <w:spacing w:before="240" w:after="60"/>
      <w:outlineLvl w:val="8"/>
    </w:pPr>
    <w:rPr>
      <w:rFonts w:ascii="Arial" w:hAnsi="Arial"/>
      <w:sz w:val="22"/>
      <w:szCs w:val="22"/>
    </w:rPr>
  </w:style>
  <w:style w:type="character" w:default="1" w:styleId="11">
    <w:name w:val="Default Paragraph Font"/>
    <w:semiHidden/>
    <w:unhideWhenUsed/>
    <w:uiPriority w:val="1"/>
  </w:style>
  <w:style w:type="table" w:default="1" w:styleId="12">
    <w:name w:val="Normal Table"/>
    <w:semiHidden/>
    <w:unhideWhenUsed/>
    <w:uiPriority w:val="99"/>
    <w:tblPr>
      <w:tblCellMar>
        <w:top w:w="0" w:type="dxa"/>
        <w:left w:w="108" w:type="dxa"/>
        <w:bottom w:w="0" w:type="dxa"/>
        <w:right w:w="108" w:type="dxa"/>
      </w:tblCellMar>
    </w:tblPr>
  </w:style>
  <w:style w:type="paragraph" w:styleId="13">
    <w:name w:val="Balloon Text"/>
    <w:basedOn w:val="1"/>
    <w:link w:val="37"/>
    <w:unhideWhenUsed/>
    <w:uiPriority w:val="99"/>
    <w:rPr>
      <w:rFonts w:ascii="Malgun Gothic" w:eastAsia="Malgun Gothic"/>
      <w:sz w:val="18"/>
      <w:szCs w:val="18"/>
    </w:rPr>
  </w:style>
  <w:style w:type="paragraph" w:styleId="14">
    <w:name w:val="Body Text"/>
    <w:basedOn w:val="1"/>
    <w:qFormat/>
    <w:uiPriority w:val="0"/>
    <w:pPr>
      <w:tabs>
        <w:tab w:val="left" w:pos="1440"/>
      </w:tabs>
      <w:spacing w:after="120"/>
    </w:pPr>
    <w:rPr>
      <w:lang w:eastAsia="zh-CN"/>
    </w:rPr>
  </w:style>
  <w:style w:type="character" w:styleId="15">
    <w:name w:val="annotation reference"/>
    <w:basedOn w:val="11"/>
    <w:semiHidden/>
    <w:unhideWhenUsed/>
    <w:uiPriority w:val="99"/>
    <w:rPr>
      <w:sz w:val="16"/>
      <w:szCs w:val="16"/>
    </w:rPr>
  </w:style>
  <w:style w:type="paragraph" w:styleId="16">
    <w:name w:val="annotation text"/>
    <w:basedOn w:val="1"/>
    <w:link w:val="58"/>
    <w:semiHidden/>
    <w:unhideWhenUsed/>
    <w:uiPriority w:val="99"/>
    <w:pPr>
      <w:jc w:val="left"/>
    </w:pPr>
  </w:style>
  <w:style w:type="paragraph" w:styleId="17">
    <w:name w:val="annotation subject"/>
    <w:basedOn w:val="16"/>
    <w:next w:val="16"/>
    <w:link w:val="59"/>
    <w:semiHidden/>
    <w:unhideWhenUsed/>
    <w:uiPriority w:val="99"/>
    <w:pPr>
      <w:jc w:val="both"/>
    </w:pPr>
    <w:rPr>
      <w:b/>
      <w:bCs/>
    </w:rPr>
  </w:style>
  <w:style w:type="character" w:styleId="18">
    <w:name w:val="Emphasis"/>
    <w:qFormat/>
    <w:uiPriority w:val="20"/>
    <w:rPr>
      <w:i/>
      <w:iCs/>
    </w:rPr>
  </w:style>
  <w:style w:type="character" w:styleId="19">
    <w:name w:val="FollowedHyperlink"/>
    <w:unhideWhenUsed/>
    <w:uiPriority w:val="99"/>
    <w:rPr>
      <w:color w:val="954F72"/>
      <w:u w:val="single"/>
    </w:rPr>
  </w:style>
  <w:style w:type="paragraph" w:styleId="20">
    <w:name w:val="footer"/>
    <w:basedOn w:val="1"/>
    <w:link w:val="38"/>
    <w:unhideWhenUsed/>
    <w:uiPriority w:val="99"/>
    <w:pPr>
      <w:tabs>
        <w:tab w:val="center" w:pos="4680"/>
        <w:tab w:val="right" w:pos="9360"/>
      </w:tabs>
    </w:pPr>
  </w:style>
  <w:style w:type="paragraph" w:styleId="21">
    <w:name w:val="header"/>
    <w:basedOn w:val="1"/>
    <w:link w:val="39"/>
    <w:unhideWhenUsed/>
    <w:uiPriority w:val="99"/>
    <w:pPr>
      <w:tabs>
        <w:tab w:val="center" w:pos="4680"/>
        <w:tab w:val="right" w:pos="9360"/>
      </w:tabs>
    </w:pPr>
  </w:style>
  <w:style w:type="character" w:styleId="22">
    <w:name w:val="Hyperlink"/>
    <w:qFormat/>
    <w:uiPriority w:val="99"/>
    <w:rPr>
      <w:color w:val="0000FF"/>
      <w:u w:val="single"/>
    </w:rPr>
  </w:style>
  <w:style w:type="paragraph" w:styleId="23">
    <w:name w:val="List"/>
    <w:basedOn w:val="1"/>
    <w:unhideWhenUsed/>
    <w:uiPriority w:val="99"/>
    <w:pPr>
      <w:widowControl w:val="0"/>
      <w:adjustRightInd w:val="0"/>
      <w:spacing w:line="460" w:lineRule="exact"/>
      <w:ind w:left="283" w:hanging="283"/>
      <w:contextualSpacing/>
      <w:textAlignment w:val="baseline"/>
    </w:pPr>
    <w:rPr>
      <w:rFonts w:eastAsia="KaiTi_GB2312"/>
      <w:kern w:val="28"/>
      <w:sz w:val="28"/>
    </w:rPr>
  </w:style>
  <w:style w:type="paragraph" w:styleId="24">
    <w:name w:val="List 2"/>
    <w:basedOn w:val="1"/>
    <w:uiPriority w:val="0"/>
    <w:pPr>
      <w:ind w:left="851"/>
    </w:pPr>
  </w:style>
  <w:style w:type="paragraph" w:styleId="25">
    <w:name w:val="List 3"/>
    <w:basedOn w:val="24"/>
    <w:uiPriority w:val="0"/>
    <w:pPr>
      <w:ind w:left="1135"/>
    </w:pPr>
  </w:style>
  <w:style w:type="paragraph" w:styleId="26">
    <w:name w:val="Plain Text"/>
    <w:basedOn w:val="1"/>
    <w:link w:val="40"/>
    <w:unhideWhenUsed/>
    <w:uiPriority w:val="99"/>
    <w:rPr>
      <w:rFonts w:ascii="Arial" w:hAnsi="Arial" w:eastAsia="MS Gothic"/>
      <w:color w:val="000000"/>
    </w:rPr>
  </w:style>
  <w:style w:type="table" w:styleId="27">
    <w:name w:val="Table Grid"/>
    <w:basedOn w:val="12"/>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28">
    <w:name w:val="Heading 1 Char"/>
    <w:link w:val="2"/>
    <w:uiPriority w:val="9"/>
    <w:rPr>
      <w:rFonts w:ascii="Arial" w:hAnsi="Arial" w:eastAsia="Batang" w:cs="Times New Roman"/>
      <w:b/>
      <w:bCs/>
      <w:kern w:val="32"/>
      <w:sz w:val="32"/>
      <w:szCs w:val="32"/>
      <w:lang w:val="en-GB"/>
    </w:rPr>
  </w:style>
  <w:style w:type="character" w:customStyle="1" w:styleId="29">
    <w:name w:val="Heading 2 Char"/>
    <w:link w:val="3"/>
    <w:uiPriority w:val="9"/>
    <w:rPr>
      <w:rFonts w:ascii="Arial" w:hAnsi="Arial" w:eastAsia="Batang" w:cs="Times New Roman"/>
      <w:b/>
      <w:bCs/>
      <w:iCs/>
      <w:kern w:val="0"/>
      <w:sz w:val="24"/>
      <w:szCs w:val="28"/>
      <w:lang w:val="en-GB"/>
    </w:rPr>
  </w:style>
  <w:style w:type="character" w:customStyle="1" w:styleId="30">
    <w:name w:val="Heading 3 Char"/>
    <w:link w:val="4"/>
    <w:uiPriority w:val="0"/>
    <w:rPr>
      <w:rFonts w:ascii="Arial" w:hAnsi="Arial" w:eastAsia="Batang" w:cs="Times New Roman"/>
      <w:b/>
      <w:bCs/>
      <w:kern w:val="0"/>
      <w:szCs w:val="26"/>
      <w:lang w:val="en-GB"/>
    </w:rPr>
  </w:style>
  <w:style w:type="character" w:customStyle="1" w:styleId="31">
    <w:name w:val="Heading 4 Char"/>
    <w:link w:val="5"/>
    <w:uiPriority w:val="9"/>
    <w:rPr>
      <w:rFonts w:ascii="Arial" w:hAnsi="Arial" w:eastAsia="Batang" w:cs="Times New Roman"/>
      <w:b/>
      <w:bCs/>
      <w:i/>
      <w:kern w:val="0"/>
      <w:szCs w:val="26"/>
      <w:lang w:val="en-GB"/>
    </w:rPr>
  </w:style>
  <w:style w:type="character" w:customStyle="1" w:styleId="32">
    <w:name w:val="Heading 5 Char"/>
    <w:link w:val="6"/>
    <w:uiPriority w:val="9"/>
    <w:rPr>
      <w:rFonts w:ascii="Arial" w:hAnsi="Arial" w:eastAsia="Batang" w:cs="Times New Roman"/>
      <w:b/>
      <w:iCs/>
      <w:kern w:val="0"/>
      <w:sz w:val="18"/>
      <w:szCs w:val="26"/>
      <w:lang w:val="en-GB"/>
    </w:rPr>
  </w:style>
  <w:style w:type="character" w:customStyle="1" w:styleId="33">
    <w:name w:val="Heading 6 Char"/>
    <w:link w:val="7"/>
    <w:uiPriority w:val="9"/>
    <w:rPr>
      <w:rFonts w:ascii="Times New Roman" w:hAnsi="Times New Roman" w:eastAsia="Batang" w:cs="Times New Roman"/>
      <w:b/>
      <w:bCs/>
      <w:i/>
      <w:kern w:val="0"/>
      <w:lang w:val="en-GB"/>
    </w:rPr>
  </w:style>
  <w:style w:type="character" w:customStyle="1" w:styleId="34">
    <w:name w:val="Heading 7 Char"/>
    <w:link w:val="8"/>
    <w:uiPriority w:val="9"/>
    <w:rPr>
      <w:rFonts w:ascii="Times New Roman" w:hAnsi="Times New Roman" w:eastAsia="Batang" w:cs="Times New Roman"/>
      <w:kern w:val="0"/>
      <w:sz w:val="24"/>
      <w:szCs w:val="24"/>
      <w:lang w:val="en-GB"/>
    </w:rPr>
  </w:style>
  <w:style w:type="character" w:customStyle="1" w:styleId="35">
    <w:name w:val="Heading 8 Char"/>
    <w:link w:val="9"/>
    <w:uiPriority w:val="9"/>
    <w:rPr>
      <w:rFonts w:ascii="Times New Roman" w:hAnsi="Times New Roman" w:eastAsia="Batang" w:cs="Times New Roman"/>
      <w:i/>
      <w:iCs/>
      <w:kern w:val="0"/>
      <w:sz w:val="24"/>
      <w:szCs w:val="24"/>
      <w:lang w:val="en-GB"/>
    </w:rPr>
  </w:style>
  <w:style w:type="character" w:customStyle="1" w:styleId="36">
    <w:name w:val="Heading 9 Char"/>
    <w:link w:val="10"/>
    <w:uiPriority w:val="9"/>
    <w:rPr>
      <w:rFonts w:ascii="Arial" w:hAnsi="Arial" w:eastAsia="Batang" w:cs="Times New Roman"/>
      <w:kern w:val="0"/>
      <w:sz w:val="22"/>
      <w:lang w:val="en-GB"/>
    </w:rPr>
  </w:style>
  <w:style w:type="character" w:customStyle="1" w:styleId="37">
    <w:name w:val="Balloon Text Char"/>
    <w:link w:val="13"/>
    <w:semiHidden/>
    <w:uiPriority w:val="99"/>
    <w:rPr>
      <w:rFonts w:hAnsi="Times"/>
      <w:sz w:val="18"/>
      <w:szCs w:val="18"/>
      <w:lang w:val="en-GB" w:eastAsia="en-US"/>
    </w:rPr>
  </w:style>
  <w:style w:type="character" w:customStyle="1" w:styleId="38">
    <w:name w:val="Footer Char"/>
    <w:link w:val="20"/>
    <w:uiPriority w:val="99"/>
    <w:rPr>
      <w:rFonts w:ascii="Times" w:hAnsi="Times" w:eastAsia="Batang"/>
      <w:szCs w:val="24"/>
      <w:lang w:val="en-GB" w:eastAsia="en-US"/>
    </w:rPr>
  </w:style>
  <w:style w:type="character" w:customStyle="1" w:styleId="39">
    <w:name w:val="Header Char"/>
    <w:link w:val="21"/>
    <w:uiPriority w:val="99"/>
    <w:rPr>
      <w:rFonts w:ascii="Times" w:hAnsi="Times" w:eastAsia="Batang"/>
      <w:szCs w:val="24"/>
      <w:lang w:val="en-GB" w:eastAsia="en-US"/>
    </w:rPr>
  </w:style>
  <w:style w:type="character" w:customStyle="1" w:styleId="40">
    <w:name w:val="Plain Text Char"/>
    <w:link w:val="26"/>
    <w:uiPriority w:val="99"/>
    <w:rPr>
      <w:rFonts w:ascii="Arial" w:hAnsi="Arial" w:eastAsia="MS Gothic" w:cs="Times New Roman"/>
      <w:color w:val="000000"/>
      <w:kern w:val="0"/>
      <w:szCs w:val="20"/>
    </w:rPr>
  </w:style>
  <w:style w:type="paragraph" w:customStyle="1" w:styleId="41">
    <w:name w:val="References"/>
    <w:basedOn w:val="1"/>
    <w:uiPriority w:val="0"/>
    <w:pPr>
      <w:numPr>
        <w:ilvl w:val="2"/>
        <w:numId w:val="2"/>
      </w:numPr>
    </w:pPr>
    <w:rPr>
      <w:rFonts w:eastAsia="Times New Roman"/>
      <w:lang w:val="en-US"/>
    </w:rPr>
  </w:style>
  <w:style w:type="character" w:customStyle="1" w:styleId="42">
    <w:name w:val="Unresolved Mention1"/>
    <w:unhideWhenUsed/>
    <w:uiPriority w:val="99"/>
    <w:rPr>
      <w:color w:val="605E5C"/>
      <w:shd w:val="clear" w:color="auto" w:fill="E1DFDD"/>
    </w:rPr>
  </w:style>
  <w:style w:type="paragraph" w:customStyle="1" w:styleId="43">
    <w:name w:val="_Style 38"/>
    <w:semiHidden/>
    <w:uiPriority w:val="99"/>
    <w:rPr>
      <w:rFonts w:ascii="Times" w:hAnsi="Times" w:eastAsia="Batang" w:cs="Times New Roman"/>
      <w:szCs w:val="24"/>
      <w:lang w:val="en-GB" w:eastAsia="en-US" w:bidi="ar-SA"/>
    </w:rPr>
  </w:style>
  <w:style w:type="paragraph" w:customStyle="1" w:styleId="44">
    <w:name w:val="Doc-text2"/>
    <w:basedOn w:val="1"/>
    <w:qFormat/>
    <w:uiPriority w:val="0"/>
    <w:pPr>
      <w:tabs>
        <w:tab w:val="left" w:pos="1622"/>
      </w:tabs>
      <w:ind w:left="1622" w:hanging="363"/>
    </w:pPr>
    <w:rPr>
      <w:rFonts w:ascii="Arial" w:hAnsi="Arial" w:eastAsia="MS Mincho"/>
      <w:lang w:eastAsia="en-GB"/>
    </w:rPr>
  </w:style>
  <w:style w:type="character" w:customStyle="1" w:styleId="45">
    <w:name w:val="apple-converted-space"/>
    <w:basedOn w:val="11"/>
    <w:uiPriority w:val="0"/>
  </w:style>
  <w:style w:type="paragraph" w:customStyle="1" w:styleId="46">
    <w:name w:val="B1"/>
    <w:basedOn w:val="23"/>
    <w:qFormat/>
    <w:uiPriority w:val="0"/>
    <w:pPr>
      <w:spacing w:after="180"/>
      <w:ind w:left="568" w:hanging="284"/>
    </w:pPr>
    <w:rPr>
      <w:rFonts w:eastAsia="宋体"/>
    </w:rPr>
  </w:style>
  <w:style w:type="character" w:customStyle="1" w:styleId="47">
    <w:name w:val="s1"/>
    <w:uiPriority w:val="0"/>
    <w:rPr>
      <w:rFonts w:ascii="Lucida Grande" w:hAnsi="Lucida Grande" w:eastAsia="Lucida Grande" w:cs="Lucida Grande"/>
      <w:color w:val="0F80FE"/>
      <w:sz w:val="68"/>
      <w:szCs w:val="68"/>
    </w:rPr>
  </w:style>
  <w:style w:type="character" w:customStyle="1" w:styleId="48">
    <w:name w:val="s3"/>
    <w:uiPriority w:val="0"/>
    <w:rPr>
      <w:rFonts w:ascii="Helvetica Neue" w:hAnsi="Helvetica Neue" w:eastAsia="Helvetica Neue" w:cs="Helvetica Neue"/>
      <w:sz w:val="60"/>
      <w:szCs w:val="60"/>
    </w:rPr>
  </w:style>
  <w:style w:type="character" w:customStyle="1" w:styleId="49">
    <w:name w:val="s2"/>
    <w:uiPriority w:val="0"/>
    <w:rPr>
      <w:rFonts w:hint="default" w:ascii="Lucida Grande" w:hAnsi="Lucida Grande" w:eastAsia="Lucida Grande" w:cs="Lucida Grande"/>
      <w:color w:val="0F80FE"/>
      <w:sz w:val="90"/>
      <w:szCs w:val="90"/>
    </w:rPr>
  </w:style>
  <w:style w:type="paragraph" w:customStyle="1" w:styleId="50">
    <w:name w:val="B2"/>
    <w:basedOn w:val="24"/>
    <w:qFormat/>
    <w:uiPriority w:val="0"/>
    <w:pPr>
      <w:ind w:hanging="284"/>
    </w:pPr>
  </w:style>
  <w:style w:type="paragraph" w:customStyle="1" w:styleId="51">
    <w:name w:val="B3"/>
    <w:basedOn w:val="25"/>
    <w:qFormat/>
    <w:uiPriority w:val="0"/>
    <w:pPr>
      <w:ind w:hanging="284"/>
    </w:pPr>
  </w:style>
  <w:style w:type="paragraph" w:customStyle="1" w:styleId="52">
    <w:name w:val="PL"/>
    <w:qFormat/>
    <w:uiPriority w:val="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eastAsia="Times New Roman" w:cs="Times New Roman"/>
      <w:sz w:val="16"/>
      <w:lang w:val="en-GB" w:eastAsia="en-GB" w:bidi="ar-SA"/>
    </w:rPr>
  </w:style>
  <w:style w:type="paragraph" w:customStyle="1" w:styleId="53">
    <w:name w:val="TAH"/>
    <w:basedOn w:val="54"/>
    <w:qFormat/>
    <w:uiPriority w:val="0"/>
    <w:rPr>
      <w:b/>
    </w:rPr>
  </w:style>
  <w:style w:type="paragraph" w:customStyle="1" w:styleId="54">
    <w:name w:val="TAC"/>
    <w:basedOn w:val="55"/>
    <w:qFormat/>
    <w:uiPriority w:val="0"/>
    <w:pPr>
      <w:jc w:val="center"/>
    </w:pPr>
  </w:style>
  <w:style w:type="paragraph" w:customStyle="1" w:styleId="55">
    <w:name w:val="TAL"/>
    <w:basedOn w:val="1"/>
    <w:uiPriority w:val="0"/>
    <w:pPr>
      <w:keepNext/>
      <w:keepLines/>
      <w:spacing w:after="0"/>
    </w:pPr>
    <w:rPr>
      <w:rFonts w:ascii="Arial" w:hAnsi="Arial"/>
      <w:sz w:val="18"/>
    </w:rPr>
  </w:style>
  <w:style w:type="paragraph" w:styleId="56">
    <w:name w:val="List Paragraph"/>
    <w:basedOn w:val="1"/>
    <w:qFormat/>
    <w:uiPriority w:val="34"/>
    <w:pPr>
      <w:tabs>
        <w:tab w:val="left" w:pos="1440"/>
      </w:tabs>
      <w:ind w:left="840" w:leftChars="400"/>
    </w:pPr>
    <w:rPr>
      <w:lang w:eastAsia="zh-CN"/>
    </w:rPr>
  </w:style>
  <w:style w:type="paragraph" w:customStyle="1" w:styleId="57">
    <w:name w:val="목록 단락1"/>
    <w:basedOn w:val="1"/>
    <w:qFormat/>
    <w:uiPriority w:val="34"/>
    <w:pPr>
      <w:spacing w:after="180" w:line="276" w:lineRule="auto"/>
      <w:ind w:left="800" w:leftChars="400"/>
    </w:pPr>
    <w:rPr>
      <w:rFonts w:eastAsia="Malgun Gothic"/>
    </w:rPr>
  </w:style>
  <w:style w:type="character" w:customStyle="1" w:styleId="58">
    <w:name w:val="Comment Text Char"/>
    <w:basedOn w:val="11"/>
    <w:link w:val="16"/>
    <w:semiHidden/>
    <w:uiPriority w:val="99"/>
    <w:rPr>
      <w:rFonts w:eastAsia="Batang"/>
      <w:lang w:val="en-GB" w:eastAsia="en-US"/>
    </w:rPr>
  </w:style>
  <w:style w:type="character" w:customStyle="1" w:styleId="59">
    <w:name w:val="Comment Subject Char"/>
    <w:basedOn w:val="58"/>
    <w:link w:val="17"/>
    <w:semiHidden/>
    <w:uiPriority w:val="99"/>
    <w:rPr>
      <w:rFonts w:eastAsia="Batang"/>
      <w:b/>
      <w:bCs/>
      <w:lang w:val="en-GB" w:eastAsia="en-US"/>
    </w:rPr>
  </w:style>
  <w:style w:type="paragraph" w:customStyle="1" w:styleId="60">
    <w:name w:val="Revision1"/>
    <w:hidden/>
    <w:unhideWhenUsed/>
    <w:uiPriority w:val="99"/>
    <w:rPr>
      <w:rFonts w:ascii="Times New Roman" w:hAnsi="Times New Roman" w:eastAsia="Batang" w:cs="Times New Roman"/>
      <w:lang w:val="en-GB" w:eastAsia="en-US" w:bidi="ar-SA"/>
    </w:rPr>
  </w:style>
  <w:style w:type="paragraph" w:customStyle="1" w:styleId="61">
    <w:name w:val="Revision2"/>
    <w:hidden/>
    <w:unhideWhenUsed/>
    <w:uiPriority w:val="99"/>
    <w:rPr>
      <w:rFonts w:ascii="Times New Roman" w:hAnsi="Times New Roman" w:eastAsia="Batang" w:cs="Times New Roman"/>
      <w:lang w:val="en-GB" w:eastAsia="en-US" w:bidi="ar-SA"/>
    </w:rPr>
  </w:style>
  <w:style w:type="paragraph" w:customStyle="1" w:styleId="62">
    <w:name w:val="Revision3"/>
    <w:hidden/>
    <w:unhideWhenUsed/>
    <w:uiPriority w:val="99"/>
    <w:rPr>
      <w:rFonts w:ascii="Times New Roman" w:hAnsi="Times New Roman" w:eastAsia="Batang" w:cs="Times New Roman"/>
      <w:lang w:val="en-GB" w:eastAsia="en-US" w:bidi="ar-SA"/>
    </w:rPr>
  </w:style>
  <w:style w:type="paragraph" w:customStyle="1" w:styleId="63">
    <w:name w:val="Revision"/>
    <w:hidden/>
    <w:unhideWhenUsed/>
    <w:uiPriority w:val="99"/>
    <w:rPr>
      <w:rFonts w:ascii="Times New Roman" w:hAnsi="Times New Roman" w:eastAsia="Batang" w:cs="Times New Roman"/>
      <w:lang w:val="en-GB" w:eastAsia="en-US" w:bidi="ar-SA"/>
    </w:rPr>
  </w:style>
</w:styles>
</file>

<file path=word/_rels/document.xml.rels><?xml version="1.0" encoding="UTF-8" standalone="yes"?>
<Relationships xmlns="http://schemas.openxmlformats.org/package/2006/relationships"><Relationship Id="rId9" Type="http://schemas.openxmlformats.org/officeDocument/2006/relationships/image" Target="media/image5.png"/><Relationship Id="rId8" Type="http://schemas.openxmlformats.org/officeDocument/2006/relationships/image" Target="media/image4.png"/><Relationship Id="rId7" Type="http://schemas.openxmlformats.org/officeDocument/2006/relationships/image" Target="media/image3.png"/><Relationship Id="rId6" Type="http://schemas.openxmlformats.org/officeDocument/2006/relationships/image" Target="media/image2.png"/><Relationship Id="rId5" Type="http://schemas.openxmlformats.org/officeDocument/2006/relationships/image" Target="media/image1.png"/><Relationship Id="rId4" Type="http://schemas.openxmlformats.org/officeDocument/2006/relationships/theme" Target="theme/theme1.xml"/><Relationship Id="rId3" Type="http://schemas.openxmlformats.org/officeDocument/2006/relationships/footnotes" Target="footnotes.xml"/><Relationship Id="rId2" Type="http://schemas.openxmlformats.org/officeDocument/2006/relationships/settings" Target="settings.xml"/><Relationship Id="rId15" Type="http://schemas.openxmlformats.org/officeDocument/2006/relationships/fontTable" Target="fontTable.xml"/><Relationship Id="rId14" Type="http://schemas.openxmlformats.org/officeDocument/2006/relationships/numbering" Target="numbering.xml"/><Relationship Id="rId13" Type="http://schemas.openxmlformats.org/officeDocument/2006/relationships/image" Target="media/image9.png"/><Relationship Id="rId12" Type="http://schemas.openxmlformats.org/officeDocument/2006/relationships/image" Target="media/image8.png"/><Relationship Id="rId11" Type="http://schemas.openxmlformats.org/officeDocument/2006/relationships/image" Target="media/image7.png"/><Relationship Id="rId10" Type="http://schemas.openxmlformats.org/officeDocument/2006/relationships/image" Target="media/image6.png"/><Relationship Id="rId1" Type="http://schemas.openxmlformats.org/officeDocument/2006/relationships/styles" Target="styles.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14</Pages>
  <Words>5193</Words>
  <Characters>29605</Characters>
  <Lines>246</Lines>
  <Paragraphs>69</Paragraphs>
  <TotalTime>13</TotalTime>
  <ScaleCrop>false</ScaleCrop>
  <LinksUpToDate>false</LinksUpToDate>
  <CharactersWithSpaces>34729</CharactersWithSpaces>
  <Application>WPS Office_6.15.1.8935_F1E327BC-269C-435d-A152-05C5408002CA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2025-02-07T05:31:00Z</dcterms:created>
  <dc:creator>김윤선/표준연구팀(SR)/Master/삼성전자</dc:creator>
  <cp:lastModifiedBy>Dan Wu</cp:lastModifiedBy>
  <dcterms:modified xsi:type="dcterms:W3CDTF">2025-02-07T15:09:30Z</dcterms:modified>
  <cp:revision>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KSOProductBuildVer">
    <vt:lpwstr>1033-6.15.1.8935</vt:lpwstr>
  </property>
  <property fmtid="{D5CDD505-2E9C-101B-9397-08002B2CF9AE}" pid="4" name="ICV">
    <vt:lpwstr>8920196AB2E2D3E7EDD3A1674843D39C_43</vt:lpwstr>
  </property>
</Properties>
</file>