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BBBF1" w14:textId="2E4657EA" w:rsidR="00EA22DF" w:rsidRPr="001132A2" w:rsidRDefault="00EA22DF" w:rsidP="00EA22DF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3GPP TSG</w:t>
      </w:r>
      <w:r w:rsidRPr="004636C3">
        <w:rPr>
          <w:b/>
          <w:kern w:val="2"/>
          <w:lang w:val="en-GB" w:eastAsia="zh-CN"/>
        </w:rPr>
        <w:t>-</w:t>
      </w:r>
      <w:r w:rsidRPr="004636C3">
        <w:rPr>
          <w:b/>
          <w:kern w:val="2"/>
          <w:lang w:val="en-GB"/>
        </w:rPr>
        <w:t>RAN WG1 Meeting #</w:t>
      </w:r>
      <w:r w:rsidR="008B6F0B" w:rsidRPr="004636C3">
        <w:rPr>
          <w:b/>
          <w:kern w:val="2"/>
          <w:lang w:val="en-GB"/>
        </w:rPr>
        <w:t>1</w:t>
      </w:r>
      <w:r w:rsidR="008B6F0B">
        <w:rPr>
          <w:b/>
          <w:kern w:val="2"/>
          <w:lang w:val="en-GB"/>
        </w:rPr>
        <w:t>20</w:t>
      </w:r>
      <w:r w:rsidRPr="001132A2">
        <w:rPr>
          <w:b/>
          <w:kern w:val="2"/>
          <w:lang w:val="en-GB"/>
        </w:rPr>
        <w:tab/>
      </w:r>
      <w:r w:rsidR="005D0D81" w:rsidRPr="005D0D81">
        <w:rPr>
          <w:b/>
          <w:kern w:val="2"/>
          <w:lang w:val="en-GB"/>
        </w:rPr>
        <w:t>R1-</w:t>
      </w:r>
      <w:r w:rsidR="00877D61">
        <w:rPr>
          <w:b/>
          <w:kern w:val="2"/>
          <w:lang w:val="en-GB"/>
        </w:rPr>
        <w:t>2500100</w:t>
      </w:r>
    </w:p>
    <w:p w14:paraId="6255B503" w14:textId="37B2E02A" w:rsidR="00EA22DF" w:rsidRPr="0067142E" w:rsidRDefault="004849A9" w:rsidP="00EA22DF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r w:rsidRPr="004849A9">
        <w:rPr>
          <w:b/>
          <w:kern w:val="2"/>
        </w:rPr>
        <w:t xml:space="preserve">Athens, Greece, February 17-21 2025   </w:t>
      </w:r>
    </w:p>
    <w:p w14:paraId="0D0E113B" w14:textId="77777777" w:rsidR="00EA22DF" w:rsidRPr="004636C3" w:rsidRDefault="00EA22DF" w:rsidP="00EA22DF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6FB7AF71" w14:textId="7C8CBD0A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Agenda Item:</w:t>
      </w:r>
      <w:r w:rsidRPr="004636C3">
        <w:rPr>
          <w:b/>
          <w:kern w:val="2"/>
          <w:lang w:val="en-GB"/>
        </w:rPr>
        <w:tab/>
      </w:r>
      <w:r>
        <w:rPr>
          <w:b/>
          <w:kern w:val="2"/>
          <w:lang w:val="en-GB"/>
        </w:rPr>
        <w:t>9.2.4</w:t>
      </w:r>
    </w:p>
    <w:p w14:paraId="74D265ED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Source:</w:t>
      </w:r>
      <w:r w:rsidRPr="004636C3">
        <w:rPr>
          <w:b/>
          <w:kern w:val="2"/>
          <w:lang w:val="en-GB"/>
        </w:rPr>
        <w:tab/>
        <w:t>Huawei, HiSilicon</w:t>
      </w:r>
    </w:p>
    <w:p w14:paraId="469D3A3F" w14:textId="6DA59F22" w:rsidR="00EA22DF" w:rsidRPr="001132A2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Title:</w:t>
      </w:r>
      <w:r w:rsidRPr="004636C3">
        <w:rPr>
          <w:b/>
          <w:kern w:val="2"/>
          <w:lang w:val="en-GB"/>
        </w:rPr>
        <w:tab/>
      </w:r>
      <w:r w:rsidR="00930615" w:rsidRPr="00930615">
        <w:rPr>
          <w:b/>
          <w:kern w:val="2"/>
          <w:lang w:val="en-GB"/>
        </w:rPr>
        <w:t xml:space="preserve">Enhancements for asymmetric DL </w:t>
      </w:r>
      <w:proofErr w:type="spellStart"/>
      <w:r w:rsidR="00930615" w:rsidRPr="00930615">
        <w:rPr>
          <w:b/>
          <w:kern w:val="2"/>
          <w:lang w:val="en-GB"/>
        </w:rPr>
        <w:t>sTRP</w:t>
      </w:r>
      <w:proofErr w:type="spellEnd"/>
      <w:r w:rsidR="00930615" w:rsidRPr="00930615">
        <w:rPr>
          <w:b/>
          <w:kern w:val="2"/>
          <w:lang w:val="en-GB"/>
        </w:rPr>
        <w:t xml:space="preserve">/UL </w:t>
      </w:r>
      <w:proofErr w:type="spellStart"/>
      <w:r w:rsidR="00930615" w:rsidRPr="00930615">
        <w:rPr>
          <w:b/>
          <w:kern w:val="2"/>
          <w:lang w:val="en-GB"/>
        </w:rPr>
        <w:t>mTRP</w:t>
      </w:r>
      <w:proofErr w:type="spellEnd"/>
      <w:r w:rsidR="00930615" w:rsidRPr="00930615">
        <w:rPr>
          <w:b/>
          <w:kern w:val="2"/>
          <w:lang w:val="en-GB"/>
        </w:rPr>
        <w:t xml:space="preserve"> scenarios</w:t>
      </w:r>
    </w:p>
    <w:p w14:paraId="18D05430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Document for:</w:t>
      </w:r>
      <w:r w:rsidRPr="004636C3">
        <w:rPr>
          <w:b/>
          <w:kern w:val="2"/>
          <w:lang w:val="en-GB"/>
        </w:rPr>
        <w:tab/>
        <w:t>Discussion and Decision</w:t>
      </w:r>
    </w:p>
    <w:p w14:paraId="349A5A27" w14:textId="77777777" w:rsidR="00FE0325" w:rsidRPr="00903FED" w:rsidRDefault="00FE0325" w:rsidP="00FE0325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20815985" w14:textId="77777777" w:rsidR="00FE0325" w:rsidRPr="00903FED" w:rsidRDefault="00FE0325" w:rsidP="00FE0325">
      <w:pPr>
        <w:pStyle w:val="Heading1"/>
        <w:rPr>
          <w:szCs w:val="20"/>
          <w:lang w:eastAsia="zh-CN"/>
        </w:rPr>
      </w:pPr>
      <w:r w:rsidRPr="00903FED">
        <w:rPr>
          <w:szCs w:val="20"/>
          <w:lang w:eastAsia="zh-CN"/>
        </w:rPr>
        <w:t>Introduction</w:t>
      </w:r>
    </w:p>
    <w:p w14:paraId="24BF6411" w14:textId="1FED6000" w:rsidR="001E01D6" w:rsidRPr="0037494E" w:rsidRDefault="00FF3C5F" w:rsidP="008B6F0B">
      <w:pPr>
        <w:rPr>
          <w:lang w:eastAsia="zh-CN"/>
        </w:rPr>
      </w:pPr>
      <w:r w:rsidRPr="00FF3C5F">
        <w:rPr>
          <w:lang w:val="en-GB"/>
        </w:rPr>
        <w:t xml:space="preserve">In this paper, </w:t>
      </w:r>
      <w:r w:rsidR="00C408BC">
        <w:rPr>
          <w:lang w:val="en-GB"/>
        </w:rPr>
        <w:t xml:space="preserve">we provide our views on the </w:t>
      </w:r>
      <w:r w:rsidR="004F6393">
        <w:rPr>
          <w:lang w:val="en-GB"/>
        </w:rPr>
        <w:t>remaining issues pertaining to the</w:t>
      </w:r>
      <w:r w:rsidR="00254F1F">
        <w:rPr>
          <w:lang w:val="en-GB"/>
        </w:rPr>
        <w:t xml:space="preserve"> </w:t>
      </w:r>
      <w:r w:rsidR="004F6393">
        <w:rPr>
          <w:lang w:val="en-GB"/>
        </w:rPr>
        <w:t>e</w:t>
      </w:r>
      <w:r w:rsidR="004F6393" w:rsidRPr="00930615">
        <w:rPr>
          <w:lang w:val="en-GB"/>
        </w:rPr>
        <w:t xml:space="preserve">nhancements for asymmetric DL </w:t>
      </w:r>
      <w:proofErr w:type="spellStart"/>
      <w:r w:rsidR="004F6393" w:rsidRPr="00930615">
        <w:rPr>
          <w:lang w:val="en-GB"/>
        </w:rPr>
        <w:t>sTRP</w:t>
      </w:r>
      <w:proofErr w:type="spellEnd"/>
      <w:r w:rsidR="004F6393" w:rsidRPr="00930615">
        <w:rPr>
          <w:lang w:val="en-GB"/>
        </w:rPr>
        <w:t xml:space="preserve">/UL </w:t>
      </w:r>
      <w:proofErr w:type="spellStart"/>
      <w:r w:rsidR="004F6393" w:rsidRPr="00930615">
        <w:rPr>
          <w:lang w:val="en-GB"/>
        </w:rPr>
        <w:t>mTRP</w:t>
      </w:r>
      <w:proofErr w:type="spellEnd"/>
      <w:r w:rsidR="004F6393" w:rsidRPr="00930615">
        <w:rPr>
          <w:lang w:val="en-GB"/>
        </w:rPr>
        <w:t xml:space="preserve"> scenarios</w:t>
      </w:r>
      <w:r w:rsidR="004F6393">
        <w:rPr>
          <w:lang w:val="en-GB"/>
        </w:rPr>
        <w:t>.</w:t>
      </w:r>
    </w:p>
    <w:p w14:paraId="72051328" w14:textId="66730D87" w:rsidR="003A1328" w:rsidRDefault="003A1328" w:rsidP="003A1328">
      <w:pPr>
        <w:pStyle w:val="Heading1"/>
        <w:rPr>
          <w:lang w:eastAsia="zh-CN"/>
        </w:rPr>
      </w:pPr>
      <w:r>
        <w:rPr>
          <w:lang w:eastAsia="zh-CN"/>
        </w:rPr>
        <w:t>Type 3 PHR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A1328" w14:paraId="2F6C1573" w14:textId="77777777" w:rsidTr="002C3551">
        <w:tc>
          <w:tcPr>
            <w:tcW w:w="9016" w:type="dxa"/>
          </w:tcPr>
          <w:p w14:paraId="31DAD0AB" w14:textId="77777777" w:rsidR="003A1328" w:rsidRPr="00FB4E6D" w:rsidRDefault="003A1328" w:rsidP="002C3551">
            <w:pPr>
              <w:contextualSpacing/>
              <w:rPr>
                <w:b/>
                <w:bCs/>
                <w:iCs/>
                <w:sz w:val="20"/>
                <w:highlight w:val="green"/>
                <w:lang w:eastAsia="zh-CN"/>
              </w:rPr>
            </w:pPr>
            <w:r w:rsidRPr="00FB4E6D">
              <w:rPr>
                <w:b/>
                <w:bCs/>
                <w:iCs/>
                <w:sz w:val="20"/>
                <w:highlight w:val="green"/>
                <w:lang w:eastAsia="zh-CN"/>
              </w:rPr>
              <w:t>Agreement</w:t>
            </w:r>
          </w:p>
          <w:p w14:paraId="32840DC8" w14:textId="77777777" w:rsidR="003A1328" w:rsidRPr="00FB4E6D" w:rsidRDefault="003A1328" w:rsidP="002C3551">
            <w:pPr>
              <w:rPr>
                <w:rFonts w:eastAsia="DengXian" w:cs="Batang"/>
                <w:sz w:val="20"/>
              </w:rPr>
            </w:pPr>
            <w:r w:rsidRPr="00FB4E6D">
              <w:rPr>
                <w:rFonts w:eastAsia="DengXian" w:cs="Batang"/>
                <w:sz w:val="20"/>
              </w:rPr>
              <w:t xml:space="preserve">Study whether to support </w:t>
            </w:r>
            <w:bookmarkStart w:id="0" w:name="_Hlk177050882"/>
            <w:r w:rsidRPr="00FB4E6D">
              <w:rPr>
                <w:rFonts w:eastAsia="DengXian" w:cs="Batang"/>
                <w:sz w:val="20"/>
              </w:rPr>
              <w:t>Type 3 PHR reporting</w:t>
            </w:r>
            <w:bookmarkEnd w:id="0"/>
            <w:r w:rsidRPr="00FB4E6D">
              <w:rPr>
                <w:rFonts w:eastAsia="DengXian" w:cs="Batang"/>
                <w:sz w:val="20"/>
              </w:rPr>
              <w:t xml:space="preserve"> in a serving cell/BWP where the UE is configured with two separate SRS CLPC adjustment states.</w:t>
            </w:r>
          </w:p>
          <w:p w14:paraId="0636F7C2" w14:textId="77777777" w:rsidR="003A1328" w:rsidRPr="008B6F0B" w:rsidRDefault="003A1328" w:rsidP="003A1328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160" w:line="259" w:lineRule="auto"/>
              <w:contextualSpacing/>
              <w:jc w:val="left"/>
              <w:rPr>
                <w:rFonts w:eastAsia="DengXian"/>
                <w:lang w:eastAsia="x-none"/>
              </w:rPr>
            </w:pPr>
            <w:r w:rsidRPr="00FB4E6D">
              <w:rPr>
                <w:rFonts w:eastAsia="DengXian" w:cs="Arial"/>
                <w:sz w:val="20"/>
                <w:lang w:eastAsia="x-none"/>
              </w:rPr>
              <w:t>Continue to study whether to support including PL offset in the calculation of Type 3 PHR.</w:t>
            </w:r>
          </w:p>
          <w:p w14:paraId="0F118D72" w14:textId="059A2981" w:rsidR="005677CC" w:rsidRPr="009B0CCE" w:rsidRDefault="005677CC" w:rsidP="008B6F0B">
            <w:pPr>
              <w:autoSpaceDE/>
              <w:autoSpaceDN/>
              <w:adjustRightInd/>
              <w:snapToGrid/>
              <w:spacing w:after="160" w:line="259" w:lineRule="auto"/>
              <w:ind w:left="720"/>
              <w:contextualSpacing/>
              <w:jc w:val="left"/>
              <w:rPr>
                <w:rFonts w:eastAsia="DengXian"/>
                <w:lang w:eastAsia="x-none"/>
              </w:rPr>
            </w:pPr>
          </w:p>
        </w:tc>
      </w:tr>
    </w:tbl>
    <w:p w14:paraId="607F97BF" w14:textId="77777777" w:rsidR="003A1328" w:rsidRDefault="003A1328" w:rsidP="003A1328">
      <w:pPr>
        <w:rPr>
          <w:lang w:eastAsia="zh-CN"/>
        </w:rPr>
      </w:pPr>
    </w:p>
    <w:p w14:paraId="19ED525B" w14:textId="0CEBFD91" w:rsidR="003A1328" w:rsidRPr="00FF6327" w:rsidRDefault="003A1328" w:rsidP="003A1328">
      <w:pPr>
        <w:rPr>
          <w:lang w:eastAsia="zh-CN"/>
        </w:rPr>
      </w:pPr>
      <w:r>
        <w:rPr>
          <w:lang w:eastAsia="zh-CN"/>
        </w:rPr>
        <w:t>Based on</w:t>
      </w:r>
      <w:r w:rsidRPr="00FF6327">
        <w:rPr>
          <w:lang w:eastAsia="zh-CN"/>
        </w:rPr>
        <w:t xml:space="preserve"> the following excerpt from 38.213, Type 3 PH report </w:t>
      </w:r>
      <w:r w:rsidR="004E6AF6">
        <w:rPr>
          <w:lang w:eastAsia="zh-CN"/>
        </w:rPr>
        <w:t>is</w:t>
      </w:r>
      <w:r w:rsidRPr="00FF6327">
        <w:rPr>
          <w:lang w:eastAsia="zh-CN"/>
        </w:rPr>
        <w:t xml:space="preserve"> supported only for a serving cell on which PUSCH transmission is not configured: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A1328" w14:paraId="49DE1916" w14:textId="77777777" w:rsidTr="002C3551">
        <w:tc>
          <w:tcPr>
            <w:tcW w:w="9016" w:type="dxa"/>
          </w:tcPr>
          <w:p w14:paraId="407D29FA" w14:textId="77777777" w:rsidR="003A1328" w:rsidRPr="00FB4E6D" w:rsidRDefault="003A1328" w:rsidP="002C3551">
            <w:pPr>
              <w:pStyle w:val="0Maintext"/>
              <w:rPr>
                <w:rFonts w:eastAsia="DengXian"/>
                <w:b/>
                <w:bCs/>
                <w:sz w:val="20"/>
                <w:lang w:val="en-US"/>
              </w:rPr>
            </w:pPr>
            <w:bookmarkStart w:id="1" w:name="_Hlk177050089"/>
            <w:r w:rsidRPr="00FB4E6D">
              <w:rPr>
                <w:rFonts w:eastAsia="DengXian"/>
                <w:b/>
                <w:bCs/>
                <w:sz w:val="20"/>
                <w:lang w:val="en-US"/>
              </w:rPr>
              <w:t xml:space="preserve">Excerpt from TS 38.213 </w:t>
            </w:r>
          </w:p>
          <w:p w14:paraId="1CC02926" w14:textId="77777777" w:rsidR="003A1328" w:rsidRPr="00FB4E6D" w:rsidRDefault="003A1328" w:rsidP="002C3551">
            <w:pPr>
              <w:pStyle w:val="0Maintext"/>
              <w:rPr>
                <w:rFonts w:eastAsia="DengXian"/>
                <w:b/>
                <w:bCs/>
                <w:sz w:val="20"/>
                <w:lang w:val="en-US"/>
              </w:rPr>
            </w:pPr>
            <w:r w:rsidRPr="00FB4E6D">
              <w:rPr>
                <w:rFonts w:eastAsia="DengXian"/>
                <w:b/>
                <w:bCs/>
                <w:sz w:val="20"/>
                <w:lang w:val="en-US"/>
              </w:rPr>
              <w:t>7.7.3 Type 3 PH report</w:t>
            </w:r>
          </w:p>
          <w:p w14:paraId="12F75BAB" w14:textId="77777777" w:rsidR="003A1328" w:rsidRPr="00FB4E6D" w:rsidRDefault="003A1328" w:rsidP="002C3551">
            <w:pPr>
              <w:rPr>
                <w:sz w:val="20"/>
              </w:rPr>
            </w:pPr>
            <w:r w:rsidRPr="00FB4E6D">
              <w:rPr>
                <w:sz w:val="20"/>
              </w:rPr>
              <w:t xml:space="preserve">If a UE determines that a Type 3 power headroom report for an activated serving cell is based on an actual SRS transmission then, for SRS transmission occasion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Pr="00FB4E6D">
              <w:rPr>
                <w:sz w:val="20"/>
              </w:rPr>
              <w:t xml:space="preserve"> on active UL BWP </w:t>
            </w:r>
            <m:oMath>
              <m:r>
                <w:rPr>
                  <w:rFonts w:ascii="Cambria Math" w:hAnsi="Cambria Math"/>
                  <w:sz w:val="20"/>
                </w:rPr>
                <m:t>b</m:t>
              </m:r>
            </m:oMath>
            <w:r w:rsidRPr="00FB4E6D">
              <w:rPr>
                <w:sz w:val="20"/>
              </w:rPr>
              <w:t xml:space="preserve"> of carrier </w:t>
            </w:r>
            <m:oMath>
              <m:r>
                <w:rPr>
                  <w:rFonts w:ascii="Cambria Math" w:hAnsi="Cambria Math"/>
                  <w:sz w:val="20"/>
                </w:rPr>
                <m:t>f</m:t>
              </m:r>
            </m:oMath>
            <w:r w:rsidRPr="00FB4E6D">
              <w:rPr>
                <w:rFonts w:hint="eastAsia"/>
                <w:sz w:val="20"/>
                <w:lang w:eastAsia="zh-CN"/>
              </w:rPr>
              <w:t xml:space="preserve"> </w:t>
            </w:r>
            <w:r w:rsidRPr="00FB4E6D">
              <w:rPr>
                <w:sz w:val="20"/>
              </w:rPr>
              <w:t xml:space="preserve">of serving cell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</m:oMath>
            <w:r w:rsidRPr="00FB4E6D">
              <w:rPr>
                <w:sz w:val="20"/>
              </w:rPr>
              <w:t xml:space="preserve"> </w:t>
            </w:r>
            <w:r w:rsidRPr="00FB4E6D">
              <w:rPr>
                <w:sz w:val="20"/>
                <w:highlight w:val="yellow"/>
              </w:rPr>
              <w:t xml:space="preserve">and if the UE is not configured for PUSCH transmissions on carrier </w:t>
            </w:r>
            <m:oMath>
              <m:r>
                <w:rPr>
                  <w:rFonts w:ascii="Cambria Math" w:hAnsi="Cambria Math"/>
                  <w:sz w:val="20"/>
                  <w:highlight w:val="yellow"/>
                </w:rPr>
                <m:t>f</m:t>
              </m:r>
            </m:oMath>
            <w:r w:rsidRPr="00FB4E6D">
              <w:rPr>
                <w:sz w:val="20"/>
                <w:highlight w:val="yellow"/>
              </w:rPr>
              <w:t xml:space="preserve"> of serving cell </w:t>
            </w:r>
            <m:oMath>
              <m:r>
                <w:rPr>
                  <w:rFonts w:ascii="Cambria Math" w:hAnsi="Cambria Math"/>
                  <w:sz w:val="20"/>
                  <w:highlight w:val="yellow"/>
                </w:rPr>
                <m:t>c</m:t>
              </m:r>
            </m:oMath>
            <w:r w:rsidRPr="00FB4E6D">
              <w:rPr>
                <w:sz w:val="20"/>
              </w:rPr>
              <w:t xml:space="preserve"> and the resource for the SRS transmission is provided by SRS-Resource, the UE computes a Type 3 power headroom report as </w:t>
            </w:r>
          </w:p>
          <w:p w14:paraId="36845FD3" w14:textId="77777777" w:rsidR="003A1328" w:rsidRPr="00FB4E6D" w:rsidRDefault="003A1328" w:rsidP="002C3551">
            <w:pPr>
              <w:rPr>
                <w:sz w:val="20"/>
              </w:rPr>
            </w:pPr>
            <w:r w:rsidRPr="00FB4E6D">
              <w:rPr>
                <w:sz w:val="20"/>
              </w:rPr>
              <w:t>[…]</w:t>
            </w:r>
          </w:p>
          <w:p w14:paraId="0F5CFE0B" w14:textId="77777777" w:rsidR="003A1328" w:rsidRPr="00FB4E6D" w:rsidRDefault="003A1328" w:rsidP="002C3551">
            <w:pPr>
              <w:rPr>
                <w:sz w:val="20"/>
              </w:rPr>
            </w:pPr>
            <w:r w:rsidRPr="00FB4E6D">
              <w:rPr>
                <w:sz w:val="20"/>
              </w:rPr>
              <w:t xml:space="preserve">If the UE determines that a Type 3 power headroom report for an activated serving cell is based on a reference SRS transmission then, for SRS transmission occasion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Pr="00FB4E6D">
              <w:rPr>
                <w:sz w:val="20"/>
              </w:rPr>
              <w:t xml:space="preserve"> on UL BWP </w:t>
            </w:r>
            <m:oMath>
              <m:r>
                <w:rPr>
                  <w:rFonts w:ascii="Cambria Math" w:hAnsi="Cambria Math"/>
                  <w:sz w:val="20"/>
                </w:rPr>
                <m:t>b</m:t>
              </m:r>
            </m:oMath>
            <w:r w:rsidRPr="00FB4E6D">
              <w:rPr>
                <w:sz w:val="20"/>
              </w:rPr>
              <w:t xml:space="preserve"> of carrier </w:t>
            </w:r>
            <m:oMath>
              <m:r>
                <w:rPr>
                  <w:rFonts w:ascii="Cambria Math" w:hAnsi="Cambria Math"/>
                  <w:sz w:val="20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 xml:space="preserve"> </m:t>
              </m:r>
            </m:oMath>
            <w:r w:rsidRPr="00FB4E6D">
              <w:rPr>
                <w:sz w:val="20"/>
              </w:rPr>
              <w:t xml:space="preserve">of serving cell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</m:oMath>
            <w:r w:rsidRPr="00FB4E6D">
              <w:rPr>
                <w:sz w:val="20"/>
              </w:rPr>
              <w:t xml:space="preserve">, </w:t>
            </w:r>
            <w:r w:rsidRPr="00FB4E6D">
              <w:rPr>
                <w:sz w:val="20"/>
                <w:highlight w:val="yellow"/>
              </w:rPr>
              <w:t xml:space="preserve">and if </w:t>
            </w:r>
            <w:bookmarkStart w:id="2" w:name="_Hlk177060399"/>
            <w:r w:rsidRPr="00FB4E6D">
              <w:rPr>
                <w:sz w:val="20"/>
                <w:highlight w:val="yellow"/>
              </w:rPr>
              <w:t xml:space="preserve">the UE is not configured for PUSCH transmissions on UL BWP </w:t>
            </w:r>
            <m:oMath>
              <m:r>
                <w:rPr>
                  <w:rFonts w:ascii="Cambria Math" w:hAnsi="Cambria Math"/>
                  <w:sz w:val="20"/>
                  <w:highlight w:val="yellow"/>
                </w:rPr>
                <m:t>b</m:t>
              </m:r>
            </m:oMath>
            <w:r w:rsidRPr="00FB4E6D">
              <w:rPr>
                <w:sz w:val="20"/>
                <w:highlight w:val="yellow"/>
              </w:rPr>
              <w:t xml:space="preserve"> of carrier </w:t>
            </w:r>
            <m:oMath>
              <m:r>
                <w:rPr>
                  <w:rFonts w:ascii="Cambria Math" w:hAnsi="Cambria Math"/>
                  <w:sz w:val="20"/>
                  <w:highlight w:val="yellow"/>
                </w:rPr>
                <m:t>f</m:t>
              </m:r>
            </m:oMath>
            <w:r w:rsidRPr="00FB4E6D">
              <w:rPr>
                <w:sz w:val="20"/>
                <w:highlight w:val="yellow"/>
              </w:rPr>
              <w:t xml:space="preserve"> of serving cell </w:t>
            </w:r>
            <m:oMath>
              <m:r>
                <w:rPr>
                  <w:rFonts w:ascii="Cambria Math" w:hAnsi="Cambria Math"/>
                  <w:sz w:val="20"/>
                  <w:highlight w:val="yellow"/>
                </w:rPr>
                <m:t>c</m:t>
              </m:r>
            </m:oMath>
            <w:bookmarkEnd w:id="2"/>
            <w:r w:rsidRPr="00FB4E6D">
              <w:rPr>
                <w:sz w:val="20"/>
              </w:rPr>
              <w:t xml:space="preserve"> and a resource for the reference SRS transmission is provided by SRS-Resource, the UE computes a Type 3 power headroom report as </w:t>
            </w:r>
          </w:p>
          <w:p w14:paraId="7D8A9E0B" w14:textId="77777777" w:rsidR="003A1328" w:rsidRDefault="003A1328" w:rsidP="002C3551">
            <w:r w:rsidRPr="00FB4E6D">
              <w:rPr>
                <w:sz w:val="20"/>
              </w:rPr>
              <w:t>[…]</w:t>
            </w:r>
          </w:p>
        </w:tc>
      </w:tr>
      <w:bookmarkEnd w:id="1"/>
    </w:tbl>
    <w:p w14:paraId="68753C07" w14:textId="77777777" w:rsidR="003A1328" w:rsidRDefault="003A1328" w:rsidP="003A1328">
      <w:pPr>
        <w:rPr>
          <w:lang w:eastAsia="zh-CN"/>
        </w:rPr>
      </w:pPr>
    </w:p>
    <w:p w14:paraId="748CCCFB" w14:textId="24B8196C" w:rsidR="003A1328" w:rsidRDefault="003A1328" w:rsidP="003A1328">
      <w:pPr>
        <w:rPr>
          <w:lang w:eastAsia="zh-CN"/>
        </w:rPr>
      </w:pPr>
      <w:r>
        <w:rPr>
          <w:lang w:eastAsia="zh-CN"/>
        </w:rPr>
        <w:t xml:space="preserve">However, WID is clear that </w:t>
      </w:r>
      <w:r w:rsidR="004E6AF6">
        <w:rPr>
          <w:lang w:eastAsia="zh-CN"/>
        </w:rPr>
        <w:t xml:space="preserve">“UL-only cell” should not be introduced </w:t>
      </w:r>
      <w:r w:rsidR="001A1F03">
        <w:rPr>
          <w:lang w:eastAsia="zh-CN"/>
        </w:rPr>
        <w:t xml:space="preserve">in this AI </w:t>
      </w:r>
      <w:r w:rsidR="004E6AF6">
        <w:rPr>
          <w:lang w:eastAsia="zh-CN"/>
        </w:rPr>
        <w:t xml:space="preserve">and, therefore, </w:t>
      </w:r>
      <w:r>
        <w:rPr>
          <w:lang w:eastAsia="zh-CN"/>
        </w:rPr>
        <w:t xml:space="preserve">both </w:t>
      </w:r>
      <w:r w:rsidR="004E6AF6">
        <w:rPr>
          <w:lang w:eastAsia="zh-CN"/>
        </w:rPr>
        <w:t xml:space="preserve">anchor (DL) </w:t>
      </w:r>
      <w:r>
        <w:rPr>
          <w:lang w:eastAsia="zh-CN"/>
        </w:rPr>
        <w:t>TRP</w:t>
      </w:r>
      <w:r w:rsidR="004E6AF6">
        <w:rPr>
          <w:lang w:eastAsia="zh-CN"/>
        </w:rPr>
        <w:t xml:space="preserve"> </w:t>
      </w:r>
      <w:r>
        <w:rPr>
          <w:lang w:eastAsia="zh-CN"/>
        </w:rPr>
        <w:t>and UL TRP belong to the same cell: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A1328" w14:paraId="39E55F5E" w14:textId="77777777" w:rsidTr="002C3551">
        <w:tc>
          <w:tcPr>
            <w:tcW w:w="9016" w:type="dxa"/>
          </w:tcPr>
          <w:p w14:paraId="58A09D5D" w14:textId="77777777" w:rsidR="003A1328" w:rsidRPr="00FB4E6D" w:rsidRDefault="003A1328" w:rsidP="002C3551">
            <w:pPr>
              <w:pStyle w:val="0Maintext"/>
              <w:rPr>
                <w:rFonts w:eastAsia="DengXian"/>
                <w:b/>
                <w:bCs/>
                <w:sz w:val="20"/>
                <w:lang w:val="en-US"/>
              </w:rPr>
            </w:pPr>
            <w:r w:rsidRPr="00FB4E6D">
              <w:rPr>
                <w:rFonts w:eastAsia="DengXian"/>
                <w:b/>
                <w:bCs/>
                <w:sz w:val="20"/>
                <w:lang w:val="en-US"/>
              </w:rPr>
              <w:t>Excerpt from RP-242394 Rev WID – Rel-19 MIMO</w:t>
            </w:r>
          </w:p>
          <w:p w14:paraId="24C1CD15" w14:textId="77777777" w:rsidR="003A1328" w:rsidRPr="004B0D27" w:rsidRDefault="003A1328" w:rsidP="002C3551">
            <w:pPr>
              <w:rPr>
                <w:rFonts w:eastAsiaTheme="minorEastAsia"/>
                <w:sz w:val="20"/>
                <w:lang w:eastAsia="zh-CN"/>
              </w:rPr>
            </w:pPr>
            <w:r w:rsidRPr="00FB4E6D">
              <w:rPr>
                <w:rFonts w:eastAsia="Times New Roman"/>
                <w:sz w:val="20"/>
              </w:rPr>
              <w:t xml:space="preserve">Specify enhancement for asymmetric DL </w:t>
            </w:r>
            <w:proofErr w:type="spellStart"/>
            <w:r w:rsidRPr="00FB4E6D">
              <w:rPr>
                <w:rFonts w:eastAsia="Times New Roman"/>
                <w:sz w:val="20"/>
              </w:rPr>
              <w:t>sTRP</w:t>
            </w:r>
            <w:proofErr w:type="spellEnd"/>
            <w:r w:rsidRPr="00FB4E6D">
              <w:rPr>
                <w:rFonts w:eastAsia="Times New Roman"/>
                <w:sz w:val="20"/>
              </w:rPr>
              <w:t xml:space="preserve">/UL </w:t>
            </w:r>
            <w:proofErr w:type="spellStart"/>
            <w:r w:rsidRPr="00FB4E6D">
              <w:rPr>
                <w:rFonts w:eastAsia="Times New Roman"/>
                <w:sz w:val="20"/>
              </w:rPr>
              <w:t>mTRP</w:t>
            </w:r>
            <w:proofErr w:type="spellEnd"/>
            <w:r w:rsidRPr="00FB4E6D">
              <w:rPr>
                <w:rFonts w:eastAsia="Times New Roman"/>
                <w:sz w:val="20"/>
              </w:rPr>
              <w:t xml:space="preserve"> deployment scenarios, assuming intra-band intra-DU non-co-locate </w:t>
            </w:r>
            <w:proofErr w:type="spellStart"/>
            <w:r w:rsidRPr="00FB4E6D">
              <w:rPr>
                <w:rFonts w:eastAsia="Times New Roman"/>
                <w:sz w:val="20"/>
              </w:rPr>
              <w:t>mTRP</w:t>
            </w:r>
            <w:proofErr w:type="spellEnd"/>
            <w:r w:rsidRPr="00FB4E6D">
              <w:rPr>
                <w:rFonts w:eastAsia="Times New Roman"/>
                <w:sz w:val="20"/>
              </w:rPr>
              <w:t xml:space="preserve"> scenarios, </w:t>
            </w:r>
            <w:r w:rsidRPr="00FB4E6D">
              <w:rPr>
                <w:rFonts w:eastAsia="Times New Roman"/>
                <w:sz w:val="20"/>
                <w:highlight w:val="yellow"/>
              </w:rPr>
              <w:t>without changing existing cell definition or defining a new cell (e.g. UL-only cell)</w:t>
            </w:r>
          </w:p>
        </w:tc>
      </w:tr>
    </w:tbl>
    <w:p w14:paraId="2F887097" w14:textId="77777777" w:rsidR="003A1328" w:rsidRDefault="003A1328" w:rsidP="003A1328">
      <w:pPr>
        <w:rPr>
          <w:lang w:eastAsia="zh-CN"/>
        </w:rPr>
      </w:pPr>
    </w:p>
    <w:p w14:paraId="205429B9" w14:textId="3581BF98" w:rsidR="003A1328" w:rsidRPr="005677CC" w:rsidRDefault="003A1328" w:rsidP="003A1328">
      <w:pPr>
        <w:rPr>
          <w:rFonts w:eastAsia="DengXian"/>
          <w:lang w:eastAsia="zh-CN"/>
        </w:rPr>
      </w:pPr>
      <w:r w:rsidRPr="005677CC">
        <w:rPr>
          <w:lang w:eastAsia="zh-CN"/>
        </w:rPr>
        <w:t xml:space="preserve">Therefore, </w:t>
      </w:r>
      <w:r w:rsidR="004E6AF6">
        <w:rPr>
          <w:lang w:eastAsia="zh-CN"/>
        </w:rPr>
        <w:t xml:space="preserve">since PUSCH is configured at least for the UL TRP of the cell, </w:t>
      </w:r>
      <w:r w:rsidRPr="005677CC">
        <w:rPr>
          <w:lang w:eastAsia="zh-CN"/>
        </w:rPr>
        <w:t xml:space="preserve">aligned with the current specifications, Type3 PHR should not be supported for asymmetric </w:t>
      </w:r>
      <w:r w:rsidRPr="005677CC">
        <w:rPr>
          <w:rFonts w:eastAsia="DengXian"/>
          <w:lang w:eastAsia="zh-CN"/>
        </w:rPr>
        <w:t xml:space="preserve">DL </w:t>
      </w:r>
      <w:proofErr w:type="spellStart"/>
      <w:r w:rsidRPr="005677CC">
        <w:rPr>
          <w:rFonts w:eastAsia="DengXian"/>
          <w:lang w:eastAsia="zh-CN"/>
        </w:rPr>
        <w:t>sTRP</w:t>
      </w:r>
      <w:proofErr w:type="spellEnd"/>
      <w:r w:rsidRPr="005677CC">
        <w:rPr>
          <w:rFonts w:eastAsia="DengXian"/>
          <w:lang w:eastAsia="zh-CN"/>
        </w:rPr>
        <w:t xml:space="preserve">/UL </w:t>
      </w:r>
      <w:proofErr w:type="spellStart"/>
      <w:r w:rsidRPr="005677CC">
        <w:rPr>
          <w:rFonts w:eastAsia="DengXian"/>
          <w:lang w:eastAsia="zh-CN"/>
        </w:rPr>
        <w:t>mTRP</w:t>
      </w:r>
      <w:proofErr w:type="spellEnd"/>
      <w:r w:rsidRPr="005677CC">
        <w:rPr>
          <w:rFonts w:eastAsia="DengXian"/>
          <w:lang w:eastAsia="zh-CN"/>
        </w:rPr>
        <w:t xml:space="preserve"> scenarios including the case that </w:t>
      </w:r>
      <w:r w:rsidRPr="008B6F0B">
        <w:rPr>
          <w:rFonts w:eastAsia="DengXian" w:cs="Batang"/>
        </w:rPr>
        <w:t>the UE is configured with two separate SRS CLPC adjustment states</w:t>
      </w:r>
      <w:r w:rsidRPr="005677CC">
        <w:rPr>
          <w:rFonts w:eastAsia="DengXian"/>
          <w:lang w:eastAsia="zh-CN"/>
        </w:rPr>
        <w:t>.</w:t>
      </w:r>
      <w:r w:rsidR="001A1F03">
        <w:rPr>
          <w:rFonts w:eastAsia="DengXian"/>
          <w:lang w:eastAsia="zh-CN"/>
        </w:rPr>
        <w:t xml:space="preserve"> </w:t>
      </w:r>
      <w:r w:rsidRPr="005677CC">
        <w:rPr>
          <w:rFonts w:eastAsia="DengXian"/>
          <w:lang w:eastAsia="zh-CN"/>
        </w:rPr>
        <w:t xml:space="preserve"> </w:t>
      </w:r>
    </w:p>
    <w:p w14:paraId="726F910A" w14:textId="762EABC9" w:rsidR="003A1328" w:rsidRPr="005677CC" w:rsidRDefault="003A1328">
      <w:pPr>
        <w:rPr>
          <w:b/>
          <w:bCs/>
          <w:i/>
          <w:lang w:eastAsia="zh-CN"/>
        </w:rPr>
      </w:pPr>
      <w:r w:rsidRPr="005677CC">
        <w:rPr>
          <w:b/>
          <w:bCs/>
          <w:i/>
          <w:lang w:eastAsia="zh-CN"/>
        </w:rPr>
        <w:lastRenderedPageBreak/>
        <w:t xml:space="preserve">Proposal </w:t>
      </w:r>
      <w:r w:rsidR="008B6F0B">
        <w:rPr>
          <w:b/>
          <w:bCs/>
          <w:i/>
          <w:lang w:eastAsia="zh-CN"/>
        </w:rPr>
        <w:t>1</w:t>
      </w:r>
      <w:r w:rsidRPr="005677CC">
        <w:rPr>
          <w:b/>
          <w:bCs/>
          <w:i/>
          <w:lang w:eastAsia="zh-CN"/>
        </w:rPr>
        <w:t xml:space="preserve">: Do not </w:t>
      </w:r>
      <w:r w:rsidRPr="008B6F0B">
        <w:rPr>
          <w:rFonts w:eastAsia="DengXian" w:cs="Batang"/>
          <w:b/>
          <w:i/>
        </w:rPr>
        <w:t>support Type 3 PHR in a serving cell/BWP where the UE is configured with two separate SRS CLPC adjustment states</w:t>
      </w:r>
      <w:r w:rsidRPr="005677CC">
        <w:rPr>
          <w:rFonts w:ascii="Calibri" w:hAnsi="Calibri" w:cs="Calibri"/>
          <w:b/>
          <w:bCs/>
          <w:i/>
          <w:lang w:eastAsia="zh-CN"/>
        </w:rPr>
        <w:t>.</w:t>
      </w:r>
      <w:r w:rsidRPr="005677CC" w:rsidDel="008C2C20">
        <w:rPr>
          <w:b/>
          <w:bCs/>
          <w:i/>
        </w:rPr>
        <w:t xml:space="preserve"> </w:t>
      </w:r>
    </w:p>
    <w:p w14:paraId="7A3C1EBA" w14:textId="77777777" w:rsidR="003A1328" w:rsidRPr="00EB1CD2" w:rsidRDefault="003A1328" w:rsidP="003A1328">
      <w:pPr>
        <w:pStyle w:val="Heading1"/>
        <w:rPr>
          <w:lang w:eastAsia="zh-CN"/>
        </w:rPr>
      </w:pPr>
      <w:r w:rsidRPr="00EB1CD2">
        <w:rPr>
          <w:lang w:eastAsia="zh-CN"/>
        </w:rPr>
        <w:t>SRS power control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A1328" w:rsidRPr="008704E0" w14:paraId="1D0B99BF" w14:textId="77777777" w:rsidTr="002C3551">
        <w:tc>
          <w:tcPr>
            <w:tcW w:w="9016" w:type="dxa"/>
          </w:tcPr>
          <w:p w14:paraId="6F73CEFC" w14:textId="77777777" w:rsidR="003A1328" w:rsidRPr="00FB4E6D" w:rsidRDefault="003A1328" w:rsidP="002C3551">
            <w:pPr>
              <w:contextualSpacing/>
              <w:rPr>
                <w:b/>
                <w:bCs/>
                <w:iCs/>
                <w:sz w:val="20"/>
                <w:highlight w:val="green"/>
                <w:lang w:eastAsia="zh-CN"/>
              </w:rPr>
            </w:pPr>
            <w:r w:rsidRPr="00FB4E6D">
              <w:rPr>
                <w:b/>
                <w:bCs/>
                <w:iCs/>
                <w:sz w:val="20"/>
                <w:highlight w:val="green"/>
                <w:lang w:eastAsia="zh-CN"/>
              </w:rPr>
              <w:t>Agreement</w:t>
            </w:r>
          </w:p>
          <w:p w14:paraId="43C985AE" w14:textId="77777777" w:rsidR="008B6F0B" w:rsidRPr="008B6F0B" w:rsidRDefault="008B6F0B" w:rsidP="008B6F0B">
            <w:pPr>
              <w:rPr>
                <w:rFonts w:eastAsia="DengXian"/>
                <w:sz w:val="20"/>
                <w:lang w:eastAsia="zh-CN"/>
              </w:rPr>
            </w:pPr>
            <w:r w:rsidRPr="008B6F0B">
              <w:rPr>
                <w:rFonts w:eastAsia="DengXian"/>
                <w:sz w:val="20"/>
                <w:lang w:eastAsia="zh-CN"/>
              </w:rPr>
              <w:t xml:space="preserve">For an SRS resource set not configured with </w:t>
            </w:r>
            <w:proofErr w:type="spellStart"/>
            <w:r w:rsidRPr="008B6F0B">
              <w:rPr>
                <w:rFonts w:eastAsia="DengXian"/>
                <w:i/>
                <w:iCs/>
                <w:sz w:val="20"/>
                <w:lang w:eastAsia="zh-CN"/>
              </w:rPr>
              <w:t>followUnifiedTCI-StateSRS</w:t>
            </w:r>
            <w:proofErr w:type="spellEnd"/>
            <w:r w:rsidRPr="008B6F0B">
              <w:rPr>
                <w:rFonts w:eastAsia="DengXian"/>
                <w:sz w:val="20"/>
                <w:lang w:eastAsia="zh-CN"/>
              </w:rPr>
              <w:t>, regarding how to determine the PL offset and the CLPC adjustment state, down-select from the following Alts:</w:t>
            </w:r>
          </w:p>
          <w:p w14:paraId="251A2BC5" w14:textId="77777777" w:rsidR="008B6F0B" w:rsidRPr="008B6F0B" w:rsidRDefault="008B6F0B" w:rsidP="008B6F0B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rPr>
                <w:rFonts w:eastAsia="DengXian"/>
                <w:sz w:val="20"/>
                <w:lang w:eastAsia="zh-CN"/>
              </w:rPr>
            </w:pPr>
            <w:r w:rsidRPr="008B6F0B">
              <w:rPr>
                <w:rFonts w:eastAsia="DengXian"/>
                <w:sz w:val="20"/>
                <w:lang w:eastAsia="zh-CN"/>
              </w:rPr>
              <w:t>Alt1: The PL offset and CLPC adjustment state indicated by the TCI state configured to the SRS resource with lowest ID (i.e., reusing the rule specified in Rel-17) and no extra enhancement.</w:t>
            </w:r>
          </w:p>
          <w:p w14:paraId="780DE9F2" w14:textId="77777777" w:rsidR="008B6F0B" w:rsidRPr="008B6F0B" w:rsidRDefault="008B6F0B" w:rsidP="008B6F0B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rPr>
                <w:rFonts w:eastAsia="DengXian"/>
                <w:sz w:val="20"/>
                <w:lang w:eastAsia="zh-CN"/>
              </w:rPr>
            </w:pPr>
            <w:r w:rsidRPr="008B6F0B">
              <w:rPr>
                <w:rFonts w:eastAsia="DengXian"/>
                <w:sz w:val="20"/>
                <w:lang w:eastAsia="zh-CN"/>
              </w:rPr>
              <w:t>Alt2: The PL offset and CLPC adjustment state indicated by the TCI state configured to the SRS resource with lowest ID (i.e., reusing the rule specified in Rel-17), the SRS with lowest ID is always configured with one joint/UL TCI state, the “</w:t>
            </w:r>
            <w:proofErr w:type="spellStart"/>
            <w:r w:rsidRPr="008B6F0B">
              <w:rPr>
                <w:rFonts w:eastAsia="DengXian"/>
                <w:i/>
                <w:iCs/>
                <w:sz w:val="20"/>
                <w:lang w:eastAsia="zh-CN"/>
              </w:rPr>
              <w:t>referenceSignal</w:t>
            </w:r>
            <w:proofErr w:type="spellEnd"/>
            <w:r w:rsidRPr="008B6F0B">
              <w:rPr>
                <w:rFonts w:eastAsia="DengXian"/>
                <w:sz w:val="20"/>
                <w:lang w:eastAsia="zh-CN"/>
              </w:rPr>
              <w:t>” in a UL TCI state is optional.</w:t>
            </w:r>
          </w:p>
          <w:p w14:paraId="48D4F0C2" w14:textId="77777777" w:rsidR="008B6F0B" w:rsidRPr="008B6F0B" w:rsidRDefault="008B6F0B" w:rsidP="008B6F0B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rPr>
                <w:rFonts w:eastAsia="DengXian"/>
                <w:sz w:val="20"/>
                <w:lang w:eastAsia="zh-CN"/>
              </w:rPr>
            </w:pPr>
            <w:r w:rsidRPr="008B6F0B">
              <w:rPr>
                <w:rFonts w:eastAsia="DengXian"/>
                <w:sz w:val="20"/>
                <w:lang w:eastAsia="zh-CN"/>
              </w:rPr>
              <w:t xml:space="preserve">Alt3: </w:t>
            </w:r>
          </w:p>
          <w:p w14:paraId="2C252875" w14:textId="77777777" w:rsidR="008B6F0B" w:rsidRPr="008B6F0B" w:rsidRDefault="008B6F0B" w:rsidP="008B6F0B">
            <w:pPr>
              <w:numPr>
                <w:ilvl w:val="1"/>
                <w:numId w:val="41"/>
              </w:numPr>
              <w:autoSpaceDE/>
              <w:autoSpaceDN/>
              <w:adjustRightInd/>
              <w:snapToGrid/>
              <w:spacing w:after="0"/>
              <w:rPr>
                <w:rFonts w:eastAsia="DengXian"/>
                <w:sz w:val="20"/>
                <w:lang w:eastAsia="zh-CN"/>
              </w:rPr>
            </w:pPr>
            <w:r w:rsidRPr="008B6F0B">
              <w:rPr>
                <w:rFonts w:eastAsia="DengXian"/>
                <w:sz w:val="20"/>
                <w:lang w:eastAsia="zh-CN"/>
              </w:rPr>
              <w:t xml:space="preserve">When the SRS resource with lowest ID is configured with a TCI state, The PL offset and CLPC adjustment state indicated by that TCI state are applied to those SRS resources (i.e., reusing the rule specified in Rel-17) </w:t>
            </w:r>
          </w:p>
          <w:p w14:paraId="288DCC26" w14:textId="77777777" w:rsidR="008B6F0B" w:rsidRPr="008B6F0B" w:rsidRDefault="008B6F0B" w:rsidP="008B6F0B">
            <w:pPr>
              <w:numPr>
                <w:ilvl w:val="1"/>
                <w:numId w:val="41"/>
              </w:numPr>
              <w:autoSpaceDE/>
              <w:autoSpaceDN/>
              <w:adjustRightInd/>
              <w:snapToGrid/>
              <w:spacing w:after="0"/>
              <w:rPr>
                <w:rFonts w:eastAsia="DengXian"/>
                <w:sz w:val="20"/>
                <w:lang w:eastAsia="zh-CN"/>
              </w:rPr>
            </w:pPr>
            <w:r w:rsidRPr="008B6F0B">
              <w:rPr>
                <w:rFonts w:eastAsia="DengXian"/>
                <w:sz w:val="20"/>
                <w:lang w:eastAsia="zh-CN"/>
              </w:rPr>
              <w:t xml:space="preserve">Otherwise, one of the two separate SRS CLPC adjustment states and one PL offset are configured in the SRS resource set, and they are applied on the SRS resources. </w:t>
            </w:r>
          </w:p>
          <w:p w14:paraId="62DD97C2" w14:textId="77777777" w:rsidR="008B6F0B" w:rsidRPr="008B6F0B" w:rsidRDefault="008B6F0B" w:rsidP="008B6F0B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rPr>
                <w:rFonts w:eastAsia="DengXian"/>
                <w:sz w:val="20"/>
                <w:lang w:eastAsia="zh-CN"/>
              </w:rPr>
            </w:pPr>
            <w:r w:rsidRPr="008B6F0B">
              <w:rPr>
                <w:rFonts w:eastAsia="DengXian"/>
                <w:sz w:val="20"/>
                <w:lang w:eastAsia="zh-CN"/>
              </w:rPr>
              <w:t xml:space="preserve">Alt4: </w:t>
            </w:r>
          </w:p>
          <w:p w14:paraId="6A13D207" w14:textId="77777777" w:rsidR="008B6F0B" w:rsidRPr="008B6F0B" w:rsidRDefault="008B6F0B" w:rsidP="008B6F0B">
            <w:pPr>
              <w:numPr>
                <w:ilvl w:val="1"/>
                <w:numId w:val="41"/>
              </w:numPr>
              <w:autoSpaceDE/>
              <w:autoSpaceDN/>
              <w:adjustRightInd/>
              <w:snapToGrid/>
              <w:spacing w:after="0"/>
              <w:rPr>
                <w:rFonts w:eastAsia="DengXian"/>
                <w:sz w:val="20"/>
                <w:lang w:eastAsia="zh-CN"/>
              </w:rPr>
            </w:pPr>
            <w:r w:rsidRPr="008B6F0B">
              <w:rPr>
                <w:rFonts w:eastAsia="DengXian"/>
                <w:sz w:val="20"/>
                <w:lang w:eastAsia="zh-CN"/>
              </w:rPr>
              <w:t xml:space="preserve">When the SRS resource with lowest ID is configured with a TCI state, The PL offset and CLPC adjustment state indicated by that TCI state are applied to those SRS resources (i.e., reusing the rule specified in Rel-17) </w:t>
            </w:r>
          </w:p>
          <w:p w14:paraId="156D4D9B" w14:textId="77777777" w:rsidR="008B6F0B" w:rsidRPr="008B6F0B" w:rsidRDefault="008B6F0B" w:rsidP="008B6F0B">
            <w:pPr>
              <w:numPr>
                <w:ilvl w:val="1"/>
                <w:numId w:val="41"/>
              </w:numPr>
              <w:autoSpaceDE/>
              <w:autoSpaceDN/>
              <w:adjustRightInd/>
              <w:snapToGrid/>
              <w:spacing w:after="0"/>
              <w:rPr>
                <w:rFonts w:eastAsia="DengXian"/>
                <w:sz w:val="20"/>
                <w:lang w:eastAsia="zh-CN"/>
              </w:rPr>
            </w:pPr>
            <w:r w:rsidRPr="008B6F0B">
              <w:rPr>
                <w:rFonts w:eastAsia="DengXian"/>
                <w:sz w:val="20"/>
                <w:lang w:eastAsia="zh-CN"/>
              </w:rPr>
              <w:t xml:space="preserve">Otherwise, one PL offset and one CLPC adjustment state are applied on the SRS resources. </w:t>
            </w:r>
          </w:p>
          <w:p w14:paraId="1D46FED7" w14:textId="77777777" w:rsidR="008B6F0B" w:rsidRPr="008B6F0B" w:rsidRDefault="008B6F0B" w:rsidP="008B6F0B">
            <w:pPr>
              <w:numPr>
                <w:ilvl w:val="2"/>
                <w:numId w:val="41"/>
              </w:numPr>
              <w:autoSpaceDE/>
              <w:autoSpaceDN/>
              <w:adjustRightInd/>
              <w:snapToGrid/>
              <w:spacing w:after="0"/>
              <w:rPr>
                <w:rFonts w:eastAsia="Calibri"/>
                <w:sz w:val="20"/>
                <w:lang w:eastAsia="zh-CN"/>
              </w:rPr>
            </w:pPr>
            <w:r w:rsidRPr="008B6F0B">
              <w:rPr>
                <w:rFonts w:eastAsia="DengXian"/>
                <w:sz w:val="20"/>
                <w:lang w:eastAsia="zh-CN"/>
              </w:rPr>
              <w:t>FFS how to define the PL offset and CLPC adjustment state</w:t>
            </w:r>
          </w:p>
          <w:p w14:paraId="0251F408" w14:textId="77777777" w:rsidR="003A1328" w:rsidRPr="002954EB" w:rsidRDefault="003A1328" w:rsidP="002C3551">
            <w:pPr>
              <w:tabs>
                <w:tab w:val="left" w:pos="643"/>
              </w:tabs>
              <w:rPr>
                <w:rFonts w:eastAsia="DengXian"/>
                <w:lang w:val="en-CA"/>
              </w:rPr>
            </w:pPr>
          </w:p>
        </w:tc>
      </w:tr>
    </w:tbl>
    <w:p w14:paraId="6115E8C3" w14:textId="77777777" w:rsidR="003A1328" w:rsidRDefault="003A1328" w:rsidP="003A1328">
      <w:pPr>
        <w:rPr>
          <w:kern w:val="2"/>
          <w:lang w:val="en-GB" w:eastAsia="zh-CN"/>
        </w:rPr>
      </w:pPr>
    </w:p>
    <w:p w14:paraId="24C11407" w14:textId="3EF4E655" w:rsidR="003A06E9" w:rsidRPr="003A06E9" w:rsidRDefault="00775940" w:rsidP="003A06E9">
      <w:pPr>
        <w:rPr>
          <w:lang w:eastAsia="zh-CN"/>
        </w:rPr>
      </w:pPr>
      <w:r w:rsidRPr="00775940">
        <w:rPr>
          <w:lang w:eastAsia="zh-CN"/>
        </w:rPr>
        <w:t xml:space="preserve">In </w:t>
      </w:r>
      <w:r w:rsidR="007C0485">
        <w:rPr>
          <w:lang w:eastAsia="zh-CN"/>
        </w:rPr>
        <w:t>RAN1#119</w:t>
      </w:r>
      <w:r w:rsidRPr="00775940">
        <w:rPr>
          <w:lang w:eastAsia="zh-CN"/>
        </w:rPr>
        <w:t xml:space="preserve"> [1], it was agreed to down-select one from the alternatives presented above.</w:t>
      </w:r>
      <w:r w:rsidR="003A06E9">
        <w:rPr>
          <w:lang w:eastAsia="zh-CN"/>
        </w:rPr>
        <w:t xml:space="preserve"> </w:t>
      </w:r>
      <w:r w:rsidR="003A06E9" w:rsidRPr="003A06E9">
        <w:rPr>
          <w:lang w:eastAsia="zh-CN"/>
        </w:rPr>
        <w:t xml:space="preserve">In what follows, we analyze these alternatives. </w:t>
      </w:r>
    </w:p>
    <w:p w14:paraId="1E2A0A17" w14:textId="5E6A506C" w:rsidR="003A06E9" w:rsidRPr="00D760CE" w:rsidRDefault="003A06E9" w:rsidP="003A06E9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2"/>
          <w:szCs w:val="22"/>
        </w:rPr>
      </w:pPr>
      <w:r w:rsidRPr="00D760CE">
        <w:rPr>
          <w:rFonts w:ascii="Times New Roman" w:hAnsi="Times New Roman" w:cs="Times New Roman"/>
          <w:b/>
          <w:sz w:val="22"/>
          <w:szCs w:val="22"/>
        </w:rPr>
        <w:t>Alt1:</w:t>
      </w:r>
      <w:r w:rsidRPr="00D760CE">
        <w:rPr>
          <w:rFonts w:ascii="Times New Roman" w:hAnsi="Times New Roman" w:cs="Times New Roman"/>
          <w:sz w:val="22"/>
          <w:szCs w:val="22"/>
        </w:rPr>
        <w:t xml:space="preserve"> </w:t>
      </w:r>
      <w:r w:rsidR="008070DF">
        <w:rPr>
          <w:rFonts w:ascii="Times New Roman" w:hAnsi="Times New Roman" w:cs="Times New Roman"/>
          <w:sz w:val="22"/>
          <w:szCs w:val="22"/>
        </w:rPr>
        <w:t>To our understanding</w:t>
      </w:r>
      <w:r w:rsidR="00453E44">
        <w:rPr>
          <w:rFonts w:ascii="Times New Roman" w:hAnsi="Times New Roman" w:cs="Times New Roman"/>
          <w:sz w:val="22"/>
          <w:szCs w:val="22"/>
        </w:rPr>
        <w:t>,</w:t>
      </w:r>
      <w:r w:rsidR="002A36BC">
        <w:rPr>
          <w:rFonts w:ascii="Times New Roman" w:hAnsi="Times New Roman" w:cs="Times New Roman"/>
          <w:sz w:val="22"/>
          <w:szCs w:val="22"/>
        </w:rPr>
        <w:t xml:space="preserve"> </w:t>
      </w:r>
      <w:r w:rsidR="008070DF">
        <w:rPr>
          <w:rFonts w:ascii="Times New Roman" w:hAnsi="Times New Roman" w:cs="Times New Roman"/>
          <w:sz w:val="22"/>
          <w:szCs w:val="22"/>
        </w:rPr>
        <w:t>if an SRS resource set usage is set to ‘</w:t>
      </w:r>
      <w:proofErr w:type="spellStart"/>
      <w:r w:rsidR="008070DF">
        <w:rPr>
          <w:rFonts w:ascii="Times New Roman" w:hAnsi="Times New Roman" w:cs="Times New Roman"/>
          <w:sz w:val="22"/>
          <w:szCs w:val="22"/>
        </w:rPr>
        <w:t>beamManagement</w:t>
      </w:r>
      <w:proofErr w:type="spellEnd"/>
      <w:r w:rsidR="008070DF">
        <w:rPr>
          <w:rFonts w:ascii="Times New Roman" w:hAnsi="Times New Roman" w:cs="Times New Roman"/>
          <w:sz w:val="22"/>
          <w:szCs w:val="22"/>
        </w:rPr>
        <w:t xml:space="preserve">’, UE should have the flexibility to beam sweep the SRS resources and, therefore, </w:t>
      </w:r>
      <w:r w:rsidR="00603BA9">
        <w:rPr>
          <w:rFonts w:ascii="Times New Roman" w:hAnsi="Times New Roman" w:cs="Times New Roman"/>
          <w:sz w:val="22"/>
          <w:szCs w:val="22"/>
        </w:rPr>
        <w:t xml:space="preserve">no TCI state should be configured for </w:t>
      </w:r>
      <w:r w:rsidR="008070DF">
        <w:rPr>
          <w:rFonts w:ascii="Times New Roman" w:hAnsi="Times New Roman" w:cs="Times New Roman"/>
          <w:sz w:val="22"/>
          <w:szCs w:val="22"/>
        </w:rPr>
        <w:t>the SRS resources in the set. Therefore</w:t>
      </w:r>
      <w:r w:rsidR="00453E44">
        <w:rPr>
          <w:rFonts w:ascii="Times New Roman" w:hAnsi="Times New Roman" w:cs="Times New Roman"/>
          <w:sz w:val="22"/>
          <w:szCs w:val="22"/>
        </w:rPr>
        <w:t xml:space="preserve">, Alt1 is not available for </w:t>
      </w:r>
      <w:r w:rsidR="008070DF">
        <w:rPr>
          <w:rFonts w:ascii="Times New Roman" w:hAnsi="Times New Roman" w:cs="Times New Roman"/>
          <w:sz w:val="22"/>
          <w:szCs w:val="22"/>
        </w:rPr>
        <w:t>the beam management SRS</w:t>
      </w:r>
      <w:r w:rsidR="00453E44">
        <w:rPr>
          <w:rFonts w:ascii="Times New Roman" w:hAnsi="Times New Roman" w:cs="Times New Roman"/>
          <w:sz w:val="22"/>
          <w:szCs w:val="22"/>
        </w:rPr>
        <w:t>.</w:t>
      </w:r>
    </w:p>
    <w:p w14:paraId="455B493F" w14:textId="37439AD0" w:rsidR="003A06E9" w:rsidRPr="00C5782D" w:rsidRDefault="003A06E9" w:rsidP="003A06E9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2"/>
          <w:szCs w:val="22"/>
        </w:rPr>
      </w:pPr>
      <w:r w:rsidRPr="00D760CE">
        <w:rPr>
          <w:rFonts w:ascii="Times New Roman" w:hAnsi="Times New Roman" w:cs="Times New Roman"/>
          <w:b/>
          <w:sz w:val="22"/>
          <w:szCs w:val="22"/>
        </w:rPr>
        <w:t>Alt</w:t>
      </w:r>
      <w:r>
        <w:rPr>
          <w:rFonts w:ascii="Times New Roman" w:hAnsi="Times New Roman" w:cs="Times New Roman"/>
          <w:b/>
          <w:sz w:val="22"/>
          <w:szCs w:val="22"/>
        </w:rPr>
        <w:t>2</w:t>
      </w:r>
      <w:r w:rsidRPr="00D760CE">
        <w:rPr>
          <w:rFonts w:ascii="Times New Roman" w:hAnsi="Times New Roman" w:cs="Times New Roman"/>
          <w:b/>
          <w:sz w:val="22"/>
          <w:szCs w:val="22"/>
        </w:rPr>
        <w:t>:</w:t>
      </w:r>
      <w:r w:rsidRPr="00D760CE">
        <w:rPr>
          <w:rFonts w:ascii="Times New Roman" w:hAnsi="Times New Roman" w:cs="Times New Roman"/>
          <w:sz w:val="22"/>
          <w:szCs w:val="22"/>
        </w:rPr>
        <w:t xml:space="preserve"> </w:t>
      </w:r>
      <w:r w:rsidR="00C5782D">
        <w:rPr>
          <w:rFonts w:ascii="Times New Roman" w:hAnsi="Times New Roman" w:cs="Times New Roman"/>
          <w:sz w:val="22"/>
          <w:szCs w:val="22"/>
        </w:rPr>
        <w:t>In the current spec</w:t>
      </w:r>
      <w:r w:rsidR="00C5782D" w:rsidRPr="00C5782D">
        <w:rPr>
          <w:rFonts w:ascii="Times New Roman" w:hAnsi="Times New Roman" w:cs="Times New Roman"/>
          <w:sz w:val="22"/>
          <w:szCs w:val="22"/>
        </w:rPr>
        <w:t xml:space="preserve">ifications, </w:t>
      </w:r>
      <w:r w:rsidR="00C5782D" w:rsidRPr="00C5782D">
        <w:rPr>
          <w:rFonts w:ascii="Times New Roman" w:eastAsia="DengXian" w:hAnsi="Times New Roman"/>
          <w:sz w:val="22"/>
          <w:szCs w:val="22"/>
        </w:rPr>
        <w:t>the “</w:t>
      </w:r>
      <w:proofErr w:type="spellStart"/>
      <w:r w:rsidR="00C5782D" w:rsidRPr="00C5782D">
        <w:rPr>
          <w:rFonts w:ascii="Times New Roman" w:eastAsia="DengXian" w:hAnsi="Times New Roman"/>
          <w:i/>
          <w:iCs/>
          <w:sz w:val="22"/>
          <w:szCs w:val="22"/>
        </w:rPr>
        <w:t>referenceSignal</w:t>
      </w:r>
      <w:proofErr w:type="spellEnd"/>
      <w:r w:rsidR="00C5782D" w:rsidRPr="00C5782D">
        <w:rPr>
          <w:rFonts w:ascii="Times New Roman" w:eastAsia="DengXian" w:hAnsi="Times New Roman"/>
          <w:sz w:val="22"/>
          <w:szCs w:val="22"/>
        </w:rPr>
        <w:t xml:space="preserve">” </w:t>
      </w:r>
      <w:r w:rsidR="00C5782D">
        <w:rPr>
          <w:rFonts w:ascii="Times New Roman" w:eastAsia="DengXian" w:hAnsi="Times New Roman"/>
          <w:sz w:val="22"/>
          <w:szCs w:val="22"/>
        </w:rPr>
        <w:t xml:space="preserve">field </w:t>
      </w:r>
      <w:r w:rsidR="00C5782D" w:rsidRPr="00C5782D">
        <w:rPr>
          <w:rFonts w:ascii="Times New Roman" w:eastAsia="DengXian" w:hAnsi="Times New Roman"/>
          <w:sz w:val="22"/>
          <w:szCs w:val="22"/>
        </w:rPr>
        <w:t>in a</w:t>
      </w:r>
      <w:r w:rsidR="008070DF">
        <w:rPr>
          <w:rFonts w:ascii="Times New Roman" w:eastAsia="DengXian" w:hAnsi="Times New Roman"/>
          <w:sz w:val="22"/>
          <w:szCs w:val="22"/>
        </w:rPr>
        <w:t>n</w:t>
      </w:r>
      <w:r w:rsidR="00C5782D" w:rsidRPr="00C5782D">
        <w:rPr>
          <w:rFonts w:ascii="Times New Roman" w:eastAsia="DengXian" w:hAnsi="Times New Roman"/>
          <w:sz w:val="22"/>
          <w:szCs w:val="22"/>
        </w:rPr>
        <w:t xml:space="preserve"> UL TCI state is</w:t>
      </w:r>
      <w:r w:rsidR="00C5782D">
        <w:rPr>
          <w:rFonts w:ascii="Times New Roman" w:eastAsia="DengXian" w:hAnsi="Times New Roman"/>
          <w:sz w:val="22"/>
          <w:szCs w:val="22"/>
        </w:rPr>
        <w:t xml:space="preserve"> mandatory</w:t>
      </w:r>
      <w:r w:rsidR="008070DF">
        <w:rPr>
          <w:rFonts w:ascii="Times New Roman" w:eastAsia="DengXian" w:hAnsi="Times New Roman"/>
          <w:sz w:val="22"/>
          <w:szCs w:val="22"/>
        </w:rPr>
        <w:t>. We do not see how Alt2 could be used without disrupting backward compatibility</w:t>
      </w:r>
      <w:r w:rsidR="00C5782D">
        <w:rPr>
          <w:rFonts w:ascii="Times New Roman" w:eastAsia="DengXian" w:hAnsi="Times New Roman"/>
          <w:sz w:val="22"/>
          <w:szCs w:val="22"/>
        </w:rPr>
        <w:t>.</w:t>
      </w:r>
    </w:p>
    <w:p w14:paraId="4755CD66" w14:textId="736264FB" w:rsidR="00FA537B" w:rsidRPr="00FA537B" w:rsidRDefault="003A06E9" w:rsidP="00FA537B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2"/>
          <w:szCs w:val="22"/>
        </w:rPr>
      </w:pPr>
      <w:r w:rsidRPr="00FA537B">
        <w:rPr>
          <w:rFonts w:ascii="Times New Roman" w:hAnsi="Times New Roman" w:cs="Times New Roman"/>
          <w:b/>
          <w:sz w:val="22"/>
          <w:szCs w:val="22"/>
        </w:rPr>
        <w:t>Alt3</w:t>
      </w:r>
      <w:r w:rsidR="002A36BC" w:rsidRPr="00FA537B">
        <w:rPr>
          <w:rFonts w:ascii="Times New Roman" w:hAnsi="Times New Roman" w:cs="Times New Roman"/>
          <w:b/>
          <w:sz w:val="22"/>
          <w:szCs w:val="22"/>
        </w:rPr>
        <w:t xml:space="preserve"> and Alt4</w:t>
      </w:r>
      <w:r w:rsidRPr="00FA537B">
        <w:rPr>
          <w:rFonts w:ascii="Times New Roman" w:hAnsi="Times New Roman" w:cs="Times New Roman"/>
          <w:b/>
          <w:sz w:val="22"/>
          <w:szCs w:val="22"/>
        </w:rPr>
        <w:t>:</w:t>
      </w:r>
      <w:r w:rsidRPr="00FA537B">
        <w:rPr>
          <w:rFonts w:ascii="Times New Roman" w:hAnsi="Times New Roman" w:cs="Times New Roman"/>
          <w:sz w:val="22"/>
          <w:szCs w:val="22"/>
        </w:rPr>
        <w:t xml:space="preserve"> </w:t>
      </w:r>
      <w:r w:rsidR="008070DF" w:rsidRPr="00FA537B">
        <w:rPr>
          <w:rFonts w:ascii="Times New Roman" w:hAnsi="Times New Roman" w:cs="Times New Roman"/>
          <w:sz w:val="22"/>
          <w:szCs w:val="22"/>
        </w:rPr>
        <w:t xml:space="preserve">These alternatives are both </w:t>
      </w:r>
      <w:r w:rsidR="00FA537B" w:rsidRPr="00FA537B">
        <w:rPr>
          <w:rFonts w:ascii="Times New Roman" w:hAnsi="Times New Roman" w:cs="Times New Roman"/>
          <w:sz w:val="22"/>
          <w:szCs w:val="22"/>
        </w:rPr>
        <w:t>feasible</w:t>
      </w:r>
      <w:r w:rsidR="00FB0DC3" w:rsidRPr="00FA537B">
        <w:rPr>
          <w:rFonts w:ascii="Times New Roman" w:hAnsi="Times New Roman" w:cs="Times New Roman"/>
          <w:sz w:val="22"/>
          <w:szCs w:val="22"/>
        </w:rPr>
        <w:t xml:space="preserve"> </w:t>
      </w:r>
      <w:r w:rsidR="00074444">
        <w:rPr>
          <w:rFonts w:ascii="Times New Roman" w:hAnsi="Times New Roman" w:cs="Times New Roman"/>
          <w:sz w:val="22"/>
          <w:szCs w:val="22"/>
        </w:rPr>
        <w:t>and only</w:t>
      </w:r>
      <w:r w:rsidR="00FB0DC3" w:rsidRPr="00FA537B">
        <w:rPr>
          <w:rFonts w:ascii="Times New Roman" w:hAnsi="Times New Roman" w:cs="Times New Roman"/>
          <w:sz w:val="22"/>
          <w:szCs w:val="22"/>
        </w:rPr>
        <w:t xml:space="preserve"> slightly different</w:t>
      </w:r>
      <w:r w:rsidR="00696D97" w:rsidRPr="00FA537B">
        <w:rPr>
          <w:rFonts w:ascii="Times New Roman" w:hAnsi="Times New Roman" w:cs="Times New Roman"/>
          <w:sz w:val="22"/>
          <w:szCs w:val="22"/>
        </w:rPr>
        <w:t>.</w:t>
      </w:r>
      <w:r w:rsidR="008070DF" w:rsidRPr="00FA537B">
        <w:rPr>
          <w:rFonts w:ascii="Times New Roman" w:hAnsi="Times New Roman" w:cs="Times New Roman"/>
          <w:sz w:val="22"/>
          <w:szCs w:val="22"/>
        </w:rPr>
        <w:t xml:space="preserve"> </w:t>
      </w:r>
      <w:r w:rsidR="00FA537B" w:rsidRPr="00FA537B">
        <w:rPr>
          <w:rFonts w:ascii="Times New Roman" w:hAnsi="Times New Roman" w:cs="Times New Roman"/>
          <w:sz w:val="22"/>
          <w:szCs w:val="22"/>
        </w:rPr>
        <w:t>If SRS resource with lowest ID is not configured with a TCI state, Alt3 leaves it to</w:t>
      </w:r>
      <w:r w:rsidR="00FB0DC3" w:rsidRPr="00FA537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FB0DC3" w:rsidRPr="00FA537B">
        <w:rPr>
          <w:rFonts w:ascii="Times New Roman" w:hAnsi="Times New Roman" w:cs="Times New Roman"/>
          <w:sz w:val="22"/>
          <w:szCs w:val="22"/>
        </w:rPr>
        <w:t>gNB</w:t>
      </w:r>
      <w:proofErr w:type="spellEnd"/>
      <w:r w:rsidR="00FB0DC3" w:rsidRPr="00FA537B">
        <w:rPr>
          <w:rFonts w:ascii="Times New Roman" w:hAnsi="Times New Roman" w:cs="Times New Roman"/>
          <w:sz w:val="22"/>
          <w:szCs w:val="22"/>
        </w:rPr>
        <w:t xml:space="preserve"> to </w:t>
      </w:r>
      <w:r w:rsidR="00FA537B" w:rsidRPr="00FA537B">
        <w:rPr>
          <w:rFonts w:ascii="Times New Roman" w:hAnsi="Times New Roman" w:cs="Times New Roman"/>
          <w:sz w:val="22"/>
          <w:szCs w:val="22"/>
        </w:rPr>
        <w:t>assign</w:t>
      </w:r>
      <w:r w:rsidR="00FB0DC3" w:rsidRPr="00FA537B">
        <w:rPr>
          <w:rFonts w:ascii="Times New Roman" w:hAnsi="Times New Roman" w:cs="Times New Roman"/>
          <w:sz w:val="22"/>
          <w:szCs w:val="22"/>
        </w:rPr>
        <w:t xml:space="preserve"> either of the two </w:t>
      </w:r>
      <w:r w:rsidR="00FA537B" w:rsidRPr="00FA537B">
        <w:rPr>
          <w:rFonts w:ascii="Times New Roman" w:hAnsi="Times New Roman" w:cs="Times New Roman"/>
          <w:sz w:val="22"/>
          <w:szCs w:val="22"/>
        </w:rPr>
        <w:t xml:space="preserve">configured separate </w:t>
      </w:r>
      <w:r w:rsidR="00E41105" w:rsidRPr="00FA537B">
        <w:rPr>
          <w:rFonts w:ascii="Times New Roman" w:hAnsi="Times New Roman" w:cs="Times New Roman"/>
          <w:sz w:val="22"/>
          <w:szCs w:val="22"/>
        </w:rPr>
        <w:t xml:space="preserve">CLPC adjustment states </w:t>
      </w:r>
      <w:r w:rsidR="00074444">
        <w:rPr>
          <w:rFonts w:ascii="Times New Roman" w:hAnsi="Times New Roman" w:cs="Times New Roman"/>
          <w:sz w:val="22"/>
          <w:szCs w:val="22"/>
        </w:rPr>
        <w:t xml:space="preserve">to </w:t>
      </w:r>
      <w:r w:rsidR="00FA537B" w:rsidRPr="00FA537B">
        <w:rPr>
          <w:rFonts w:ascii="Times New Roman" w:hAnsi="Times New Roman" w:cs="Times New Roman"/>
          <w:sz w:val="22"/>
          <w:szCs w:val="22"/>
        </w:rPr>
        <w:t xml:space="preserve">the SRS resource set while Alt4 requires further discussion on how to define the PL offset and CLPC adjustment state for the SRS resource set. </w:t>
      </w:r>
      <w:r w:rsidR="00074444">
        <w:rPr>
          <w:rFonts w:ascii="Times New Roman" w:hAnsi="Times New Roman" w:cs="Times New Roman"/>
          <w:sz w:val="22"/>
          <w:szCs w:val="22"/>
        </w:rPr>
        <w:t>B</w:t>
      </w:r>
      <w:r w:rsidR="00FA537B" w:rsidRPr="00FA537B">
        <w:rPr>
          <w:rFonts w:ascii="Times New Roman" w:hAnsi="Times New Roman" w:cs="Times New Roman"/>
          <w:sz w:val="22"/>
          <w:szCs w:val="22"/>
        </w:rPr>
        <w:t xml:space="preserve">etween Alt3 and Alt4, we prefer Alt3 </w:t>
      </w:r>
      <w:r w:rsidR="00074444">
        <w:rPr>
          <w:rFonts w:ascii="Times New Roman" w:hAnsi="Times New Roman" w:cs="Times New Roman"/>
          <w:sz w:val="22"/>
          <w:szCs w:val="22"/>
        </w:rPr>
        <w:t>to avoid further unnecessary specification efforts associated with Alt4</w:t>
      </w:r>
      <w:r w:rsidR="00FA537B" w:rsidRPr="00FA537B">
        <w:rPr>
          <w:rFonts w:ascii="Times New Roman" w:hAnsi="Times New Roman" w:cs="Times New Roman"/>
          <w:sz w:val="22"/>
          <w:szCs w:val="22"/>
        </w:rPr>
        <w:t xml:space="preserve">. In addition, in Alt4, it is not clear why the CLPC adjustment state may </w:t>
      </w:r>
      <w:r w:rsidR="00074444">
        <w:rPr>
          <w:rFonts w:ascii="Times New Roman" w:hAnsi="Times New Roman" w:cs="Times New Roman"/>
          <w:sz w:val="22"/>
          <w:szCs w:val="22"/>
        </w:rPr>
        <w:t xml:space="preserve">need to </w:t>
      </w:r>
      <w:r w:rsidR="00FA537B" w:rsidRPr="00FA537B">
        <w:rPr>
          <w:rFonts w:ascii="Times New Roman" w:hAnsi="Times New Roman" w:cs="Times New Roman"/>
          <w:sz w:val="22"/>
          <w:szCs w:val="22"/>
        </w:rPr>
        <w:t xml:space="preserve">be different from either of the </w:t>
      </w:r>
      <w:r w:rsidR="00074444">
        <w:rPr>
          <w:rFonts w:ascii="Times New Roman" w:hAnsi="Times New Roman" w:cs="Times New Roman"/>
          <w:sz w:val="22"/>
          <w:szCs w:val="22"/>
        </w:rPr>
        <w:t xml:space="preserve">two configured </w:t>
      </w:r>
      <w:r w:rsidR="00074444" w:rsidRPr="00FA537B">
        <w:rPr>
          <w:rFonts w:ascii="Times New Roman" w:hAnsi="Times New Roman" w:cs="Times New Roman"/>
          <w:sz w:val="22"/>
          <w:szCs w:val="22"/>
        </w:rPr>
        <w:t>CLPC adjustment state</w:t>
      </w:r>
      <w:r w:rsidR="00074444">
        <w:rPr>
          <w:rFonts w:ascii="Times New Roman" w:hAnsi="Times New Roman" w:cs="Times New Roman"/>
          <w:sz w:val="22"/>
          <w:szCs w:val="22"/>
        </w:rPr>
        <w:t>s.</w:t>
      </w:r>
      <w:r w:rsidR="00FA537B" w:rsidRPr="00FA537B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72F96457" w14:textId="16908712" w:rsidR="003A06E9" w:rsidRPr="00FA537B" w:rsidRDefault="003A06E9" w:rsidP="00FA537B"/>
    <w:p w14:paraId="63AF7D28" w14:textId="35AFBCC3" w:rsidR="00696D97" w:rsidRPr="00074444" w:rsidRDefault="003A1328" w:rsidP="003A1328">
      <w:pPr>
        <w:rPr>
          <w:b/>
          <w:bCs/>
          <w:i/>
          <w:lang w:eastAsia="zh-CN"/>
        </w:rPr>
      </w:pPr>
      <w:bookmarkStart w:id="3" w:name="_Hlk181799743"/>
      <w:r w:rsidRPr="00074444">
        <w:rPr>
          <w:b/>
          <w:bCs/>
          <w:i/>
          <w:lang w:eastAsia="zh-CN"/>
        </w:rPr>
        <w:t xml:space="preserve">Proposal </w:t>
      </w:r>
      <w:r w:rsidR="00696D97" w:rsidRPr="00074444">
        <w:rPr>
          <w:b/>
          <w:bCs/>
          <w:i/>
          <w:lang w:eastAsia="zh-CN"/>
        </w:rPr>
        <w:t>2</w:t>
      </w:r>
      <w:r w:rsidRPr="00074444">
        <w:rPr>
          <w:b/>
          <w:bCs/>
          <w:i/>
          <w:lang w:eastAsia="zh-CN"/>
        </w:rPr>
        <w:t xml:space="preserve">: </w:t>
      </w:r>
      <w:r w:rsidR="00074444" w:rsidRPr="00074444">
        <w:rPr>
          <w:b/>
          <w:bCs/>
          <w:i/>
          <w:lang w:eastAsia="zh-CN"/>
        </w:rPr>
        <w:t xml:space="preserve">For an SRS resource set not configured with </w:t>
      </w:r>
      <w:proofErr w:type="spellStart"/>
      <w:r w:rsidR="00074444" w:rsidRPr="00074444">
        <w:rPr>
          <w:b/>
          <w:bCs/>
          <w:i/>
          <w:lang w:eastAsia="zh-CN"/>
        </w:rPr>
        <w:t>followUnifiedTCI-StateSRS</w:t>
      </w:r>
      <w:proofErr w:type="spellEnd"/>
      <w:r w:rsidR="00074444" w:rsidRPr="00074444">
        <w:rPr>
          <w:b/>
          <w:bCs/>
          <w:i/>
          <w:lang w:eastAsia="zh-CN"/>
        </w:rPr>
        <w:t>, regarding how to determine the PL offset and the CLPC adjustment state, support Alt3 in RAN1#119 agreement</w:t>
      </w:r>
      <w:r w:rsidR="00074444">
        <w:rPr>
          <w:b/>
          <w:bCs/>
          <w:i/>
          <w:lang w:eastAsia="zh-CN"/>
        </w:rPr>
        <w:t>.</w:t>
      </w:r>
    </w:p>
    <w:p w14:paraId="0B4C40DE" w14:textId="77777777" w:rsidR="00074444" w:rsidRDefault="00074444" w:rsidP="003A1328">
      <w:pPr>
        <w:rPr>
          <w:rFonts w:eastAsia="DengXian" w:cs="Arial"/>
          <w:b/>
          <w:i/>
          <w:szCs w:val="20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A1328" w:rsidRPr="008704E0" w14:paraId="7AAE55BF" w14:textId="77777777" w:rsidTr="002C3551">
        <w:tc>
          <w:tcPr>
            <w:tcW w:w="9016" w:type="dxa"/>
          </w:tcPr>
          <w:bookmarkEnd w:id="3"/>
          <w:p w14:paraId="149EBCC8" w14:textId="77777777" w:rsidR="003A1328" w:rsidRPr="00BE28A6" w:rsidRDefault="003A1328" w:rsidP="002C3551">
            <w:pPr>
              <w:contextualSpacing/>
              <w:rPr>
                <w:b/>
                <w:bCs/>
                <w:iCs/>
                <w:sz w:val="20"/>
                <w:highlight w:val="green"/>
                <w:lang w:eastAsia="zh-CN"/>
              </w:rPr>
            </w:pPr>
            <w:r w:rsidRPr="00BE28A6">
              <w:rPr>
                <w:b/>
                <w:bCs/>
                <w:iCs/>
                <w:sz w:val="20"/>
                <w:highlight w:val="green"/>
                <w:lang w:eastAsia="zh-CN"/>
              </w:rPr>
              <w:lastRenderedPageBreak/>
              <w:t>Agreement</w:t>
            </w:r>
          </w:p>
          <w:p w14:paraId="28BD089E" w14:textId="77777777" w:rsidR="003A1328" w:rsidRPr="00BE28A6" w:rsidRDefault="003A1328" w:rsidP="002C3551">
            <w:pPr>
              <w:rPr>
                <w:rFonts w:eastAsia="DengXian"/>
                <w:sz w:val="20"/>
                <w:lang w:val="en-CA" w:eastAsia="zh-CN"/>
              </w:rPr>
            </w:pPr>
            <w:r w:rsidRPr="00BE28A6">
              <w:rPr>
                <w:rFonts w:eastAsia="DengXian"/>
                <w:sz w:val="20"/>
                <w:lang w:val="en-CA" w:eastAsia="zh-CN"/>
              </w:rPr>
              <w:t>Support DCI format 1_1 to indicate TPC command for SRS CLPC adjustment state(s) separate from PUSCH:</w:t>
            </w:r>
          </w:p>
          <w:p w14:paraId="77006592" w14:textId="77777777" w:rsidR="003A1328" w:rsidRPr="00BE28A6" w:rsidRDefault="003A1328" w:rsidP="003A1328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rPr>
                <w:rFonts w:eastAsia="DengXian"/>
                <w:sz w:val="20"/>
                <w:lang w:val="en-CA" w:eastAsia="zh-CN"/>
              </w:rPr>
            </w:pPr>
            <w:r w:rsidRPr="00BE28A6">
              <w:rPr>
                <w:rFonts w:eastAsia="DengXian"/>
                <w:sz w:val="20"/>
                <w:lang w:val="en-CA" w:eastAsia="zh-CN"/>
              </w:rPr>
              <w:t>(</w:t>
            </w:r>
            <w:r w:rsidRPr="00BE28A6">
              <w:rPr>
                <w:rFonts w:eastAsia="DengXian"/>
                <w:sz w:val="20"/>
                <w:highlight w:val="darkYellow"/>
                <w:lang w:val="en-CA" w:eastAsia="zh-CN"/>
              </w:rPr>
              <w:t>Working Assumption</w:t>
            </w:r>
            <w:r w:rsidRPr="00BE28A6">
              <w:rPr>
                <w:rFonts w:eastAsia="DengXian"/>
                <w:sz w:val="20"/>
                <w:lang w:val="en-CA" w:eastAsia="zh-CN"/>
              </w:rPr>
              <w:t>) Introduce a 2-bit TPC command field to indicate TPC command for SRS associated with separate SRS CLPC adjustment state where:</w:t>
            </w:r>
          </w:p>
          <w:p w14:paraId="65457983" w14:textId="77777777" w:rsidR="003A1328" w:rsidRPr="00BE28A6" w:rsidRDefault="003A1328" w:rsidP="003A1328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rPr>
                <w:rFonts w:eastAsia="DengXian"/>
                <w:sz w:val="20"/>
                <w:lang w:val="en-CA" w:eastAsia="zh-CN"/>
              </w:rPr>
            </w:pPr>
            <w:r w:rsidRPr="00BE28A6">
              <w:rPr>
                <w:rFonts w:eastAsia="DengXian"/>
                <w:sz w:val="20"/>
                <w:lang w:val="en-CA" w:eastAsia="zh-CN"/>
              </w:rPr>
              <w:t>The 2-bit TPC command field is present if UE reports supporting a dedicated UE capability, and a corresponding RRC parameter is configured</w:t>
            </w:r>
            <w:r w:rsidRPr="00BE28A6">
              <w:rPr>
                <w:rFonts w:eastAsia="DengXian"/>
                <w:sz w:val="20"/>
                <w:lang w:eastAsia="zh-CN"/>
              </w:rPr>
              <w:t xml:space="preserve"> (which is a new RRC to enable this)</w:t>
            </w:r>
            <w:r w:rsidRPr="00BE28A6">
              <w:rPr>
                <w:rFonts w:eastAsia="DengXian"/>
                <w:sz w:val="20"/>
                <w:lang w:val="en-CA" w:eastAsia="zh-CN"/>
              </w:rPr>
              <w:t>.</w:t>
            </w:r>
          </w:p>
          <w:p w14:paraId="355390F3" w14:textId="77777777" w:rsidR="003A1328" w:rsidRPr="00BE28A6" w:rsidRDefault="003A1328" w:rsidP="003A1328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rPr>
                <w:rFonts w:eastAsia="DengXian"/>
                <w:sz w:val="20"/>
                <w:lang w:val="en-CA" w:eastAsia="zh-CN"/>
              </w:rPr>
            </w:pPr>
            <w:r w:rsidRPr="00BE28A6">
              <w:rPr>
                <w:rFonts w:eastAsia="DengXian"/>
                <w:sz w:val="20"/>
                <w:lang w:val="en-CA" w:eastAsia="zh-CN"/>
              </w:rPr>
              <w:t>(</w:t>
            </w:r>
            <w:r w:rsidRPr="00BE28A6">
              <w:rPr>
                <w:rFonts w:eastAsia="DengXian"/>
                <w:sz w:val="20"/>
                <w:highlight w:val="darkYellow"/>
                <w:lang w:val="en-CA" w:eastAsia="zh-CN"/>
              </w:rPr>
              <w:t>Working Assumption</w:t>
            </w:r>
            <w:r w:rsidRPr="00BE28A6">
              <w:rPr>
                <w:rFonts w:eastAsia="DengXian"/>
                <w:sz w:val="20"/>
                <w:lang w:val="en-CA" w:eastAsia="zh-CN"/>
              </w:rPr>
              <w:t>) Introduce a 1-bit SRS close-loop indicator to indicate one of the two separate SRS CLPC adjustment states for the TPC command.</w:t>
            </w:r>
          </w:p>
          <w:p w14:paraId="61EC8581" w14:textId="77777777" w:rsidR="003A1328" w:rsidRPr="00BE28A6" w:rsidRDefault="003A1328" w:rsidP="003A1328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rPr>
                <w:rFonts w:eastAsia="DengXian"/>
                <w:sz w:val="20"/>
                <w:lang w:val="en-CA" w:eastAsia="zh-CN"/>
              </w:rPr>
            </w:pPr>
            <w:r w:rsidRPr="00BE28A6">
              <w:rPr>
                <w:rFonts w:eastAsia="DengXian"/>
                <w:sz w:val="20"/>
                <w:lang w:val="en-CA" w:eastAsia="zh-CN"/>
              </w:rPr>
              <w:t>The 1-bit SRS close-loop indicator is present if UE reports supporting another dedicated UE capability and a corresponding RRC parameter is configured (which is a new RRC to enable this) and two separate SRS CLPC adjustment states are configured.</w:t>
            </w:r>
          </w:p>
          <w:p w14:paraId="49CA8DCA" w14:textId="77777777" w:rsidR="003A1328" w:rsidRPr="002954EB" w:rsidRDefault="003A1328" w:rsidP="002C3551">
            <w:pPr>
              <w:tabs>
                <w:tab w:val="left" w:pos="643"/>
              </w:tabs>
              <w:rPr>
                <w:rFonts w:eastAsia="DengXian"/>
                <w:lang w:val="en-CA"/>
              </w:rPr>
            </w:pPr>
          </w:p>
        </w:tc>
      </w:tr>
    </w:tbl>
    <w:p w14:paraId="0D1C78A6" w14:textId="77777777" w:rsidR="003A1328" w:rsidRDefault="003A1328" w:rsidP="003A1328">
      <w:pPr>
        <w:rPr>
          <w:kern w:val="2"/>
          <w:lang w:val="en-GB" w:eastAsia="zh-CN"/>
        </w:rPr>
      </w:pPr>
    </w:p>
    <w:p w14:paraId="184D4050" w14:textId="4056B2CB" w:rsidR="003A1328" w:rsidRPr="006E1984" w:rsidRDefault="003A1328" w:rsidP="003A1328">
      <w:pPr>
        <w:rPr>
          <w:lang w:eastAsia="zh-CN"/>
        </w:rPr>
      </w:pPr>
      <w:r w:rsidRPr="006E1984">
        <w:rPr>
          <w:lang w:eastAsia="zh-CN"/>
        </w:rPr>
        <w:t xml:space="preserve">Above </w:t>
      </w:r>
      <w:r w:rsidR="00074444">
        <w:rPr>
          <w:lang w:eastAsia="zh-CN"/>
        </w:rPr>
        <w:t>agreement was reached</w:t>
      </w:r>
      <w:r w:rsidRPr="006E1984">
        <w:rPr>
          <w:lang w:eastAsia="zh-CN"/>
        </w:rPr>
        <w:t xml:space="preserve"> to indicate TPC command for SRS close-loop power control adjustment state(s) separate from PUSCH</w:t>
      </w:r>
      <w:r w:rsidR="00074444">
        <w:rPr>
          <w:lang w:eastAsia="zh-CN"/>
        </w:rPr>
        <w:t xml:space="preserve"> in DCI format 1_1</w:t>
      </w:r>
      <w:r w:rsidRPr="006E1984">
        <w:rPr>
          <w:lang w:eastAsia="zh-CN"/>
        </w:rPr>
        <w:t xml:space="preserve">. A similar functionality has been supported by DCI 2_3 with the following two main differences: 1) DCI 2_3 is a group-common DCI that can provide TPC commands for multiple UEs; and 2) For each UE, DCI 2_3 can provide TPC commands for multiple CCs. While it is clear that </w:t>
      </w:r>
      <w:bookmarkStart w:id="4" w:name="_Hlk181798084"/>
      <w:r w:rsidRPr="006E1984">
        <w:rPr>
          <w:lang w:eastAsia="zh-CN"/>
        </w:rPr>
        <w:t>DCI 1_1</w:t>
      </w:r>
      <w:bookmarkEnd w:id="4"/>
      <w:r w:rsidRPr="006E1984">
        <w:rPr>
          <w:lang w:eastAsia="zh-CN"/>
        </w:rPr>
        <w:t xml:space="preserve"> is a UE dedicated DCI, it should be further clarified that the single SRS TPC command in </w:t>
      </w:r>
      <w:r w:rsidR="006E1984" w:rsidRPr="0011588D">
        <w:rPr>
          <w:lang w:eastAsia="zh-CN"/>
        </w:rPr>
        <w:t>DCI 1</w:t>
      </w:r>
      <w:r w:rsidR="006E1984">
        <w:rPr>
          <w:lang w:eastAsia="zh-CN"/>
        </w:rPr>
        <w:t>_</w:t>
      </w:r>
      <w:r w:rsidR="006E1984" w:rsidRPr="0011588D">
        <w:rPr>
          <w:lang w:eastAsia="zh-CN"/>
        </w:rPr>
        <w:t>1</w:t>
      </w:r>
      <w:r w:rsidRPr="006E1984">
        <w:rPr>
          <w:lang w:eastAsia="zh-CN"/>
        </w:rPr>
        <w:t xml:space="preserve"> </w:t>
      </w:r>
      <w:r w:rsidR="002F1447" w:rsidRPr="006E1984">
        <w:rPr>
          <w:lang w:eastAsia="zh-CN"/>
        </w:rPr>
        <w:t xml:space="preserve">applies </w:t>
      </w:r>
      <w:r w:rsidRPr="006E1984">
        <w:rPr>
          <w:lang w:eastAsia="zh-CN"/>
        </w:rPr>
        <w:t xml:space="preserve">only to the SRSs with CLPC adjustment state(s) separate from PUSCH that are configured on a single specified CC. We think it is most straightforward to agree that the target CC of the TPC command and </w:t>
      </w:r>
      <w:r w:rsidR="002F1447" w:rsidRPr="006E1984">
        <w:rPr>
          <w:lang w:eastAsia="zh-CN"/>
        </w:rPr>
        <w:t xml:space="preserve">the </w:t>
      </w:r>
      <w:r w:rsidRPr="006E1984">
        <w:rPr>
          <w:lang w:eastAsia="zh-CN"/>
        </w:rPr>
        <w:t>closed-loop indicator in DCI 1_1 is the CC on which the DCI is received</w:t>
      </w:r>
      <w:r w:rsidR="006E1984">
        <w:rPr>
          <w:lang w:eastAsia="zh-CN"/>
        </w:rPr>
        <w:t>.</w:t>
      </w:r>
    </w:p>
    <w:p w14:paraId="66A905E4" w14:textId="1BAD820A" w:rsidR="003A1328" w:rsidRPr="006E1984" w:rsidRDefault="003A1328" w:rsidP="003A1328">
      <w:pPr>
        <w:rPr>
          <w:lang w:eastAsia="zh-CN"/>
        </w:rPr>
      </w:pPr>
      <w:r w:rsidRPr="006E1984">
        <w:rPr>
          <w:b/>
          <w:i/>
          <w:lang w:eastAsia="zh-CN"/>
        </w:rPr>
        <w:t xml:space="preserve">Proposal </w:t>
      </w:r>
      <w:r w:rsidR="00696D97">
        <w:rPr>
          <w:b/>
          <w:i/>
          <w:lang w:eastAsia="zh-CN"/>
        </w:rPr>
        <w:t>3</w:t>
      </w:r>
      <w:r w:rsidRPr="006E1984">
        <w:rPr>
          <w:b/>
          <w:i/>
          <w:lang w:eastAsia="zh-CN"/>
        </w:rPr>
        <w:t xml:space="preserve">: The SRS </w:t>
      </w:r>
      <w:r w:rsidRPr="008B6F0B">
        <w:rPr>
          <w:rFonts w:eastAsia="DengXian"/>
          <w:b/>
          <w:i/>
          <w:lang w:val="en-CA" w:eastAsia="zh-CN"/>
        </w:rPr>
        <w:t>TPC command/closed-loop indicator in DCI format 1_1 applies only to the SRS(s) with CLPC adjustment state(s) separate from PUSCH that are configured on the CC where</w:t>
      </w:r>
      <w:r w:rsidRPr="006E1984">
        <w:rPr>
          <w:b/>
          <w:i/>
          <w:lang w:eastAsia="zh-CN"/>
        </w:rPr>
        <w:t xml:space="preserve"> the DCI is received.</w:t>
      </w:r>
    </w:p>
    <w:p w14:paraId="7D53EAF2" w14:textId="29425215" w:rsidR="003A1328" w:rsidRPr="006E1984" w:rsidRDefault="003A1328" w:rsidP="003A1328">
      <w:pPr>
        <w:rPr>
          <w:b/>
          <w:bCs/>
          <w:i/>
          <w:strike/>
          <w:lang w:eastAsia="zh-CN"/>
        </w:rPr>
      </w:pPr>
      <w:r w:rsidRPr="006E1984">
        <w:rPr>
          <w:bCs/>
          <w:lang w:eastAsia="zh-CN"/>
        </w:rPr>
        <w:t xml:space="preserve">We think that RAN1 should also discuss the necessity and the possible mechanism to avoid signaling collision between DCI 1_1 and DCI 2_3 as both may indicate SRS TPC command/closed-loop indicator for SRS(s) on the same CC. </w:t>
      </w:r>
    </w:p>
    <w:p w14:paraId="17692E11" w14:textId="5E14906D" w:rsidR="003A1328" w:rsidRPr="006E1984" w:rsidRDefault="003A1328" w:rsidP="003A1328">
      <w:pPr>
        <w:rPr>
          <w:b/>
          <w:bCs/>
          <w:i/>
          <w:lang w:eastAsia="zh-CN"/>
        </w:rPr>
      </w:pPr>
      <w:r w:rsidRPr="006E1984">
        <w:rPr>
          <w:b/>
          <w:bCs/>
          <w:i/>
          <w:lang w:eastAsia="zh-CN"/>
        </w:rPr>
        <w:t xml:space="preserve">Proposal </w:t>
      </w:r>
      <w:r w:rsidR="00696D97">
        <w:rPr>
          <w:b/>
          <w:bCs/>
          <w:i/>
          <w:lang w:eastAsia="zh-CN"/>
        </w:rPr>
        <w:t>4</w:t>
      </w:r>
      <w:r w:rsidRPr="006E1984">
        <w:rPr>
          <w:b/>
          <w:bCs/>
          <w:i/>
          <w:lang w:eastAsia="zh-CN"/>
        </w:rPr>
        <w:t>: RAN1 to discuss the necessity and the possible mechanism to avoid collision between SRS TPC command/closed-loop indicator between DCI 1_1 and DCI 2_3.</w:t>
      </w:r>
    </w:p>
    <w:p w14:paraId="6DF0E448" w14:textId="77777777" w:rsidR="004B0D27" w:rsidRPr="00EF6BC1" w:rsidRDefault="004B0D27" w:rsidP="00AF60ED">
      <w:pPr>
        <w:rPr>
          <w:kern w:val="2"/>
          <w:lang w:val="en-GB"/>
        </w:rPr>
      </w:pPr>
      <w:bookmarkStart w:id="5" w:name="_GoBack"/>
      <w:bookmarkEnd w:id="5"/>
    </w:p>
    <w:p w14:paraId="537C3D82" w14:textId="5D085466" w:rsidR="0043162D" w:rsidRDefault="0043162D" w:rsidP="0043162D">
      <w:pPr>
        <w:pStyle w:val="Heading1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Summary and conclusion</w:t>
      </w:r>
    </w:p>
    <w:p w14:paraId="094D3FF1" w14:textId="77777777" w:rsidR="00253679" w:rsidRPr="005677CC" w:rsidRDefault="00253679" w:rsidP="00253679">
      <w:pPr>
        <w:rPr>
          <w:b/>
          <w:bCs/>
          <w:i/>
          <w:lang w:eastAsia="zh-CN"/>
        </w:rPr>
      </w:pPr>
      <w:r w:rsidRPr="005677CC">
        <w:rPr>
          <w:b/>
          <w:bCs/>
          <w:i/>
          <w:lang w:eastAsia="zh-CN"/>
        </w:rPr>
        <w:t xml:space="preserve">Proposal </w:t>
      </w:r>
      <w:r>
        <w:rPr>
          <w:b/>
          <w:bCs/>
          <w:i/>
          <w:lang w:eastAsia="zh-CN"/>
        </w:rPr>
        <w:t>1</w:t>
      </w:r>
      <w:r w:rsidRPr="005677CC">
        <w:rPr>
          <w:b/>
          <w:bCs/>
          <w:i/>
          <w:lang w:eastAsia="zh-CN"/>
        </w:rPr>
        <w:t xml:space="preserve">: Do not </w:t>
      </w:r>
      <w:r w:rsidRPr="008B6F0B">
        <w:rPr>
          <w:rFonts w:eastAsia="DengXian" w:cs="Batang"/>
          <w:b/>
          <w:i/>
        </w:rPr>
        <w:t>support Type 3 PHR in a serving cell/BWP where the UE is configured with two separate SRS CLPC adjustment states</w:t>
      </w:r>
      <w:r w:rsidRPr="005677CC">
        <w:rPr>
          <w:rFonts w:ascii="Calibri" w:hAnsi="Calibri" w:cs="Calibri"/>
          <w:b/>
          <w:bCs/>
          <w:i/>
          <w:lang w:eastAsia="zh-CN"/>
        </w:rPr>
        <w:t>.</w:t>
      </w:r>
      <w:r w:rsidRPr="005677CC" w:rsidDel="008C2C20">
        <w:rPr>
          <w:b/>
          <w:bCs/>
          <w:i/>
        </w:rPr>
        <w:t xml:space="preserve"> </w:t>
      </w:r>
    </w:p>
    <w:p w14:paraId="10106CB2" w14:textId="77777777" w:rsidR="00253679" w:rsidRPr="00074444" w:rsidRDefault="00253679" w:rsidP="00253679">
      <w:pPr>
        <w:rPr>
          <w:b/>
          <w:bCs/>
          <w:i/>
          <w:lang w:eastAsia="zh-CN"/>
        </w:rPr>
      </w:pPr>
      <w:r w:rsidRPr="00074444">
        <w:rPr>
          <w:b/>
          <w:bCs/>
          <w:i/>
          <w:lang w:eastAsia="zh-CN"/>
        </w:rPr>
        <w:t xml:space="preserve">Proposal 2: For an SRS resource set not configured with </w:t>
      </w:r>
      <w:proofErr w:type="spellStart"/>
      <w:r w:rsidRPr="00074444">
        <w:rPr>
          <w:b/>
          <w:bCs/>
          <w:i/>
          <w:lang w:eastAsia="zh-CN"/>
        </w:rPr>
        <w:t>followUnifiedTCI-StateSRS</w:t>
      </w:r>
      <w:proofErr w:type="spellEnd"/>
      <w:r w:rsidRPr="00074444">
        <w:rPr>
          <w:b/>
          <w:bCs/>
          <w:i/>
          <w:lang w:eastAsia="zh-CN"/>
        </w:rPr>
        <w:t>, regarding how to determine the PL offset and the CLPC adjustment state, support Alt3 in RAN1#119 agreement</w:t>
      </w:r>
      <w:r>
        <w:rPr>
          <w:b/>
          <w:bCs/>
          <w:i/>
          <w:lang w:eastAsia="zh-CN"/>
        </w:rPr>
        <w:t>.</w:t>
      </w:r>
    </w:p>
    <w:p w14:paraId="4E6CA93F" w14:textId="77777777" w:rsidR="00301741" w:rsidRPr="006E1984" w:rsidRDefault="00301741" w:rsidP="00301741">
      <w:pPr>
        <w:rPr>
          <w:lang w:eastAsia="zh-CN"/>
        </w:rPr>
      </w:pPr>
      <w:r w:rsidRPr="006E198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6E1984">
        <w:rPr>
          <w:b/>
          <w:i/>
          <w:lang w:eastAsia="zh-CN"/>
        </w:rPr>
        <w:t xml:space="preserve">: The SRS </w:t>
      </w:r>
      <w:r w:rsidRPr="008B6F0B">
        <w:rPr>
          <w:rFonts w:eastAsia="DengXian"/>
          <w:b/>
          <w:i/>
          <w:lang w:val="en-CA" w:eastAsia="zh-CN"/>
        </w:rPr>
        <w:t>TPC command/closed-loop indicator in DCI format 1_1 applies only to the SRS(s) with CLPC adjustment state(s) separate from PUSCH that are configured on the CC where</w:t>
      </w:r>
      <w:r w:rsidRPr="006E1984">
        <w:rPr>
          <w:b/>
          <w:i/>
          <w:lang w:eastAsia="zh-CN"/>
        </w:rPr>
        <w:t xml:space="preserve"> the DCI is received.</w:t>
      </w:r>
    </w:p>
    <w:p w14:paraId="3E7CE844" w14:textId="77777777" w:rsidR="00253679" w:rsidRPr="006E1984" w:rsidRDefault="00253679" w:rsidP="00253679">
      <w:pPr>
        <w:rPr>
          <w:b/>
          <w:bCs/>
          <w:i/>
          <w:lang w:eastAsia="zh-CN"/>
        </w:rPr>
      </w:pPr>
      <w:r w:rsidRPr="006E1984">
        <w:rPr>
          <w:b/>
          <w:bCs/>
          <w:i/>
          <w:lang w:eastAsia="zh-CN"/>
        </w:rPr>
        <w:t xml:space="preserve">Proposal </w:t>
      </w:r>
      <w:r>
        <w:rPr>
          <w:b/>
          <w:bCs/>
          <w:i/>
          <w:lang w:eastAsia="zh-CN"/>
        </w:rPr>
        <w:t>4</w:t>
      </w:r>
      <w:r w:rsidRPr="006E1984">
        <w:rPr>
          <w:b/>
          <w:bCs/>
          <w:i/>
          <w:lang w:eastAsia="zh-CN"/>
        </w:rPr>
        <w:t>: RAN1 to discuss the necessity and the possible mechanism to avoid collision between SRS TPC command/closed-loop indicator between DCI 1_1 and DCI 2_3.</w:t>
      </w:r>
    </w:p>
    <w:p w14:paraId="1DB8281C" w14:textId="77777777" w:rsidR="0043162D" w:rsidRPr="00903FED" w:rsidRDefault="0043162D" w:rsidP="0043162D">
      <w:pPr>
        <w:pStyle w:val="Heading1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References</w:t>
      </w:r>
    </w:p>
    <w:p w14:paraId="44F6C42E" w14:textId="77777777" w:rsidR="001A1F03" w:rsidRDefault="00FB4E6D" w:rsidP="001A1F03">
      <w:pPr>
        <w:rPr>
          <w:kern w:val="2"/>
          <w:lang w:val="en-GB"/>
        </w:rPr>
      </w:pPr>
      <w:r>
        <w:rPr>
          <w:rFonts w:hint="eastAsia"/>
          <w:lang w:val="en-GB" w:eastAsia="zh-CN"/>
        </w:rPr>
        <w:t>[</w:t>
      </w:r>
      <w:r w:rsidR="0037494E">
        <w:rPr>
          <w:lang w:val="en-GB" w:eastAsia="zh-CN"/>
        </w:rPr>
        <w:t>1</w:t>
      </w:r>
      <w:r>
        <w:rPr>
          <w:lang w:val="en-GB" w:eastAsia="zh-CN"/>
        </w:rPr>
        <w:t xml:space="preserve">] </w:t>
      </w:r>
      <w:r w:rsidR="001A1F03" w:rsidRPr="00932420">
        <w:rPr>
          <w:kern w:val="2"/>
          <w:lang w:val="en-GB"/>
        </w:rPr>
        <w:t xml:space="preserve">Draft </w:t>
      </w:r>
      <w:r w:rsidR="001A1F03">
        <w:rPr>
          <w:kern w:val="2"/>
          <w:lang w:val="en-GB"/>
        </w:rPr>
        <w:t xml:space="preserve">report of </w:t>
      </w:r>
      <w:r w:rsidR="001A1F03" w:rsidRPr="00932420">
        <w:rPr>
          <w:kern w:val="2"/>
          <w:lang w:val="en-GB"/>
        </w:rPr>
        <w:t>RAN1#11</w:t>
      </w:r>
      <w:r w:rsidR="001A1F03">
        <w:rPr>
          <w:kern w:val="2"/>
          <w:lang w:val="en-GB"/>
        </w:rPr>
        <w:t>9</w:t>
      </w:r>
      <w:r w:rsidR="001A1F03" w:rsidRPr="00932420">
        <w:rPr>
          <w:kern w:val="2"/>
          <w:lang w:val="en-GB"/>
        </w:rPr>
        <w:t xml:space="preserve">, Chairman, </w:t>
      </w:r>
      <w:r w:rsidR="001A1F03" w:rsidRPr="006472AD">
        <w:rPr>
          <w:kern w:val="2"/>
          <w:lang w:val="en-GB"/>
        </w:rPr>
        <w:t>November 18</w:t>
      </w:r>
      <w:r w:rsidR="001A1F03">
        <w:rPr>
          <w:kern w:val="2"/>
          <w:lang w:val="en-GB"/>
        </w:rPr>
        <w:t>-</w:t>
      </w:r>
      <w:r w:rsidR="001A1F03" w:rsidRPr="006472AD">
        <w:rPr>
          <w:kern w:val="2"/>
          <w:lang w:val="en-GB"/>
        </w:rPr>
        <w:t>22, 2024</w:t>
      </w:r>
      <w:r w:rsidR="001A1F03" w:rsidRPr="00932420">
        <w:rPr>
          <w:kern w:val="2"/>
          <w:lang w:val="en-GB"/>
        </w:rPr>
        <w:t>.</w:t>
      </w:r>
    </w:p>
    <w:p w14:paraId="42B113EB" w14:textId="6F951295" w:rsidR="00D67149" w:rsidRPr="00A4193C" w:rsidRDefault="00D67149">
      <w:pPr>
        <w:rPr>
          <w:lang w:val="en-GB" w:eastAsia="zh-CN"/>
        </w:rPr>
      </w:pPr>
    </w:p>
    <w:sectPr w:rsidR="00D67149" w:rsidRPr="00A4193C" w:rsidSect="00F018DE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06D46" w14:textId="77777777" w:rsidR="003F3D91" w:rsidRDefault="003F3D91" w:rsidP="0043162D">
      <w:pPr>
        <w:spacing w:after="0"/>
      </w:pPr>
      <w:r>
        <w:separator/>
      </w:r>
    </w:p>
  </w:endnote>
  <w:endnote w:type="continuationSeparator" w:id="0">
    <w:p w14:paraId="0A2DA8D7" w14:textId="77777777" w:rsidR="003F3D91" w:rsidRDefault="003F3D91" w:rsidP="00431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E92A2" w14:textId="77777777" w:rsidR="003F3D91" w:rsidRDefault="003F3D91" w:rsidP="0043162D">
      <w:pPr>
        <w:spacing w:after="0"/>
      </w:pPr>
      <w:r>
        <w:separator/>
      </w:r>
    </w:p>
  </w:footnote>
  <w:footnote w:type="continuationSeparator" w:id="0">
    <w:p w14:paraId="35E4CBB1" w14:textId="77777777" w:rsidR="003F3D91" w:rsidRDefault="003F3D91" w:rsidP="004316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A4573"/>
    <w:multiLevelType w:val="hybridMultilevel"/>
    <w:tmpl w:val="05F28668"/>
    <w:lvl w:ilvl="0" w:tplc="C2304BB0">
      <w:start w:val="1"/>
      <w:numFmt w:val="bullet"/>
      <w:lvlText w:val="•"/>
      <w:lvlJc w:val="left"/>
      <w:pPr>
        <w:ind w:left="210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" w15:restartNumberingAfterBreak="0">
    <w:nsid w:val="02830446"/>
    <w:multiLevelType w:val="hybridMultilevel"/>
    <w:tmpl w:val="4FB2B50E"/>
    <w:lvl w:ilvl="0" w:tplc="4E5CA9E4">
      <w:numFmt w:val="bullet"/>
      <w:lvlText w:val="-"/>
      <w:lvlJc w:val="left"/>
      <w:pPr>
        <w:ind w:left="836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2" w15:restartNumberingAfterBreak="0">
    <w:nsid w:val="0493265F"/>
    <w:multiLevelType w:val="hybridMultilevel"/>
    <w:tmpl w:val="2F5AE8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D2813"/>
    <w:multiLevelType w:val="hybridMultilevel"/>
    <w:tmpl w:val="E18E8384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10EC04">
      <w:numFmt w:val="bullet"/>
      <w:lvlText w:val="-"/>
      <w:lvlJc w:val="left"/>
      <w:pPr>
        <w:ind w:left="840" w:hanging="420"/>
      </w:pPr>
      <w:rPr>
        <w:rFonts w:ascii="Calibri" w:eastAsia="SimSun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A1253"/>
    <w:multiLevelType w:val="hybridMultilevel"/>
    <w:tmpl w:val="3FDEB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F306C5"/>
    <w:multiLevelType w:val="hybridMultilevel"/>
    <w:tmpl w:val="5156A2F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C389D"/>
    <w:multiLevelType w:val="hybridMultilevel"/>
    <w:tmpl w:val="5AF62048"/>
    <w:lvl w:ilvl="0" w:tplc="C2304BB0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6B3C43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B212D"/>
    <w:multiLevelType w:val="hybridMultilevel"/>
    <w:tmpl w:val="1292EEC6"/>
    <w:lvl w:ilvl="0" w:tplc="05E21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73A9E"/>
    <w:multiLevelType w:val="hybridMultilevel"/>
    <w:tmpl w:val="3A0C59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86BD0"/>
    <w:multiLevelType w:val="hybridMultilevel"/>
    <w:tmpl w:val="9D508B50"/>
    <w:lvl w:ilvl="0" w:tplc="4D9A9724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E480B"/>
    <w:multiLevelType w:val="multilevel"/>
    <w:tmpl w:val="465E4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D75058"/>
    <w:multiLevelType w:val="hybridMultilevel"/>
    <w:tmpl w:val="ABA09A0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5F011D4"/>
    <w:multiLevelType w:val="hybridMultilevel"/>
    <w:tmpl w:val="49CCA9BE"/>
    <w:lvl w:ilvl="0" w:tplc="8C726CB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6" w15:restartNumberingAfterBreak="0">
    <w:nsid w:val="5EF64306"/>
    <w:multiLevelType w:val="hybridMultilevel"/>
    <w:tmpl w:val="E39A36D2"/>
    <w:lvl w:ilvl="0" w:tplc="0A5235B8">
      <w:numFmt w:val="bullet"/>
      <w:lvlText w:val="-"/>
      <w:lvlJc w:val="left"/>
      <w:pPr>
        <w:ind w:left="420" w:hanging="420"/>
      </w:pPr>
      <w:rPr>
        <w:rFonts w:ascii="Yu Mincho" w:eastAsia="Yu Mincho" w:hAnsi="Yu Mincho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2B5822"/>
    <w:multiLevelType w:val="hybridMultilevel"/>
    <w:tmpl w:val="DB0CE7D4"/>
    <w:lvl w:ilvl="0" w:tplc="8D08140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33C39F2"/>
    <w:multiLevelType w:val="hybridMultilevel"/>
    <w:tmpl w:val="9B52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CD35AF"/>
    <w:multiLevelType w:val="hybridMultilevel"/>
    <w:tmpl w:val="5338F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5706C"/>
    <w:multiLevelType w:val="hybridMultilevel"/>
    <w:tmpl w:val="39387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73788"/>
    <w:multiLevelType w:val="hybridMultilevel"/>
    <w:tmpl w:val="5816D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8"/>
  </w:num>
  <w:num w:numId="4">
    <w:abstractNumId w:val="20"/>
  </w:num>
  <w:num w:numId="5">
    <w:abstractNumId w:val="24"/>
  </w:num>
  <w:num w:numId="6">
    <w:abstractNumId w:val="25"/>
  </w:num>
  <w:num w:numId="7">
    <w:abstractNumId w:val="9"/>
  </w:num>
  <w:num w:numId="8">
    <w:abstractNumId w:val="0"/>
  </w:num>
  <w:num w:numId="9">
    <w:abstractNumId w:val="11"/>
  </w:num>
  <w:num w:numId="10">
    <w:abstractNumId w:val="11"/>
  </w:num>
  <w:num w:numId="11">
    <w:abstractNumId w:val="11"/>
  </w:num>
  <w:num w:numId="12">
    <w:abstractNumId w:val="14"/>
  </w:num>
  <w:num w:numId="13">
    <w:abstractNumId w:val="33"/>
  </w:num>
  <w:num w:numId="14">
    <w:abstractNumId w:val="16"/>
  </w:num>
  <w:num w:numId="15">
    <w:abstractNumId w:val="6"/>
  </w:num>
  <w:num w:numId="16">
    <w:abstractNumId w:val="4"/>
  </w:num>
  <w:num w:numId="17">
    <w:abstractNumId w:val="30"/>
  </w:num>
  <w:num w:numId="18">
    <w:abstractNumId w:val="10"/>
  </w:num>
  <w:num w:numId="19">
    <w:abstractNumId w:val="5"/>
  </w:num>
  <w:num w:numId="20">
    <w:abstractNumId w:val="23"/>
  </w:num>
  <w:num w:numId="21">
    <w:abstractNumId w:val="31"/>
  </w:num>
  <w:num w:numId="22">
    <w:abstractNumId w:val="36"/>
  </w:num>
  <w:num w:numId="23">
    <w:abstractNumId w:val="11"/>
    <w:lvlOverride w:ilvl="0">
      <w:startOverride w:val="3"/>
    </w:lvlOverride>
    <w:lvlOverride w:ilvl="1">
      <w:startOverride w:val="2"/>
    </w:lvlOverride>
  </w:num>
  <w:num w:numId="24">
    <w:abstractNumId w:val="19"/>
  </w:num>
  <w:num w:numId="25">
    <w:abstractNumId w:val="22"/>
  </w:num>
  <w:num w:numId="26">
    <w:abstractNumId w:val="3"/>
  </w:num>
  <w:num w:numId="27">
    <w:abstractNumId w:val="29"/>
  </w:num>
  <w:num w:numId="28">
    <w:abstractNumId w:val="7"/>
  </w:num>
  <w:num w:numId="29">
    <w:abstractNumId w:val="2"/>
  </w:num>
  <w:num w:numId="30">
    <w:abstractNumId w:val="35"/>
  </w:num>
  <w:num w:numId="31">
    <w:abstractNumId w:val="1"/>
  </w:num>
  <w:num w:numId="32">
    <w:abstractNumId w:val="32"/>
  </w:num>
  <w:num w:numId="33">
    <w:abstractNumId w:val="15"/>
  </w:num>
  <w:num w:numId="34">
    <w:abstractNumId w:val="34"/>
  </w:num>
  <w:num w:numId="35">
    <w:abstractNumId w:val="17"/>
  </w:num>
  <w:num w:numId="36">
    <w:abstractNumId w:val="21"/>
  </w:num>
  <w:num w:numId="37">
    <w:abstractNumId w:val="26"/>
  </w:num>
  <w:num w:numId="38">
    <w:abstractNumId w:val="27"/>
  </w:num>
  <w:num w:numId="39">
    <w:abstractNumId w:val="8"/>
  </w:num>
  <w:num w:numId="40">
    <w:abstractNumId w:val="13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666"/>
    <w:rsid w:val="0000417F"/>
    <w:rsid w:val="000048A6"/>
    <w:rsid w:val="0000607E"/>
    <w:rsid w:val="000064E1"/>
    <w:rsid w:val="00006656"/>
    <w:rsid w:val="00014386"/>
    <w:rsid w:val="0001484E"/>
    <w:rsid w:val="0001618D"/>
    <w:rsid w:val="00021212"/>
    <w:rsid w:val="00024073"/>
    <w:rsid w:val="000250FB"/>
    <w:rsid w:val="00025128"/>
    <w:rsid w:val="00025F37"/>
    <w:rsid w:val="00027458"/>
    <w:rsid w:val="000307D7"/>
    <w:rsid w:val="000329B1"/>
    <w:rsid w:val="00036B9A"/>
    <w:rsid w:val="000415FF"/>
    <w:rsid w:val="00042F34"/>
    <w:rsid w:val="0004325B"/>
    <w:rsid w:val="00045E6C"/>
    <w:rsid w:val="00046CB6"/>
    <w:rsid w:val="000472D5"/>
    <w:rsid w:val="0005017B"/>
    <w:rsid w:val="00050494"/>
    <w:rsid w:val="00051B00"/>
    <w:rsid w:val="00051E60"/>
    <w:rsid w:val="00060C14"/>
    <w:rsid w:val="00060F45"/>
    <w:rsid w:val="00061E74"/>
    <w:rsid w:val="000626B9"/>
    <w:rsid w:val="00062CA8"/>
    <w:rsid w:val="00066941"/>
    <w:rsid w:val="0007435C"/>
    <w:rsid w:val="00074444"/>
    <w:rsid w:val="00081216"/>
    <w:rsid w:val="00081594"/>
    <w:rsid w:val="00081DFD"/>
    <w:rsid w:val="00084633"/>
    <w:rsid w:val="00085DF6"/>
    <w:rsid w:val="000873C7"/>
    <w:rsid w:val="00090411"/>
    <w:rsid w:val="00092B74"/>
    <w:rsid w:val="000949E0"/>
    <w:rsid w:val="000A22DB"/>
    <w:rsid w:val="000A2A6B"/>
    <w:rsid w:val="000A5E80"/>
    <w:rsid w:val="000A63A1"/>
    <w:rsid w:val="000B069C"/>
    <w:rsid w:val="000B5BB7"/>
    <w:rsid w:val="000B69CF"/>
    <w:rsid w:val="000B7A51"/>
    <w:rsid w:val="000C4944"/>
    <w:rsid w:val="000C692E"/>
    <w:rsid w:val="000C7AE9"/>
    <w:rsid w:val="000D49E8"/>
    <w:rsid w:val="000D4A76"/>
    <w:rsid w:val="000D4E87"/>
    <w:rsid w:val="000E1F71"/>
    <w:rsid w:val="000E2481"/>
    <w:rsid w:val="000E72B9"/>
    <w:rsid w:val="000F035D"/>
    <w:rsid w:val="000F07C4"/>
    <w:rsid w:val="000F2587"/>
    <w:rsid w:val="000F48D4"/>
    <w:rsid w:val="000F67C5"/>
    <w:rsid w:val="00101564"/>
    <w:rsid w:val="00102D17"/>
    <w:rsid w:val="00104F51"/>
    <w:rsid w:val="00114D8E"/>
    <w:rsid w:val="00115294"/>
    <w:rsid w:val="001169CF"/>
    <w:rsid w:val="00116BFF"/>
    <w:rsid w:val="00123E70"/>
    <w:rsid w:val="0012751E"/>
    <w:rsid w:val="00130548"/>
    <w:rsid w:val="00132C13"/>
    <w:rsid w:val="00133D40"/>
    <w:rsid w:val="001341CD"/>
    <w:rsid w:val="00134B7A"/>
    <w:rsid w:val="00136928"/>
    <w:rsid w:val="00137CB1"/>
    <w:rsid w:val="00141579"/>
    <w:rsid w:val="00141B7A"/>
    <w:rsid w:val="00141EE3"/>
    <w:rsid w:val="00143637"/>
    <w:rsid w:val="00143C16"/>
    <w:rsid w:val="0014720B"/>
    <w:rsid w:val="00150B07"/>
    <w:rsid w:val="001515F9"/>
    <w:rsid w:val="0015287A"/>
    <w:rsid w:val="0016290D"/>
    <w:rsid w:val="001664BC"/>
    <w:rsid w:val="00170811"/>
    <w:rsid w:val="00175489"/>
    <w:rsid w:val="00176886"/>
    <w:rsid w:val="001768C4"/>
    <w:rsid w:val="00177515"/>
    <w:rsid w:val="001779B1"/>
    <w:rsid w:val="00180945"/>
    <w:rsid w:val="00181586"/>
    <w:rsid w:val="00182150"/>
    <w:rsid w:val="0018244B"/>
    <w:rsid w:val="001841C4"/>
    <w:rsid w:val="00186A46"/>
    <w:rsid w:val="00187429"/>
    <w:rsid w:val="0019266B"/>
    <w:rsid w:val="00196B46"/>
    <w:rsid w:val="00197510"/>
    <w:rsid w:val="0019753C"/>
    <w:rsid w:val="0019797B"/>
    <w:rsid w:val="001A1F03"/>
    <w:rsid w:val="001A4E7A"/>
    <w:rsid w:val="001B21A1"/>
    <w:rsid w:val="001B448C"/>
    <w:rsid w:val="001B66B1"/>
    <w:rsid w:val="001C0374"/>
    <w:rsid w:val="001C44BB"/>
    <w:rsid w:val="001D027C"/>
    <w:rsid w:val="001D1B56"/>
    <w:rsid w:val="001D791B"/>
    <w:rsid w:val="001D7D7A"/>
    <w:rsid w:val="001E01D6"/>
    <w:rsid w:val="001F251B"/>
    <w:rsid w:val="001F35A8"/>
    <w:rsid w:val="001F5AEA"/>
    <w:rsid w:val="00204AE4"/>
    <w:rsid w:val="00205DA7"/>
    <w:rsid w:val="00207E51"/>
    <w:rsid w:val="002105F9"/>
    <w:rsid w:val="00212422"/>
    <w:rsid w:val="00213512"/>
    <w:rsid w:val="00213C9D"/>
    <w:rsid w:val="002162E7"/>
    <w:rsid w:val="00216ED6"/>
    <w:rsid w:val="0021737D"/>
    <w:rsid w:val="00222AC1"/>
    <w:rsid w:val="002245FB"/>
    <w:rsid w:val="002250AD"/>
    <w:rsid w:val="00227066"/>
    <w:rsid w:val="0023062D"/>
    <w:rsid w:val="002356A8"/>
    <w:rsid w:val="00235761"/>
    <w:rsid w:val="002361DB"/>
    <w:rsid w:val="00245CF8"/>
    <w:rsid w:val="0025019B"/>
    <w:rsid w:val="002519BB"/>
    <w:rsid w:val="00251DC1"/>
    <w:rsid w:val="00253679"/>
    <w:rsid w:val="00254F1F"/>
    <w:rsid w:val="00256E4C"/>
    <w:rsid w:val="00261FCF"/>
    <w:rsid w:val="00263083"/>
    <w:rsid w:val="00263734"/>
    <w:rsid w:val="0026404D"/>
    <w:rsid w:val="0027279E"/>
    <w:rsid w:val="00274250"/>
    <w:rsid w:val="00274B6A"/>
    <w:rsid w:val="00274FB3"/>
    <w:rsid w:val="00277218"/>
    <w:rsid w:val="00280519"/>
    <w:rsid w:val="00280CC3"/>
    <w:rsid w:val="00281677"/>
    <w:rsid w:val="00283255"/>
    <w:rsid w:val="0028555C"/>
    <w:rsid w:val="00286F5A"/>
    <w:rsid w:val="00294E65"/>
    <w:rsid w:val="002954EB"/>
    <w:rsid w:val="00295782"/>
    <w:rsid w:val="00296ED3"/>
    <w:rsid w:val="00297920"/>
    <w:rsid w:val="002A14AE"/>
    <w:rsid w:val="002A1676"/>
    <w:rsid w:val="002A2423"/>
    <w:rsid w:val="002A36BC"/>
    <w:rsid w:val="002A606F"/>
    <w:rsid w:val="002A6242"/>
    <w:rsid w:val="002A6438"/>
    <w:rsid w:val="002A7497"/>
    <w:rsid w:val="002B131A"/>
    <w:rsid w:val="002B1FD3"/>
    <w:rsid w:val="002B46BA"/>
    <w:rsid w:val="002B6933"/>
    <w:rsid w:val="002B7DD6"/>
    <w:rsid w:val="002C1247"/>
    <w:rsid w:val="002C18B0"/>
    <w:rsid w:val="002C468C"/>
    <w:rsid w:val="002C7C6A"/>
    <w:rsid w:val="002C7E8C"/>
    <w:rsid w:val="002D0BB1"/>
    <w:rsid w:val="002D19E9"/>
    <w:rsid w:val="002D4158"/>
    <w:rsid w:val="002D70AA"/>
    <w:rsid w:val="002E0904"/>
    <w:rsid w:val="002E23EC"/>
    <w:rsid w:val="002E273E"/>
    <w:rsid w:val="002E4849"/>
    <w:rsid w:val="002F0225"/>
    <w:rsid w:val="002F1447"/>
    <w:rsid w:val="002F171D"/>
    <w:rsid w:val="002F2CAD"/>
    <w:rsid w:val="002F3884"/>
    <w:rsid w:val="002F48DD"/>
    <w:rsid w:val="002F5976"/>
    <w:rsid w:val="002F709E"/>
    <w:rsid w:val="00301741"/>
    <w:rsid w:val="00302797"/>
    <w:rsid w:val="00302F74"/>
    <w:rsid w:val="0030483D"/>
    <w:rsid w:val="0030503C"/>
    <w:rsid w:val="003054DF"/>
    <w:rsid w:val="00306A17"/>
    <w:rsid w:val="00306BAE"/>
    <w:rsid w:val="00306D7E"/>
    <w:rsid w:val="00311054"/>
    <w:rsid w:val="003129FA"/>
    <w:rsid w:val="00313C92"/>
    <w:rsid w:val="003156F9"/>
    <w:rsid w:val="0031703A"/>
    <w:rsid w:val="003210FC"/>
    <w:rsid w:val="00321905"/>
    <w:rsid w:val="00321A56"/>
    <w:rsid w:val="003226B5"/>
    <w:rsid w:val="00327550"/>
    <w:rsid w:val="003277D8"/>
    <w:rsid w:val="00331DC7"/>
    <w:rsid w:val="00332101"/>
    <w:rsid w:val="003325AD"/>
    <w:rsid w:val="00332D98"/>
    <w:rsid w:val="00333E31"/>
    <w:rsid w:val="00335012"/>
    <w:rsid w:val="00336829"/>
    <w:rsid w:val="00336DA5"/>
    <w:rsid w:val="0033775E"/>
    <w:rsid w:val="00340B5B"/>
    <w:rsid w:val="003411E9"/>
    <w:rsid w:val="00344BFB"/>
    <w:rsid w:val="0034557B"/>
    <w:rsid w:val="003511E2"/>
    <w:rsid w:val="003513D0"/>
    <w:rsid w:val="00354C71"/>
    <w:rsid w:val="00355477"/>
    <w:rsid w:val="00356144"/>
    <w:rsid w:val="003629C7"/>
    <w:rsid w:val="003653C5"/>
    <w:rsid w:val="00370395"/>
    <w:rsid w:val="003709FE"/>
    <w:rsid w:val="003728EF"/>
    <w:rsid w:val="003730CE"/>
    <w:rsid w:val="00373B4D"/>
    <w:rsid w:val="0037494E"/>
    <w:rsid w:val="0037500E"/>
    <w:rsid w:val="00377ACA"/>
    <w:rsid w:val="00380288"/>
    <w:rsid w:val="003812DF"/>
    <w:rsid w:val="00382081"/>
    <w:rsid w:val="0038287C"/>
    <w:rsid w:val="00391550"/>
    <w:rsid w:val="00391AF8"/>
    <w:rsid w:val="00392D83"/>
    <w:rsid w:val="003935A5"/>
    <w:rsid w:val="0039700C"/>
    <w:rsid w:val="003A06E9"/>
    <w:rsid w:val="003A1328"/>
    <w:rsid w:val="003A36EB"/>
    <w:rsid w:val="003B0089"/>
    <w:rsid w:val="003B25A0"/>
    <w:rsid w:val="003B3B3B"/>
    <w:rsid w:val="003B4DB2"/>
    <w:rsid w:val="003B73FC"/>
    <w:rsid w:val="003B791C"/>
    <w:rsid w:val="003B7D99"/>
    <w:rsid w:val="003C0421"/>
    <w:rsid w:val="003C0D93"/>
    <w:rsid w:val="003C1419"/>
    <w:rsid w:val="003C1884"/>
    <w:rsid w:val="003C2D7F"/>
    <w:rsid w:val="003C6654"/>
    <w:rsid w:val="003C66CD"/>
    <w:rsid w:val="003D1165"/>
    <w:rsid w:val="003D4956"/>
    <w:rsid w:val="003D4F41"/>
    <w:rsid w:val="003D62AE"/>
    <w:rsid w:val="003E11A8"/>
    <w:rsid w:val="003E2E36"/>
    <w:rsid w:val="003E31AC"/>
    <w:rsid w:val="003F00D9"/>
    <w:rsid w:val="003F045D"/>
    <w:rsid w:val="003F2F7C"/>
    <w:rsid w:val="003F3D91"/>
    <w:rsid w:val="003F50C3"/>
    <w:rsid w:val="003F54A0"/>
    <w:rsid w:val="003F5591"/>
    <w:rsid w:val="003F7FAC"/>
    <w:rsid w:val="004022CE"/>
    <w:rsid w:val="004028DA"/>
    <w:rsid w:val="004055ED"/>
    <w:rsid w:val="0040602B"/>
    <w:rsid w:val="00406613"/>
    <w:rsid w:val="00406D22"/>
    <w:rsid w:val="0040702F"/>
    <w:rsid w:val="0040788F"/>
    <w:rsid w:val="004128B7"/>
    <w:rsid w:val="004152AC"/>
    <w:rsid w:val="00415995"/>
    <w:rsid w:val="00415A83"/>
    <w:rsid w:val="00427C3A"/>
    <w:rsid w:val="00430D5B"/>
    <w:rsid w:val="0043162D"/>
    <w:rsid w:val="00431838"/>
    <w:rsid w:val="004341D9"/>
    <w:rsid w:val="00435366"/>
    <w:rsid w:val="00442692"/>
    <w:rsid w:val="00451B71"/>
    <w:rsid w:val="00452A43"/>
    <w:rsid w:val="00453E44"/>
    <w:rsid w:val="00461946"/>
    <w:rsid w:val="00461E63"/>
    <w:rsid w:val="0046586A"/>
    <w:rsid w:val="00470D4A"/>
    <w:rsid w:val="00473510"/>
    <w:rsid w:val="0047506B"/>
    <w:rsid w:val="00484634"/>
    <w:rsid w:val="004849A9"/>
    <w:rsid w:val="00485968"/>
    <w:rsid w:val="00490B17"/>
    <w:rsid w:val="00492A85"/>
    <w:rsid w:val="00493C31"/>
    <w:rsid w:val="00496764"/>
    <w:rsid w:val="00497BDF"/>
    <w:rsid w:val="004A5ACE"/>
    <w:rsid w:val="004A5D7B"/>
    <w:rsid w:val="004A6340"/>
    <w:rsid w:val="004A6E78"/>
    <w:rsid w:val="004A7787"/>
    <w:rsid w:val="004B0D27"/>
    <w:rsid w:val="004B1680"/>
    <w:rsid w:val="004B2C89"/>
    <w:rsid w:val="004B44AD"/>
    <w:rsid w:val="004B4E56"/>
    <w:rsid w:val="004C19F6"/>
    <w:rsid w:val="004C35D2"/>
    <w:rsid w:val="004C6CDC"/>
    <w:rsid w:val="004C7A7A"/>
    <w:rsid w:val="004D1AA5"/>
    <w:rsid w:val="004D3D98"/>
    <w:rsid w:val="004D4FF1"/>
    <w:rsid w:val="004E6954"/>
    <w:rsid w:val="004E6A9B"/>
    <w:rsid w:val="004E6AF6"/>
    <w:rsid w:val="004E7ECF"/>
    <w:rsid w:val="004F07DA"/>
    <w:rsid w:val="004F0E6A"/>
    <w:rsid w:val="004F5120"/>
    <w:rsid w:val="004F58B6"/>
    <w:rsid w:val="004F6393"/>
    <w:rsid w:val="00503E09"/>
    <w:rsid w:val="005149BC"/>
    <w:rsid w:val="005221FA"/>
    <w:rsid w:val="005224C5"/>
    <w:rsid w:val="005227C4"/>
    <w:rsid w:val="00523FF7"/>
    <w:rsid w:val="00524EF3"/>
    <w:rsid w:val="00526458"/>
    <w:rsid w:val="005275A6"/>
    <w:rsid w:val="0053258C"/>
    <w:rsid w:val="00542770"/>
    <w:rsid w:val="00542A9D"/>
    <w:rsid w:val="00545F27"/>
    <w:rsid w:val="0055150A"/>
    <w:rsid w:val="00552EBD"/>
    <w:rsid w:val="00556742"/>
    <w:rsid w:val="00560842"/>
    <w:rsid w:val="00562EC2"/>
    <w:rsid w:val="0056437C"/>
    <w:rsid w:val="005646FC"/>
    <w:rsid w:val="00564F62"/>
    <w:rsid w:val="005677CC"/>
    <w:rsid w:val="0057090C"/>
    <w:rsid w:val="00571797"/>
    <w:rsid w:val="00574232"/>
    <w:rsid w:val="00580DA1"/>
    <w:rsid w:val="0058216C"/>
    <w:rsid w:val="005825A4"/>
    <w:rsid w:val="0058474A"/>
    <w:rsid w:val="00584E75"/>
    <w:rsid w:val="0058625C"/>
    <w:rsid w:val="0058691C"/>
    <w:rsid w:val="0059185A"/>
    <w:rsid w:val="00591D37"/>
    <w:rsid w:val="005948D1"/>
    <w:rsid w:val="00595FD8"/>
    <w:rsid w:val="00597120"/>
    <w:rsid w:val="00597F0F"/>
    <w:rsid w:val="005A1FE6"/>
    <w:rsid w:val="005A3AF3"/>
    <w:rsid w:val="005A46D1"/>
    <w:rsid w:val="005A51D1"/>
    <w:rsid w:val="005A596B"/>
    <w:rsid w:val="005B4853"/>
    <w:rsid w:val="005B7992"/>
    <w:rsid w:val="005C0203"/>
    <w:rsid w:val="005C25CF"/>
    <w:rsid w:val="005C3CAA"/>
    <w:rsid w:val="005D02BD"/>
    <w:rsid w:val="005D0D81"/>
    <w:rsid w:val="005D1231"/>
    <w:rsid w:val="005D59E4"/>
    <w:rsid w:val="005D7532"/>
    <w:rsid w:val="005D7AF2"/>
    <w:rsid w:val="005E2BBD"/>
    <w:rsid w:val="005F15D9"/>
    <w:rsid w:val="005F1A69"/>
    <w:rsid w:val="005F3419"/>
    <w:rsid w:val="005F34C7"/>
    <w:rsid w:val="005F4209"/>
    <w:rsid w:val="005F5267"/>
    <w:rsid w:val="005F5FD1"/>
    <w:rsid w:val="005F661B"/>
    <w:rsid w:val="00602E8A"/>
    <w:rsid w:val="0060362C"/>
    <w:rsid w:val="00603A32"/>
    <w:rsid w:val="00603BA9"/>
    <w:rsid w:val="00606289"/>
    <w:rsid w:val="006115AD"/>
    <w:rsid w:val="0061177A"/>
    <w:rsid w:val="00617391"/>
    <w:rsid w:val="00620CBF"/>
    <w:rsid w:val="00622AD8"/>
    <w:rsid w:val="006232E3"/>
    <w:rsid w:val="00623EFB"/>
    <w:rsid w:val="00625170"/>
    <w:rsid w:val="00627866"/>
    <w:rsid w:val="00627AEA"/>
    <w:rsid w:val="006307AE"/>
    <w:rsid w:val="00645985"/>
    <w:rsid w:val="006464ED"/>
    <w:rsid w:val="0065072D"/>
    <w:rsid w:val="0065088C"/>
    <w:rsid w:val="00650D8C"/>
    <w:rsid w:val="00653656"/>
    <w:rsid w:val="00653B1C"/>
    <w:rsid w:val="006547E6"/>
    <w:rsid w:val="00654D21"/>
    <w:rsid w:val="00655A69"/>
    <w:rsid w:val="006568A7"/>
    <w:rsid w:val="006606F1"/>
    <w:rsid w:val="006634A2"/>
    <w:rsid w:val="00663DB7"/>
    <w:rsid w:val="00673C9D"/>
    <w:rsid w:val="00683CC7"/>
    <w:rsid w:val="00683D4B"/>
    <w:rsid w:val="00685FD0"/>
    <w:rsid w:val="006919E9"/>
    <w:rsid w:val="00692704"/>
    <w:rsid w:val="00694192"/>
    <w:rsid w:val="00694706"/>
    <w:rsid w:val="0069646B"/>
    <w:rsid w:val="00696D97"/>
    <w:rsid w:val="00697CFA"/>
    <w:rsid w:val="006A07A4"/>
    <w:rsid w:val="006A26F6"/>
    <w:rsid w:val="006A2B1A"/>
    <w:rsid w:val="006A371B"/>
    <w:rsid w:val="006A4312"/>
    <w:rsid w:val="006A4625"/>
    <w:rsid w:val="006A53D6"/>
    <w:rsid w:val="006A7159"/>
    <w:rsid w:val="006B4035"/>
    <w:rsid w:val="006B4C93"/>
    <w:rsid w:val="006B55DE"/>
    <w:rsid w:val="006C0702"/>
    <w:rsid w:val="006C2587"/>
    <w:rsid w:val="006C4878"/>
    <w:rsid w:val="006C7F9E"/>
    <w:rsid w:val="006D46BD"/>
    <w:rsid w:val="006D52C6"/>
    <w:rsid w:val="006D66A6"/>
    <w:rsid w:val="006E00B0"/>
    <w:rsid w:val="006E1984"/>
    <w:rsid w:val="006E233B"/>
    <w:rsid w:val="006E307E"/>
    <w:rsid w:val="006E4A85"/>
    <w:rsid w:val="006E77D4"/>
    <w:rsid w:val="006F0C11"/>
    <w:rsid w:val="006F1C92"/>
    <w:rsid w:val="006F54DF"/>
    <w:rsid w:val="006F5DB1"/>
    <w:rsid w:val="00700C03"/>
    <w:rsid w:val="00701C99"/>
    <w:rsid w:val="00702524"/>
    <w:rsid w:val="00702A37"/>
    <w:rsid w:val="00705AED"/>
    <w:rsid w:val="007063C0"/>
    <w:rsid w:val="00706695"/>
    <w:rsid w:val="00711D6B"/>
    <w:rsid w:val="00715B70"/>
    <w:rsid w:val="0071770F"/>
    <w:rsid w:val="007236C4"/>
    <w:rsid w:val="00725293"/>
    <w:rsid w:val="00726BBA"/>
    <w:rsid w:val="00734532"/>
    <w:rsid w:val="0073475A"/>
    <w:rsid w:val="00742241"/>
    <w:rsid w:val="00745EA7"/>
    <w:rsid w:val="007532E9"/>
    <w:rsid w:val="00756D75"/>
    <w:rsid w:val="007636AB"/>
    <w:rsid w:val="00766835"/>
    <w:rsid w:val="00771C4E"/>
    <w:rsid w:val="00775940"/>
    <w:rsid w:val="00782961"/>
    <w:rsid w:val="007839E5"/>
    <w:rsid w:val="00783AB5"/>
    <w:rsid w:val="0078791A"/>
    <w:rsid w:val="007917BC"/>
    <w:rsid w:val="00793305"/>
    <w:rsid w:val="007A08ED"/>
    <w:rsid w:val="007A2232"/>
    <w:rsid w:val="007A242D"/>
    <w:rsid w:val="007A4ABE"/>
    <w:rsid w:val="007A5101"/>
    <w:rsid w:val="007A6FA3"/>
    <w:rsid w:val="007A7095"/>
    <w:rsid w:val="007B2DC7"/>
    <w:rsid w:val="007B497C"/>
    <w:rsid w:val="007B7CAD"/>
    <w:rsid w:val="007C0485"/>
    <w:rsid w:val="007C3611"/>
    <w:rsid w:val="007C4B99"/>
    <w:rsid w:val="007C6768"/>
    <w:rsid w:val="007D7608"/>
    <w:rsid w:val="007D7C3C"/>
    <w:rsid w:val="007E40F3"/>
    <w:rsid w:val="007F189C"/>
    <w:rsid w:val="007F6133"/>
    <w:rsid w:val="007F6761"/>
    <w:rsid w:val="00801995"/>
    <w:rsid w:val="00804BD4"/>
    <w:rsid w:val="0080654A"/>
    <w:rsid w:val="008070DF"/>
    <w:rsid w:val="00810E0B"/>
    <w:rsid w:val="008145CC"/>
    <w:rsid w:val="00814671"/>
    <w:rsid w:val="008165CF"/>
    <w:rsid w:val="00816C42"/>
    <w:rsid w:val="008221FE"/>
    <w:rsid w:val="00825CFD"/>
    <w:rsid w:val="0082655E"/>
    <w:rsid w:val="00826D6B"/>
    <w:rsid w:val="00827691"/>
    <w:rsid w:val="00830D81"/>
    <w:rsid w:val="0083206C"/>
    <w:rsid w:val="00834596"/>
    <w:rsid w:val="00835E7F"/>
    <w:rsid w:val="00836EA8"/>
    <w:rsid w:val="008378D0"/>
    <w:rsid w:val="008441E8"/>
    <w:rsid w:val="00846A72"/>
    <w:rsid w:val="00852A23"/>
    <w:rsid w:val="00862F75"/>
    <w:rsid w:val="008656E8"/>
    <w:rsid w:val="008704E0"/>
    <w:rsid w:val="008704E8"/>
    <w:rsid w:val="008726F0"/>
    <w:rsid w:val="00872848"/>
    <w:rsid w:val="008755CD"/>
    <w:rsid w:val="00877D61"/>
    <w:rsid w:val="008813CE"/>
    <w:rsid w:val="00881AF9"/>
    <w:rsid w:val="00882B04"/>
    <w:rsid w:val="00884C2B"/>
    <w:rsid w:val="008856CD"/>
    <w:rsid w:val="00885C9C"/>
    <w:rsid w:val="00892413"/>
    <w:rsid w:val="00892DA1"/>
    <w:rsid w:val="00893090"/>
    <w:rsid w:val="00896507"/>
    <w:rsid w:val="008A2230"/>
    <w:rsid w:val="008A52AC"/>
    <w:rsid w:val="008A5DC9"/>
    <w:rsid w:val="008A7035"/>
    <w:rsid w:val="008B0322"/>
    <w:rsid w:val="008B2090"/>
    <w:rsid w:val="008B653D"/>
    <w:rsid w:val="008B6F0B"/>
    <w:rsid w:val="008C2C20"/>
    <w:rsid w:val="008C33A3"/>
    <w:rsid w:val="008C4DF4"/>
    <w:rsid w:val="008D04FA"/>
    <w:rsid w:val="008D0505"/>
    <w:rsid w:val="008D0910"/>
    <w:rsid w:val="008D0AE1"/>
    <w:rsid w:val="008D1DAE"/>
    <w:rsid w:val="008D20C7"/>
    <w:rsid w:val="008D41ED"/>
    <w:rsid w:val="008D54D4"/>
    <w:rsid w:val="008D6A3C"/>
    <w:rsid w:val="008D7CFC"/>
    <w:rsid w:val="008E212A"/>
    <w:rsid w:val="008E311A"/>
    <w:rsid w:val="008F0B24"/>
    <w:rsid w:val="008F77C7"/>
    <w:rsid w:val="00902E0B"/>
    <w:rsid w:val="00904306"/>
    <w:rsid w:val="00911F35"/>
    <w:rsid w:val="009123CC"/>
    <w:rsid w:val="009140D0"/>
    <w:rsid w:val="0091757D"/>
    <w:rsid w:val="009176C8"/>
    <w:rsid w:val="00926DAE"/>
    <w:rsid w:val="00926EAE"/>
    <w:rsid w:val="00927FE8"/>
    <w:rsid w:val="0093044F"/>
    <w:rsid w:val="00930615"/>
    <w:rsid w:val="009308F4"/>
    <w:rsid w:val="009313F7"/>
    <w:rsid w:val="00934CB7"/>
    <w:rsid w:val="00934DFD"/>
    <w:rsid w:val="00934FB3"/>
    <w:rsid w:val="00935C4E"/>
    <w:rsid w:val="00941795"/>
    <w:rsid w:val="0094248A"/>
    <w:rsid w:val="009435CD"/>
    <w:rsid w:val="00944FC8"/>
    <w:rsid w:val="009545D4"/>
    <w:rsid w:val="0096453F"/>
    <w:rsid w:val="00970C68"/>
    <w:rsid w:val="00971153"/>
    <w:rsid w:val="00973271"/>
    <w:rsid w:val="00981038"/>
    <w:rsid w:val="00981D32"/>
    <w:rsid w:val="00981E22"/>
    <w:rsid w:val="00982244"/>
    <w:rsid w:val="009844EA"/>
    <w:rsid w:val="009855DB"/>
    <w:rsid w:val="00986817"/>
    <w:rsid w:val="0099044A"/>
    <w:rsid w:val="00991B21"/>
    <w:rsid w:val="00993518"/>
    <w:rsid w:val="00994AAD"/>
    <w:rsid w:val="00995058"/>
    <w:rsid w:val="009956DC"/>
    <w:rsid w:val="00997E7D"/>
    <w:rsid w:val="009A03D7"/>
    <w:rsid w:val="009A0F24"/>
    <w:rsid w:val="009A10AC"/>
    <w:rsid w:val="009A38D7"/>
    <w:rsid w:val="009A5A5A"/>
    <w:rsid w:val="009A7FFD"/>
    <w:rsid w:val="009B0CCE"/>
    <w:rsid w:val="009B1C51"/>
    <w:rsid w:val="009B2619"/>
    <w:rsid w:val="009B348C"/>
    <w:rsid w:val="009C1863"/>
    <w:rsid w:val="009D3081"/>
    <w:rsid w:val="009D50A3"/>
    <w:rsid w:val="009D6E07"/>
    <w:rsid w:val="009E0B5D"/>
    <w:rsid w:val="009E43B1"/>
    <w:rsid w:val="009E4CFF"/>
    <w:rsid w:val="009E5058"/>
    <w:rsid w:val="009F0AE4"/>
    <w:rsid w:val="009F2C1E"/>
    <w:rsid w:val="00A01549"/>
    <w:rsid w:val="00A02E23"/>
    <w:rsid w:val="00A02E5C"/>
    <w:rsid w:val="00A03454"/>
    <w:rsid w:val="00A042C0"/>
    <w:rsid w:val="00A044D4"/>
    <w:rsid w:val="00A04DFE"/>
    <w:rsid w:val="00A052D7"/>
    <w:rsid w:val="00A07FF5"/>
    <w:rsid w:val="00A202AF"/>
    <w:rsid w:val="00A20FC7"/>
    <w:rsid w:val="00A22108"/>
    <w:rsid w:val="00A225DC"/>
    <w:rsid w:val="00A23535"/>
    <w:rsid w:val="00A237B3"/>
    <w:rsid w:val="00A26354"/>
    <w:rsid w:val="00A31E04"/>
    <w:rsid w:val="00A4193C"/>
    <w:rsid w:val="00A433B4"/>
    <w:rsid w:val="00A446D8"/>
    <w:rsid w:val="00A4632F"/>
    <w:rsid w:val="00A50501"/>
    <w:rsid w:val="00A51C4F"/>
    <w:rsid w:val="00A55801"/>
    <w:rsid w:val="00A559A3"/>
    <w:rsid w:val="00A57387"/>
    <w:rsid w:val="00A61888"/>
    <w:rsid w:val="00A70481"/>
    <w:rsid w:val="00A727C3"/>
    <w:rsid w:val="00A7285D"/>
    <w:rsid w:val="00A7653D"/>
    <w:rsid w:val="00A808F3"/>
    <w:rsid w:val="00A81E10"/>
    <w:rsid w:val="00A8395B"/>
    <w:rsid w:val="00A91190"/>
    <w:rsid w:val="00A92517"/>
    <w:rsid w:val="00A932D8"/>
    <w:rsid w:val="00A9438B"/>
    <w:rsid w:val="00A94A86"/>
    <w:rsid w:val="00AA5DA3"/>
    <w:rsid w:val="00AA620B"/>
    <w:rsid w:val="00AA6DF6"/>
    <w:rsid w:val="00AA7C7F"/>
    <w:rsid w:val="00AB1734"/>
    <w:rsid w:val="00AB326B"/>
    <w:rsid w:val="00AB340A"/>
    <w:rsid w:val="00AB7D4C"/>
    <w:rsid w:val="00AC1B2A"/>
    <w:rsid w:val="00AC2B87"/>
    <w:rsid w:val="00AC3091"/>
    <w:rsid w:val="00AC30B0"/>
    <w:rsid w:val="00AC634F"/>
    <w:rsid w:val="00AD1ED8"/>
    <w:rsid w:val="00AD4AF8"/>
    <w:rsid w:val="00AD6AD8"/>
    <w:rsid w:val="00AE1268"/>
    <w:rsid w:val="00AE3D1F"/>
    <w:rsid w:val="00AE6EA3"/>
    <w:rsid w:val="00AE7837"/>
    <w:rsid w:val="00AE7C00"/>
    <w:rsid w:val="00AF1109"/>
    <w:rsid w:val="00AF1C6B"/>
    <w:rsid w:val="00AF2B3F"/>
    <w:rsid w:val="00AF37F6"/>
    <w:rsid w:val="00AF42DF"/>
    <w:rsid w:val="00AF6064"/>
    <w:rsid w:val="00AF60ED"/>
    <w:rsid w:val="00B00B50"/>
    <w:rsid w:val="00B059C4"/>
    <w:rsid w:val="00B118F5"/>
    <w:rsid w:val="00B14678"/>
    <w:rsid w:val="00B14DFD"/>
    <w:rsid w:val="00B204CC"/>
    <w:rsid w:val="00B21592"/>
    <w:rsid w:val="00B220F4"/>
    <w:rsid w:val="00B23F4F"/>
    <w:rsid w:val="00B30570"/>
    <w:rsid w:val="00B3431B"/>
    <w:rsid w:val="00B350EF"/>
    <w:rsid w:val="00B356A6"/>
    <w:rsid w:val="00B37948"/>
    <w:rsid w:val="00B4429E"/>
    <w:rsid w:val="00B52526"/>
    <w:rsid w:val="00B60BB4"/>
    <w:rsid w:val="00B667FA"/>
    <w:rsid w:val="00B66D3B"/>
    <w:rsid w:val="00B67C0A"/>
    <w:rsid w:val="00B71E10"/>
    <w:rsid w:val="00B8043A"/>
    <w:rsid w:val="00B8067C"/>
    <w:rsid w:val="00B84103"/>
    <w:rsid w:val="00B846F2"/>
    <w:rsid w:val="00B84FE9"/>
    <w:rsid w:val="00B861C6"/>
    <w:rsid w:val="00B87906"/>
    <w:rsid w:val="00B906A0"/>
    <w:rsid w:val="00B92C4A"/>
    <w:rsid w:val="00B92D3A"/>
    <w:rsid w:val="00B93A72"/>
    <w:rsid w:val="00B9703E"/>
    <w:rsid w:val="00BA2709"/>
    <w:rsid w:val="00BA6FFF"/>
    <w:rsid w:val="00BA7152"/>
    <w:rsid w:val="00BA71BC"/>
    <w:rsid w:val="00BA74B3"/>
    <w:rsid w:val="00BB2D42"/>
    <w:rsid w:val="00BB77C2"/>
    <w:rsid w:val="00BC2C91"/>
    <w:rsid w:val="00BC390E"/>
    <w:rsid w:val="00BC3CE9"/>
    <w:rsid w:val="00BD710D"/>
    <w:rsid w:val="00BE28A6"/>
    <w:rsid w:val="00BE30AE"/>
    <w:rsid w:val="00BE5252"/>
    <w:rsid w:val="00BF16CD"/>
    <w:rsid w:val="00BF1829"/>
    <w:rsid w:val="00BF2CF8"/>
    <w:rsid w:val="00BF3CE9"/>
    <w:rsid w:val="00BF441D"/>
    <w:rsid w:val="00BF4F23"/>
    <w:rsid w:val="00BF5A40"/>
    <w:rsid w:val="00C01AB0"/>
    <w:rsid w:val="00C02E63"/>
    <w:rsid w:val="00C02E92"/>
    <w:rsid w:val="00C04F50"/>
    <w:rsid w:val="00C06525"/>
    <w:rsid w:val="00C117C6"/>
    <w:rsid w:val="00C124A3"/>
    <w:rsid w:val="00C13DDD"/>
    <w:rsid w:val="00C14380"/>
    <w:rsid w:val="00C16365"/>
    <w:rsid w:val="00C1652C"/>
    <w:rsid w:val="00C20B50"/>
    <w:rsid w:val="00C21AB9"/>
    <w:rsid w:val="00C21F93"/>
    <w:rsid w:val="00C300EC"/>
    <w:rsid w:val="00C34073"/>
    <w:rsid w:val="00C3558B"/>
    <w:rsid w:val="00C3725E"/>
    <w:rsid w:val="00C37446"/>
    <w:rsid w:val="00C408BC"/>
    <w:rsid w:val="00C41FB8"/>
    <w:rsid w:val="00C51F2E"/>
    <w:rsid w:val="00C539A8"/>
    <w:rsid w:val="00C53DE7"/>
    <w:rsid w:val="00C540DE"/>
    <w:rsid w:val="00C5417A"/>
    <w:rsid w:val="00C54FDD"/>
    <w:rsid w:val="00C5782D"/>
    <w:rsid w:val="00C6055A"/>
    <w:rsid w:val="00C61A26"/>
    <w:rsid w:val="00C62282"/>
    <w:rsid w:val="00C63805"/>
    <w:rsid w:val="00C6467F"/>
    <w:rsid w:val="00C64ADA"/>
    <w:rsid w:val="00C6547D"/>
    <w:rsid w:val="00C76A44"/>
    <w:rsid w:val="00C77636"/>
    <w:rsid w:val="00C808C7"/>
    <w:rsid w:val="00C84AF4"/>
    <w:rsid w:val="00C8581E"/>
    <w:rsid w:val="00C86ADC"/>
    <w:rsid w:val="00C92402"/>
    <w:rsid w:val="00C939AF"/>
    <w:rsid w:val="00C945D3"/>
    <w:rsid w:val="00C947B2"/>
    <w:rsid w:val="00C94CEC"/>
    <w:rsid w:val="00C966D5"/>
    <w:rsid w:val="00C96E03"/>
    <w:rsid w:val="00CA77D6"/>
    <w:rsid w:val="00CA7B7F"/>
    <w:rsid w:val="00CB082B"/>
    <w:rsid w:val="00CB0CDB"/>
    <w:rsid w:val="00CB2EFF"/>
    <w:rsid w:val="00CB5E3B"/>
    <w:rsid w:val="00CC14C3"/>
    <w:rsid w:val="00CC1950"/>
    <w:rsid w:val="00CC3732"/>
    <w:rsid w:val="00CC3961"/>
    <w:rsid w:val="00CC3978"/>
    <w:rsid w:val="00CC43F6"/>
    <w:rsid w:val="00CC44A2"/>
    <w:rsid w:val="00CD088D"/>
    <w:rsid w:val="00CD5F3B"/>
    <w:rsid w:val="00CE2981"/>
    <w:rsid w:val="00CE3016"/>
    <w:rsid w:val="00CE6C46"/>
    <w:rsid w:val="00CF44DB"/>
    <w:rsid w:val="00CF72BF"/>
    <w:rsid w:val="00D01743"/>
    <w:rsid w:val="00D02229"/>
    <w:rsid w:val="00D02848"/>
    <w:rsid w:val="00D05451"/>
    <w:rsid w:val="00D06A8C"/>
    <w:rsid w:val="00D07006"/>
    <w:rsid w:val="00D079A0"/>
    <w:rsid w:val="00D120D2"/>
    <w:rsid w:val="00D12774"/>
    <w:rsid w:val="00D16821"/>
    <w:rsid w:val="00D21346"/>
    <w:rsid w:val="00D23C1A"/>
    <w:rsid w:val="00D263A7"/>
    <w:rsid w:val="00D30146"/>
    <w:rsid w:val="00D3656C"/>
    <w:rsid w:val="00D366A9"/>
    <w:rsid w:val="00D401DD"/>
    <w:rsid w:val="00D402C3"/>
    <w:rsid w:val="00D42C5A"/>
    <w:rsid w:val="00D46E5F"/>
    <w:rsid w:val="00D50E4C"/>
    <w:rsid w:val="00D51907"/>
    <w:rsid w:val="00D53FA1"/>
    <w:rsid w:val="00D619BC"/>
    <w:rsid w:val="00D62A6B"/>
    <w:rsid w:val="00D64B68"/>
    <w:rsid w:val="00D652AB"/>
    <w:rsid w:val="00D66762"/>
    <w:rsid w:val="00D67149"/>
    <w:rsid w:val="00D73BB8"/>
    <w:rsid w:val="00D73C6F"/>
    <w:rsid w:val="00D73F8A"/>
    <w:rsid w:val="00D740C0"/>
    <w:rsid w:val="00D74E35"/>
    <w:rsid w:val="00D7514F"/>
    <w:rsid w:val="00D76BC7"/>
    <w:rsid w:val="00D76D3D"/>
    <w:rsid w:val="00D77E02"/>
    <w:rsid w:val="00D806F9"/>
    <w:rsid w:val="00D81D6E"/>
    <w:rsid w:val="00D81ED5"/>
    <w:rsid w:val="00D82B33"/>
    <w:rsid w:val="00D847F1"/>
    <w:rsid w:val="00D84AA2"/>
    <w:rsid w:val="00D85D0D"/>
    <w:rsid w:val="00D86287"/>
    <w:rsid w:val="00D86549"/>
    <w:rsid w:val="00D8676D"/>
    <w:rsid w:val="00D87FC9"/>
    <w:rsid w:val="00D937CD"/>
    <w:rsid w:val="00D957E3"/>
    <w:rsid w:val="00DA1835"/>
    <w:rsid w:val="00DA2E24"/>
    <w:rsid w:val="00DA4815"/>
    <w:rsid w:val="00DA5AF5"/>
    <w:rsid w:val="00DA5CCA"/>
    <w:rsid w:val="00DB0473"/>
    <w:rsid w:val="00DB6F6E"/>
    <w:rsid w:val="00DC0983"/>
    <w:rsid w:val="00DC34CF"/>
    <w:rsid w:val="00DC5ACE"/>
    <w:rsid w:val="00DC7059"/>
    <w:rsid w:val="00DD1227"/>
    <w:rsid w:val="00DD1D9C"/>
    <w:rsid w:val="00DD6948"/>
    <w:rsid w:val="00DE2343"/>
    <w:rsid w:val="00DE31AF"/>
    <w:rsid w:val="00DE3DBB"/>
    <w:rsid w:val="00DF083B"/>
    <w:rsid w:val="00DF358F"/>
    <w:rsid w:val="00DF38A1"/>
    <w:rsid w:val="00E00B85"/>
    <w:rsid w:val="00E01251"/>
    <w:rsid w:val="00E0176D"/>
    <w:rsid w:val="00E01A3E"/>
    <w:rsid w:val="00E02180"/>
    <w:rsid w:val="00E02A99"/>
    <w:rsid w:val="00E03E5B"/>
    <w:rsid w:val="00E1261E"/>
    <w:rsid w:val="00E135B3"/>
    <w:rsid w:val="00E1606C"/>
    <w:rsid w:val="00E17C4B"/>
    <w:rsid w:val="00E17F4D"/>
    <w:rsid w:val="00E20D80"/>
    <w:rsid w:val="00E2184C"/>
    <w:rsid w:val="00E22293"/>
    <w:rsid w:val="00E23BED"/>
    <w:rsid w:val="00E32779"/>
    <w:rsid w:val="00E364B7"/>
    <w:rsid w:val="00E37B0D"/>
    <w:rsid w:val="00E40BC0"/>
    <w:rsid w:val="00E41105"/>
    <w:rsid w:val="00E41FD8"/>
    <w:rsid w:val="00E42F20"/>
    <w:rsid w:val="00E47902"/>
    <w:rsid w:val="00E55B93"/>
    <w:rsid w:val="00E609E7"/>
    <w:rsid w:val="00E61038"/>
    <w:rsid w:val="00E63E7A"/>
    <w:rsid w:val="00E64B55"/>
    <w:rsid w:val="00E73359"/>
    <w:rsid w:val="00E759E3"/>
    <w:rsid w:val="00E75E2D"/>
    <w:rsid w:val="00E827F0"/>
    <w:rsid w:val="00E83E79"/>
    <w:rsid w:val="00E90AB5"/>
    <w:rsid w:val="00EA22DF"/>
    <w:rsid w:val="00EA535E"/>
    <w:rsid w:val="00EB1817"/>
    <w:rsid w:val="00EB1CD2"/>
    <w:rsid w:val="00EB271D"/>
    <w:rsid w:val="00EB4EB9"/>
    <w:rsid w:val="00EB6824"/>
    <w:rsid w:val="00EC0EE6"/>
    <w:rsid w:val="00EC3736"/>
    <w:rsid w:val="00EC55EB"/>
    <w:rsid w:val="00EC601C"/>
    <w:rsid w:val="00ED4225"/>
    <w:rsid w:val="00ED4371"/>
    <w:rsid w:val="00ED484D"/>
    <w:rsid w:val="00ED6A30"/>
    <w:rsid w:val="00ED6D4B"/>
    <w:rsid w:val="00ED76B5"/>
    <w:rsid w:val="00EE0F42"/>
    <w:rsid w:val="00EE1F9E"/>
    <w:rsid w:val="00EE3A4E"/>
    <w:rsid w:val="00EE4363"/>
    <w:rsid w:val="00EE620B"/>
    <w:rsid w:val="00EE63D6"/>
    <w:rsid w:val="00EE70E8"/>
    <w:rsid w:val="00EE7936"/>
    <w:rsid w:val="00EF2199"/>
    <w:rsid w:val="00EF293A"/>
    <w:rsid w:val="00EF2C6D"/>
    <w:rsid w:val="00EF6BC1"/>
    <w:rsid w:val="00F018DE"/>
    <w:rsid w:val="00F04C7D"/>
    <w:rsid w:val="00F069A8"/>
    <w:rsid w:val="00F071B4"/>
    <w:rsid w:val="00F11343"/>
    <w:rsid w:val="00F140F5"/>
    <w:rsid w:val="00F201CC"/>
    <w:rsid w:val="00F268E6"/>
    <w:rsid w:val="00F35050"/>
    <w:rsid w:val="00F360A8"/>
    <w:rsid w:val="00F37855"/>
    <w:rsid w:val="00F40B79"/>
    <w:rsid w:val="00F41270"/>
    <w:rsid w:val="00F41677"/>
    <w:rsid w:val="00F416AB"/>
    <w:rsid w:val="00F41FE7"/>
    <w:rsid w:val="00F444DD"/>
    <w:rsid w:val="00F51037"/>
    <w:rsid w:val="00F60A05"/>
    <w:rsid w:val="00F632E1"/>
    <w:rsid w:val="00F67EF8"/>
    <w:rsid w:val="00F713CF"/>
    <w:rsid w:val="00F733CB"/>
    <w:rsid w:val="00F761E2"/>
    <w:rsid w:val="00F85F76"/>
    <w:rsid w:val="00F8681A"/>
    <w:rsid w:val="00F96108"/>
    <w:rsid w:val="00FA0EAF"/>
    <w:rsid w:val="00FA29AA"/>
    <w:rsid w:val="00FA2A16"/>
    <w:rsid w:val="00FA361F"/>
    <w:rsid w:val="00FA3978"/>
    <w:rsid w:val="00FA3DA9"/>
    <w:rsid w:val="00FA537B"/>
    <w:rsid w:val="00FA7560"/>
    <w:rsid w:val="00FA760C"/>
    <w:rsid w:val="00FA7BDE"/>
    <w:rsid w:val="00FB0DC3"/>
    <w:rsid w:val="00FB3EF3"/>
    <w:rsid w:val="00FB4E6D"/>
    <w:rsid w:val="00FB5A47"/>
    <w:rsid w:val="00FB62BD"/>
    <w:rsid w:val="00FB6DDC"/>
    <w:rsid w:val="00FC0550"/>
    <w:rsid w:val="00FC2182"/>
    <w:rsid w:val="00FC2C2C"/>
    <w:rsid w:val="00FD1207"/>
    <w:rsid w:val="00FD19A1"/>
    <w:rsid w:val="00FD3159"/>
    <w:rsid w:val="00FD58B7"/>
    <w:rsid w:val="00FE0325"/>
    <w:rsid w:val="00FE1804"/>
    <w:rsid w:val="00FE28A4"/>
    <w:rsid w:val="00FE5B4A"/>
    <w:rsid w:val="00FF0268"/>
    <w:rsid w:val="00FF02BD"/>
    <w:rsid w:val="00FF03FE"/>
    <w:rsid w:val="00FF3C5F"/>
    <w:rsid w:val="00FF4EA1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720DA"/>
  <w15:chartTrackingRefBased/>
  <w15:docId w15:val="{9C0F2620-30C3-4FD1-B5AA-9F5F78C9C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367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1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SimSun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qFormat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3162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3162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3162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3162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7C3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7C3C"/>
    <w:rPr>
      <w:b/>
      <w:bCs/>
      <w:kern w:val="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7C3C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C3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C3C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E1261E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41F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93C31"/>
    <w:pPr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93C31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93C31"/>
    <w:rPr>
      <w:vertAlign w:val="superscript"/>
    </w:rPr>
  </w:style>
  <w:style w:type="character" w:styleId="Hyperlink">
    <w:name w:val="Hyperlink"/>
    <w:uiPriority w:val="99"/>
    <w:qFormat/>
    <w:rsid w:val="0000417F"/>
    <w:rPr>
      <w:color w:val="0000FF"/>
      <w:u w:val="single"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00417F"/>
    <w:rPr>
      <w:rFonts w:eastAsia="SimSun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1341CD"/>
    <w:rPr>
      <w:color w:val="808080"/>
    </w:rPr>
  </w:style>
  <w:style w:type="paragraph" w:customStyle="1" w:styleId="EQ">
    <w:name w:val="EQ"/>
    <w:basedOn w:val="Normal"/>
    <w:next w:val="Normal"/>
    <w:qFormat/>
    <w:rsid w:val="001341CD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6F54DF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6F54DF"/>
    <w:pPr>
      <w:autoSpaceDE/>
      <w:autoSpaceDN/>
      <w:adjustRightInd/>
      <w:snapToGrid/>
      <w:spacing w:after="0"/>
    </w:pPr>
    <w:rPr>
      <w:rFonts w:eastAsiaTheme="minorEastAsia" w:cstheme="minorBidi"/>
      <w:kern w:val="2"/>
      <w:sz w:val="21"/>
      <w:lang w:val="en-GB" w:eastAsia="zh-CN"/>
    </w:rPr>
  </w:style>
  <w:style w:type="character" w:customStyle="1" w:styleId="B1Zchn">
    <w:name w:val="B1 Zchn"/>
    <w:qFormat/>
    <w:rsid w:val="00C117C6"/>
    <w:rPr>
      <w:rFonts w:ascii="Times New Roman" w:eastAsia="SimSun" w:hAnsi="Times New Roman" w:cs="Times New Roman"/>
      <w:kern w:val="0"/>
      <w:sz w:val="20"/>
      <w:szCs w:val="20"/>
      <w:lang w:val="zh-CN" w:eastAsia="en-US"/>
      <w14:ligatures w14:val="none"/>
    </w:rPr>
  </w:style>
  <w:style w:type="character" w:customStyle="1" w:styleId="B2Char">
    <w:name w:val="B2 Char"/>
    <w:link w:val="B2"/>
    <w:qFormat/>
    <w:locked/>
    <w:rsid w:val="00FB4E6D"/>
    <w:rPr>
      <w:lang w:val="x-none" w:eastAsia="en-US"/>
    </w:rPr>
  </w:style>
  <w:style w:type="paragraph" w:customStyle="1" w:styleId="B2">
    <w:name w:val="B2"/>
    <w:basedOn w:val="Normal"/>
    <w:link w:val="B2Char"/>
    <w:qFormat/>
    <w:rsid w:val="00FB4E6D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0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70396-F932-4C8A-95A0-9DADD3D0C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Keyvan Zarifi3</cp:lastModifiedBy>
  <cp:revision>10</cp:revision>
  <dcterms:created xsi:type="dcterms:W3CDTF">2024-11-06T07:39:00Z</dcterms:created>
  <dcterms:modified xsi:type="dcterms:W3CDTF">2025-02-06T05:26:00Z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(3)704wFI2vs7POek3uFeFndBPX3kMLLE9h03VyIN8eJ183I1qe4Cq10wNuMVo8JFW70JqGVbNj
5C/XgYck8hNDFmKAEPnVseg32jGb9y9P4T+duDApu+XNUvH14I0qtvhaP46WM9RRQgLv+6a2
9qVlqC8PngMWg9Ib8iDCycbZJJL7lpjT4DvgI8CVEWH+NcMiLztLrOy9jSvTEl9q+wtzUudA
DJinPxBX9QNyxctlgm</vt:lpwstr>
  </property>
  <property fmtid="{D5CDD505-2E9C-101B-9397-08002B2CF9AE}" pid="3" name="_2015_ms_pID_7253431">
    <vt:lpwstr>dyRJzbiY+Vfp4T9JKp1PMYOrSDQpzBG+debej70RKHHmYcyfUUxYuR
sijlJ7i1YXqzkEItYzNvlDmLlKDFbE9+C/SD2VywWyvoD2NVeGjQNPVuTHQZeI4+3YIgc/kz
d9GJ85uJcKuNWoBVVJwyHNHzcg+k9BSWusUFJIXenf0Q3zoCi0vrm6InpwBVDQ/BU8YJuGlZ
c3crjotxAbqhC1grql45wEOFwCKP3G8jOgcb</vt:lpwstr>
  </property>
  <property fmtid="{D5CDD505-2E9C-101B-9397-08002B2CF9AE}" pid="4" name="_2015_ms_pID_7253432">
    <vt:lpwstr>DXWbuET7b1rnE+ieotjE7bU=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1723208868</vt:lpwstr>
  </property>
</Properties>
</file>