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hint="default" w:ascii="Arial" w:hAnsi="Arial" w:eastAsia="宋体" w:cs="Arial"/>
          <w:b/>
          <w:bCs/>
          <w:sz w:val="22"/>
          <w:szCs w:val="22"/>
          <w:lang w:val="en-US" w:eastAsia="zh-CN"/>
        </w:rPr>
      </w:pPr>
      <w:r>
        <w:rPr>
          <w:rFonts w:hint="default" w:ascii="Arial" w:hAnsi="Arial" w:cs="Arial"/>
          <w:b/>
          <w:bCs/>
          <w:sz w:val="22"/>
          <w:szCs w:val="22"/>
          <w:lang w:eastAsia="ja-JP"/>
        </w:rPr>
        <w:t>3GPP TSG RAN WG1 meeting #11</w:t>
      </w:r>
      <w:r>
        <w:rPr>
          <w:rFonts w:hint="eastAsia" w:ascii="Arial" w:hAnsi="Arial" w:cs="Arial"/>
          <w:b/>
          <w:bCs/>
          <w:sz w:val="22"/>
          <w:szCs w:val="22"/>
          <w:lang w:val="en-US" w:eastAsia="zh-CN"/>
        </w:rPr>
        <w:t>8</w:t>
      </w:r>
      <w:r>
        <w:rPr>
          <w:rFonts w:hint="default" w:ascii="Arial" w:hAnsi="Arial" w:cs="Arial"/>
          <w:b/>
          <w:bCs/>
          <w:sz w:val="22"/>
          <w:szCs w:val="22"/>
          <w:lang w:eastAsia="ja-JP"/>
        </w:rPr>
        <w:tab/>
      </w:r>
      <w:r>
        <w:rPr>
          <w:rFonts w:hint="default" w:ascii="Arial" w:hAnsi="Arial" w:cs="Arial"/>
          <w:b/>
          <w:bCs/>
          <w:sz w:val="22"/>
          <w:szCs w:val="22"/>
          <w:lang w:eastAsia="ja-JP"/>
        </w:rPr>
        <w:tab/>
      </w:r>
      <w:r>
        <w:rPr>
          <w:rFonts w:hint="default" w:ascii="Arial" w:hAnsi="Arial" w:cs="Arial"/>
          <w:b/>
          <w:bCs/>
          <w:sz w:val="22"/>
          <w:szCs w:val="22"/>
          <w:lang w:eastAsia="ja-JP"/>
        </w:rPr>
        <w:t xml:space="preserve">                                   R1-24</w:t>
      </w:r>
      <w:r>
        <w:rPr>
          <w:rFonts w:hint="eastAsia" w:ascii="Arial" w:hAnsi="Arial" w:cs="Arial"/>
          <w:b/>
          <w:bCs/>
          <w:sz w:val="22"/>
          <w:szCs w:val="22"/>
          <w:lang w:val="en-US" w:eastAsia="zh-CN"/>
        </w:rPr>
        <w:t>06402</w:t>
      </w:r>
    </w:p>
    <w:p>
      <w:pPr>
        <w:pStyle w:val="119"/>
        <w:outlineLvl w:val="0"/>
        <w:rPr>
          <w:b/>
          <w:sz w:val="24"/>
          <w:lang w:val="en-US" w:eastAsia="ja-JP"/>
        </w:rPr>
      </w:pPr>
      <w:r>
        <w:rPr>
          <w:rFonts w:ascii="Arial" w:hAnsi="Arial" w:cs="Arial"/>
          <w:b/>
          <w:bCs/>
          <w:sz w:val="22"/>
          <w:szCs w:val="22"/>
          <w:lang w:eastAsia="ja-JP"/>
        </w:rPr>
        <w:fldChar w:fldCharType="begin"/>
      </w:r>
      <w:r>
        <w:rPr>
          <w:rFonts w:ascii="Arial" w:hAnsi="Arial" w:cs="Arial"/>
          <w:b/>
          <w:bCs/>
          <w:sz w:val="22"/>
          <w:szCs w:val="22"/>
          <w:lang w:eastAsia="ja-JP"/>
        </w:rPr>
        <w:instrText xml:space="preserve"> HYPERLINK "https://www.3gpp.org//Specification-Groups/" \t "https://www.3gpp.org/_blank" </w:instrText>
      </w:r>
      <w:r>
        <w:rPr>
          <w:rFonts w:ascii="Arial" w:hAnsi="Arial" w:cs="Arial"/>
          <w:b/>
          <w:bCs/>
          <w:sz w:val="22"/>
          <w:szCs w:val="22"/>
          <w:lang w:eastAsia="ja-JP"/>
        </w:rPr>
        <w:fldChar w:fldCharType="separate"/>
      </w:r>
      <w:r>
        <w:rPr>
          <w:rFonts w:hint="default" w:ascii="Arial" w:hAnsi="Arial" w:cs="Arial"/>
          <w:b/>
          <w:bCs/>
          <w:sz w:val="22"/>
          <w:szCs w:val="22"/>
          <w:lang w:eastAsia="ja-JP"/>
        </w:rPr>
        <w:t>Maastricht</w:t>
      </w:r>
      <w:r>
        <w:rPr>
          <w:rFonts w:hint="default" w:ascii="Arial" w:hAnsi="Arial" w:cs="Arial"/>
          <w:b/>
          <w:bCs/>
          <w:sz w:val="22"/>
          <w:szCs w:val="22"/>
          <w:lang w:eastAsia="ja-JP"/>
        </w:rPr>
        <w:fldChar w:fldCharType="end"/>
      </w:r>
      <w:r>
        <w:rPr>
          <w:rFonts w:ascii="Arial" w:hAnsi="Arial" w:cs="Arial"/>
          <w:b/>
          <w:bCs/>
          <w:sz w:val="22"/>
          <w:szCs w:val="22"/>
          <w:lang w:eastAsia="ja-JP"/>
        </w:rPr>
        <w:t xml:space="preserve">, </w:t>
      </w:r>
      <w:r>
        <w:rPr>
          <w:rFonts w:hint="eastAsia" w:ascii="Arial" w:hAnsi="Arial" w:cs="Arial"/>
          <w:b/>
          <w:bCs/>
          <w:sz w:val="22"/>
          <w:szCs w:val="22"/>
          <w:lang w:val="en-US" w:eastAsia="zh-CN"/>
        </w:rPr>
        <w:t>Netherlands</w:t>
      </w:r>
      <w:r>
        <w:rPr>
          <w:rFonts w:hint="eastAsia" w:ascii="Arial" w:hAnsi="Arial" w:cs="Arial"/>
          <w:b/>
          <w:bCs/>
          <w:sz w:val="22"/>
          <w:szCs w:val="22"/>
        </w:rPr>
        <w:t xml:space="preserve">, </w:t>
      </w:r>
      <w:r>
        <w:rPr>
          <w:rFonts w:hint="eastAsia" w:ascii="Arial" w:hAnsi="Arial" w:cs="Arial"/>
          <w:b/>
          <w:bCs/>
          <w:sz w:val="22"/>
          <w:szCs w:val="22"/>
          <w:lang w:val="en-US" w:eastAsia="zh-CN"/>
        </w:rPr>
        <w:t>August 19</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w:t>
      </w:r>
      <w:r>
        <w:rPr>
          <w:rFonts w:hint="eastAsia" w:ascii="Arial" w:hAnsi="Arial" w:cs="Arial"/>
          <w:b/>
          <w:bCs/>
          <w:sz w:val="22"/>
          <w:szCs w:val="22"/>
          <w:lang w:val="en-US" w:eastAsia="zh-CN"/>
        </w:rPr>
        <w:t>August</w:t>
      </w:r>
      <w:r>
        <w:rPr>
          <w:rFonts w:hint="eastAsia" w:ascii="Arial" w:hAnsi="Arial" w:cs="Arial"/>
          <w:b/>
          <w:bCs/>
          <w:sz w:val="22"/>
          <w:szCs w:val="22"/>
        </w:rPr>
        <w:t xml:space="preserve"> </w:t>
      </w:r>
      <w:r>
        <w:rPr>
          <w:rFonts w:hint="eastAsia" w:ascii="Arial" w:hAnsi="Arial" w:cs="Arial"/>
          <w:b/>
          <w:bCs/>
          <w:sz w:val="22"/>
          <w:szCs w:val="22"/>
          <w:lang w:val="en-US" w:eastAsia="zh-CN"/>
        </w:rPr>
        <w:t>23</w:t>
      </w:r>
      <w:r>
        <w:rPr>
          <w:rFonts w:hint="eastAsia" w:cs="Arial"/>
          <w:b/>
          <w:bCs/>
          <w:sz w:val="22"/>
          <w:szCs w:val="22"/>
          <w:vertAlign w:val="superscript"/>
          <w:lang w:val="en-US" w:eastAsia="zh-CN"/>
        </w:rPr>
        <w:t>rd</w:t>
      </w:r>
      <w:r>
        <w:rPr>
          <w:rFonts w:ascii="Arial" w:hAnsi="Arial" w:cs="Arial"/>
          <w:b/>
          <w:bCs/>
          <w:sz w:val="22"/>
          <w:szCs w:val="22"/>
          <w:lang w:eastAsia="ja-JP"/>
        </w:rPr>
        <w:t>, 202</w:t>
      </w:r>
      <w:r>
        <w:rPr>
          <w:rFonts w:hint="eastAsia" w:ascii="Arial" w:hAnsi="Arial" w:cs="Arial"/>
          <w:b/>
          <w:bCs/>
          <w:sz w:val="22"/>
          <w:szCs w:val="22"/>
        </w:rPr>
        <w:t>4</w:t>
      </w:r>
    </w:p>
    <w:p>
      <w:pPr>
        <w:rPr>
          <w:lang w:val="en-US" w:eastAsia="ja-JP"/>
        </w:rPr>
      </w:pPr>
    </w:p>
    <w:p>
      <w:pPr>
        <w:rPr>
          <w:lang w:val="en-US" w:eastAsia="zh-CN"/>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t>38.21</w:t>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10</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hint="eastAsia"/>
                <w:b/>
                <w:caps/>
                <w:lang w:eastAsia="zh-CN"/>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bCs/>
                <w:caps/>
                <w:lang w:eastAsia="zh-CN"/>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rPr>
                <w:rFonts w:hint="default"/>
                <w:lang w:val="en-US" w:eastAsia="zh-CN"/>
              </w:rPr>
            </w:pPr>
            <w:r>
              <w:rPr>
                <w:lang w:val="en-US" w:eastAsia="zh-CN"/>
              </w:rPr>
              <w:t xml:space="preserve">Correction on </w:t>
            </w:r>
            <w:r>
              <w:rPr>
                <w:rFonts w:hint="eastAsia"/>
                <w:lang w:val="en-US" w:eastAsia="zh-CN"/>
              </w:rPr>
              <w:t>PEI</w:t>
            </w:r>
            <w:r>
              <w:rPr>
                <w:lang w:val="en-US" w:eastAsia="zh-CN"/>
              </w:rPr>
              <w:t xml:space="preserve"> for </w:t>
            </w:r>
            <w:r>
              <w:rPr>
                <w:rFonts w:hint="eastAsia"/>
                <w:lang w:val="en-US" w:eastAsia="zh-CN"/>
              </w:rPr>
              <w:t>UE power saving</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rPr>
                <w:lang w:val="en-US" w:eastAsia="zh-CN"/>
              </w:rPr>
            </w:pPr>
            <w:r>
              <w:t>ZTE</w:t>
            </w:r>
            <w:r>
              <w:rPr>
                <w:rFonts w:hint="eastAsia"/>
                <w:lang w:val="en-US" w:eastAsia="zh-CN"/>
              </w:rPr>
              <w:t xml:space="preserve"> Corporation</w:t>
            </w:r>
            <w:r>
              <w:t>,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rPr>
                <w:lang w:val="en-US" w:eastAsia="zh-CN"/>
              </w:rPr>
            </w:pPr>
            <w:r>
              <w:t>NR_UE_pow_sav-Core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t>202</w:t>
            </w:r>
            <w:r>
              <w:rPr>
                <w:rFonts w:hint="eastAsia"/>
                <w:lang w:val="en-US" w:eastAsia="zh-CN"/>
              </w:rPr>
              <w:t>4</w:t>
            </w:r>
            <w:r>
              <w:t>-</w:t>
            </w:r>
            <w:r>
              <w:rPr>
                <w:rFonts w:hint="eastAsia"/>
                <w:lang w:val="en-US" w:eastAsia="zh-CN"/>
              </w:rPr>
              <w:t>08</w:t>
            </w:r>
          </w:p>
        </w:tc>
      </w:tr>
      <w:tr>
        <w:tblPrEx>
          <w:tblCellMar>
            <w:top w:w="0" w:type="dxa"/>
            <w:left w:w="42" w:type="dxa"/>
            <w:bottom w:w="0" w:type="dxa"/>
            <w:right w:w="42" w:type="dxa"/>
          </w:tblCellMar>
        </w:tblPrEx>
        <w:trPr>
          <w:trHeight w:val="137" w:hRule="atLeast"/>
        </w:trPr>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right="-609"/>
              <w:rPr>
                <w:b/>
              </w:rPr>
            </w:pPr>
            <w:r>
              <w:rPr>
                <w:b/>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numPr>
                <w:ilvl w:val="0"/>
                <w:numId w:val="33"/>
              </w:numPr>
              <w:spacing w:after="0"/>
              <w:rPr>
                <w:rFonts w:hint="eastAsia"/>
                <w:lang w:val="en-US" w:eastAsia="zh-CN"/>
              </w:rPr>
            </w:pPr>
            <w:r>
              <w:rPr>
                <w:rFonts w:hint="eastAsia"/>
                <w:lang w:val="en-US" w:eastAsia="zh-CN"/>
              </w:rPr>
              <w:t xml:space="preserve"> UE_ID used for the determination of PO associated with PEI indication, refers to TS 38.304. While, in clause 7.1 of TS 38.304, the UE_ID is defined as </w:t>
            </w:r>
            <w:r>
              <w:rPr>
                <w:rFonts w:hint="default"/>
                <w:lang w:val="en-US" w:eastAsia="zh-CN"/>
              </w:rPr>
              <w:t>5G-S-TMSI mod 4096</w:t>
            </w:r>
            <w:r>
              <w:rPr>
                <w:rFonts w:hint="eastAsia"/>
                <w:lang w:val="en-US" w:eastAsia="zh-CN"/>
              </w:rPr>
              <w:t xml:space="preserve"> for </w:t>
            </w:r>
            <w:r>
              <w:rPr>
                <w:rFonts w:hint="default"/>
                <w:lang w:val="en-US" w:eastAsia="zh-CN"/>
              </w:rPr>
              <w:t>UE operates in eDRX</w:t>
            </w:r>
            <w:r>
              <w:rPr>
                <w:rFonts w:hint="eastAsia"/>
                <w:lang w:val="en-US" w:eastAsia="zh-CN"/>
              </w:rPr>
              <w:t xml:space="preserve">, otherwise, it is defined as </w:t>
            </w:r>
            <w:r>
              <w:rPr>
                <w:rFonts w:hint="default"/>
                <w:lang w:val="en-US" w:eastAsia="zh-CN"/>
              </w:rPr>
              <w:t>5G-S-TMSI mod 1024</w:t>
            </w:r>
            <w:r>
              <w:rPr>
                <w:rFonts w:hint="eastAsia"/>
                <w:lang w:val="en-US" w:eastAsia="zh-CN"/>
              </w:rPr>
              <w:t xml:space="preserve">. In  clause 7.3.2 of TS 38.304,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 xml:space="preserve">. That is, two different definitions are provided in </w:t>
            </w:r>
            <w:r>
              <w:rPr>
                <w:rFonts w:hint="eastAsia"/>
                <w:lang w:val="en-US" w:eastAsia="zh-CN"/>
              </w:rPr>
              <w:t>TS 38.304, resulting the  determination of UE_ID is ambiguous without a specific reference. Therefore, an accurate reference relationship should be provided.</w:t>
            </w:r>
            <w:bookmarkStart w:id="10" w:name="_GoBack"/>
            <w:bookmarkEnd w:id="10"/>
          </w:p>
          <w:p>
            <w:pPr>
              <w:pStyle w:val="119"/>
              <w:numPr>
                <w:ilvl w:val="0"/>
                <w:numId w:val="33"/>
              </w:numPr>
              <w:spacing w:after="0"/>
              <w:rPr>
                <w:rFonts w:hint="eastAsia"/>
                <w:lang w:val="en-US" w:eastAsia="zh-CN"/>
              </w:rPr>
            </w:pPr>
            <w:r>
              <w:rPr>
                <w:rFonts w:hint="eastAsia"/>
                <w:lang w:val="en-US" w:eastAsia="zh-CN"/>
              </w:rPr>
              <w:t xml:space="preserve"> The definition and the determination of subgroup index </w:t>
            </w:r>
            <w:r>
              <w:rPr>
                <w:rFonts w:hint="eastAsia"/>
                <w:i/>
                <w:iCs/>
                <w:lang w:val="en-US" w:eastAsia="zh-CN"/>
              </w:rPr>
              <w:t>i</w:t>
            </w:r>
            <w:r>
              <w:rPr>
                <w:rFonts w:hint="eastAsia"/>
                <w:i/>
                <w:iCs/>
                <w:vertAlign w:val="subscript"/>
                <w:lang w:val="en-US" w:eastAsia="zh-CN"/>
              </w:rPr>
              <w:t>SG</w:t>
            </w:r>
            <w:r>
              <w:rPr>
                <w:rFonts w:hint="eastAsia"/>
                <w:lang w:val="en-US" w:eastAsia="zh-CN"/>
              </w:rPr>
              <w:t xml:space="preserve"> are provided in 38.304. However, there is no abbreviation </w:t>
            </w:r>
            <w:r>
              <w:rPr>
                <w:rFonts w:hint="eastAsia"/>
                <w:i/>
                <w:iCs/>
                <w:lang w:val="en-US" w:eastAsia="zh-CN"/>
              </w:rPr>
              <w:t>i</w:t>
            </w:r>
            <w:r>
              <w:rPr>
                <w:rFonts w:hint="eastAsia"/>
                <w:i/>
                <w:iCs/>
                <w:vertAlign w:val="subscript"/>
                <w:lang w:val="en-US" w:eastAsia="zh-CN"/>
              </w:rPr>
              <w:t>SG</w:t>
            </w:r>
            <w:r>
              <w:rPr>
                <w:rFonts w:hint="eastAsia"/>
                <w:lang w:val="en-US" w:eastAsia="zh-CN"/>
              </w:rPr>
              <w:t xml:space="preserve"> in 38.304. Therefore, it is necessary to refer </w:t>
            </w:r>
            <w:r>
              <w:rPr>
                <w:rFonts w:hint="eastAsia"/>
                <w:i/>
                <w:iCs/>
                <w:lang w:val="en-US" w:eastAsia="zh-CN"/>
              </w:rPr>
              <w:t>i</w:t>
            </w:r>
            <w:r>
              <w:rPr>
                <w:rFonts w:hint="eastAsia"/>
                <w:i/>
                <w:iCs/>
                <w:vertAlign w:val="subscript"/>
                <w:lang w:val="en-US" w:eastAsia="zh-CN"/>
              </w:rPr>
              <w:t>SG</w:t>
            </w:r>
            <w:r>
              <w:rPr>
                <w:rFonts w:hint="eastAsia"/>
                <w:lang w:val="en-US" w:eastAsia="zh-CN"/>
              </w:rPr>
              <w:t xml:space="preserve">  to the subgroup ID in 38.304.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4"/>
              </w:numPr>
              <w:spacing w:after="0"/>
              <w:rPr>
                <w:lang w:eastAsia="zh-CN"/>
              </w:rPr>
            </w:pPr>
            <w:r>
              <w:rPr>
                <w:lang w:val="en-US" w:eastAsia="zh-CN"/>
              </w:rPr>
              <w:t xml:space="preserve">Add </w:t>
            </w:r>
            <w:r>
              <w:rPr>
                <w:rFonts w:hint="eastAsia"/>
                <w:lang w:val="en-US" w:eastAsia="zh-CN"/>
              </w:rPr>
              <w:t xml:space="preserve">the </w:t>
            </w:r>
            <w:r>
              <w:rPr>
                <w:lang w:val="en-US" w:eastAsia="zh-CN"/>
              </w:rPr>
              <w:t>corresponding</w:t>
            </w:r>
            <w:r>
              <w:rPr>
                <w:rFonts w:hint="eastAsia"/>
                <w:lang w:val="en-US" w:eastAsia="zh-CN"/>
              </w:rPr>
              <w:t xml:space="preserve"> clause that the definition of UE_ID refers to.</w:t>
            </w:r>
          </w:p>
          <w:p>
            <w:pPr>
              <w:pStyle w:val="119"/>
              <w:numPr>
                <w:ilvl w:val="0"/>
                <w:numId w:val="34"/>
              </w:numPr>
              <w:spacing w:after="0"/>
              <w:rPr>
                <w:lang w:eastAsia="zh-CN"/>
              </w:rPr>
            </w:pPr>
            <w:r>
              <w:rPr>
                <w:rFonts w:hint="eastAsia"/>
                <w:lang w:val="en-US" w:eastAsia="zh-CN"/>
              </w:rPr>
              <w:t xml:space="preserve">Add the </w:t>
            </w:r>
            <w:r>
              <w:rPr>
                <w:lang w:val="en-US" w:eastAsia="zh-CN"/>
              </w:rPr>
              <w:t>corresponding</w:t>
            </w:r>
            <w:r>
              <w:rPr>
                <w:rFonts w:hint="eastAsia"/>
                <w:lang w:val="en-US" w:eastAsia="zh-CN"/>
              </w:rPr>
              <w:t xml:space="preserve"> clause that the definition of i</w:t>
            </w:r>
            <w:r>
              <w:rPr>
                <w:rFonts w:hint="eastAsia"/>
                <w:vertAlign w:val="subscript"/>
                <w:lang w:val="en-US" w:eastAsia="zh-CN"/>
              </w:rPr>
              <w:t>SG</w:t>
            </w:r>
            <w:r>
              <w:rPr>
                <w:rFonts w:hint="eastAsia"/>
                <w:lang w:val="en-US" w:eastAsia="zh-CN"/>
              </w:rPr>
              <w:t xml:space="preserve"> refers 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numPr>
                <w:ilvl w:val="0"/>
                <w:numId w:val="35"/>
              </w:numPr>
              <w:spacing w:after="0"/>
            </w:pPr>
            <w:r>
              <w:rPr>
                <w:rFonts w:hint="eastAsia"/>
                <w:lang w:val="en-US" w:eastAsia="zh-CN"/>
              </w:rPr>
              <w:t xml:space="preserve"> The definition</w:t>
            </w:r>
            <w:r>
              <w:rPr>
                <w:lang w:val="en-US" w:eastAsia="zh-CN"/>
              </w:rPr>
              <w:t xml:space="preserve"> of </w:t>
            </w:r>
            <w:r>
              <w:rPr>
                <w:rFonts w:hint="eastAsia"/>
                <w:lang w:val="en-US" w:eastAsia="zh-CN"/>
              </w:rPr>
              <w:t>UE_ID is unclear.</w:t>
            </w:r>
          </w:p>
          <w:p>
            <w:pPr>
              <w:pStyle w:val="119"/>
              <w:numPr>
                <w:ilvl w:val="0"/>
                <w:numId w:val="35"/>
              </w:numPr>
              <w:spacing w:after="0"/>
            </w:pPr>
            <w:r>
              <w:rPr>
                <w:rFonts w:hint="eastAsia"/>
                <w:lang w:val="en-US" w:eastAsia="zh-CN"/>
              </w:rPr>
              <w:t xml:space="preserve"> The definition</w:t>
            </w:r>
            <w:r>
              <w:rPr>
                <w:lang w:val="en-US" w:eastAsia="zh-CN"/>
              </w:rPr>
              <w:t xml:space="preserve"> of </w:t>
            </w:r>
            <w:r>
              <w:rPr>
                <w:rFonts w:hint="eastAsia"/>
                <w:lang w:val="en-US" w:eastAsia="zh-CN"/>
              </w:rPr>
              <w:t>i</w:t>
            </w:r>
            <w:r>
              <w:rPr>
                <w:rFonts w:hint="eastAsia"/>
                <w:vertAlign w:val="subscript"/>
                <w:lang w:val="en-US" w:eastAsia="zh-CN"/>
              </w:rPr>
              <w:t>SG</w:t>
            </w:r>
            <w:r>
              <w:rPr>
                <w:rFonts w:hint="eastAsia"/>
                <w:lang w:val="en-US" w:eastAsia="zh-CN"/>
              </w:rPr>
              <w:t xml:space="preserve"> is unclear.</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eastAsiaTheme="minorEastAsia"/>
                <w:lang w:val="en-US" w:eastAsia="zh-CN"/>
              </w:rPr>
            </w:pPr>
            <w:r>
              <w:rPr>
                <w:rFonts w:hint="eastAsia"/>
                <w:color w:val="000000"/>
                <w:lang w:val="en-US" w:eastAsia="zh-CN"/>
              </w:rPr>
              <w:t>10.4A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pStyle w:val="5"/>
        <w:rPr>
          <w:color w:val="000000"/>
          <w:lang w:val="en-US"/>
        </w:rPr>
      </w:pPr>
      <w:bookmarkStart w:id="1" w:name="_Toc29674298"/>
      <w:bookmarkStart w:id="2" w:name="_Toc11352109"/>
      <w:bookmarkStart w:id="3" w:name="_Toc29673305"/>
      <w:bookmarkStart w:id="4" w:name="_Toc45810573"/>
      <w:bookmarkStart w:id="5" w:name="_Toc27299897"/>
      <w:bookmarkStart w:id="6" w:name="_Toc36645528"/>
      <w:bookmarkStart w:id="7" w:name="_Toc162184905"/>
      <w:bookmarkStart w:id="8" w:name="_Toc20317999"/>
      <w:bookmarkStart w:id="9" w:name="_Toc29673164"/>
      <w:r>
        <w:rPr>
          <w:rFonts w:hint="eastAsia"/>
          <w:color w:val="000000"/>
          <w:lang w:val="en-US" w:eastAsia="zh-CN"/>
        </w:rPr>
        <w:t>10.4A</w:t>
      </w:r>
      <w:r>
        <w:rPr>
          <w:color w:val="000000"/>
          <w:lang w:val="en-US"/>
        </w:rPr>
        <w:tab/>
      </w:r>
      <w:r>
        <w:rPr>
          <w:rFonts w:hint="eastAsia"/>
          <w:color w:val="000000"/>
          <w:lang w:val="en-US"/>
        </w:rPr>
        <w:t>PDCCH monitoring for early indication of paging</w:t>
      </w:r>
      <w:bookmarkEnd w:id="1"/>
      <w:bookmarkEnd w:id="2"/>
      <w:bookmarkEnd w:id="3"/>
      <w:bookmarkEnd w:id="4"/>
      <w:bookmarkEnd w:id="5"/>
      <w:bookmarkEnd w:id="6"/>
      <w:bookmarkEnd w:id="7"/>
      <w:bookmarkEnd w:id="8"/>
      <w:bookmarkEnd w:id="9"/>
    </w:p>
    <w:p>
      <w:pPr>
        <w:jc w:val="center"/>
        <w:rPr>
          <w:highlight w:val="none"/>
          <w:lang w:val="en-US"/>
        </w:rPr>
      </w:pPr>
      <w:r>
        <w:rPr>
          <w:b/>
          <w:bCs/>
          <w:color w:val="FF0000"/>
          <w:lang w:eastAsia="zh-CN"/>
        </w:rPr>
        <w:t>&lt;Unchanged parts are omitted&gt;</w:t>
      </w:r>
    </w:p>
    <w:p>
      <w:pPr>
        <w:rPr>
          <w:rFonts w:eastAsia="微软雅黑"/>
          <w:highlight w:val="none"/>
        </w:rPr>
      </w:pPr>
      <w:r>
        <w:rPr>
          <w:highlight w:val="none"/>
          <w:lang w:val="en-US"/>
        </w:rPr>
        <w:t xml:space="preserve">A paging indication field of DCI format 2_7 includes </w:t>
      </w:r>
      <m:oMath>
        <m:sSubSup>
          <m:sSubSupPr>
            <m:ctrlPr>
              <w:rPr>
                <w:rFonts w:ascii="Cambria Math" w:hAnsi="Cambria Math"/>
                <w:i/>
                <w:highlight w:val="none"/>
                <w:lang w:val="en-US"/>
              </w:rPr>
            </m:ctrlPr>
          </m:sSubSupPr>
          <m:e>
            <m:r>
              <m:rPr/>
              <w:rPr>
                <w:rFonts w:ascii="Cambria Math" w:hAnsi="Cambria Math"/>
                <w:highlight w:val="none"/>
                <w:lang w:val="en-US"/>
              </w:rPr>
              <m:t>N</m:t>
            </m:r>
            <m:ctrlPr>
              <w:rPr>
                <w:rFonts w:ascii="Cambria Math" w:hAnsi="Cambria Math"/>
                <w:i/>
                <w:highlight w:val="none"/>
                <w:lang w:val="en-US"/>
              </w:rPr>
            </m:ctrlPr>
          </m:e>
          <m:sub>
            <m:r>
              <m:rPr>
                <m:sty m:val="p"/>
              </m:rPr>
              <w:rPr>
                <w:rFonts w:ascii="Cambria Math" w:hAnsi="Cambria Math"/>
                <w:highlight w:val="none"/>
                <w:lang w:val="en-US"/>
              </w:rPr>
              <m:t>PO</m:t>
            </m:r>
            <m:ctrlPr>
              <w:rPr>
                <w:rFonts w:ascii="Cambria Math" w:hAnsi="Cambria Math"/>
                <w:i/>
                <w:highlight w:val="none"/>
                <w:lang w:val="en-US"/>
              </w:rPr>
            </m:ctrlPr>
          </m:sub>
          <m:sup>
            <m:r>
              <m:rPr>
                <m:sty m:val="p"/>
              </m:rPr>
              <w:rPr>
                <w:rFonts w:ascii="Cambria Math" w:hAnsi="Cambria Math"/>
                <w:highlight w:val="none"/>
                <w:lang w:val="en-US"/>
              </w:rPr>
              <m:t>PEI</m:t>
            </m:r>
            <m:ctrlPr>
              <w:rPr>
                <w:rFonts w:ascii="Cambria Math" w:hAnsi="Cambria Math"/>
                <w:i/>
                <w:highlight w:val="none"/>
                <w:lang w:val="en-US"/>
              </w:rPr>
            </m:ctrlPr>
          </m:sup>
        </m:sSubSup>
      </m:oMath>
      <w:r>
        <w:rPr>
          <w:highlight w:val="none"/>
          <w:lang w:val="en-US"/>
        </w:rPr>
        <w:t xml:space="preserve"> segments of </w:t>
      </w:r>
      <m:oMath>
        <m:r>
          <m:rPr/>
          <w:rPr>
            <w:rFonts w:ascii="Cambria Math" w:hAnsi="Cambria Math"/>
            <w:highlight w:val="none"/>
          </w:rPr>
          <m:t>K</m:t>
        </m:r>
      </m:oMath>
      <w:r>
        <w:rPr>
          <w:highlight w:val="none"/>
          <w:lang w:val="en-US"/>
        </w:rPr>
        <w:t xml:space="preserve"> bits, where </w:t>
      </w:r>
      <m:oMath>
        <m:sSubSup>
          <m:sSubSupPr>
            <m:ctrlPr>
              <w:rPr>
                <w:rFonts w:ascii="Cambria Math" w:hAnsi="Cambria Math"/>
                <w:i/>
                <w:highlight w:val="none"/>
                <w:lang w:val="en-US"/>
              </w:rPr>
            </m:ctrlPr>
          </m:sSubSupPr>
          <m:e>
            <m:r>
              <m:rPr/>
              <w:rPr>
                <w:rFonts w:ascii="Cambria Math" w:hAnsi="Cambria Math"/>
                <w:highlight w:val="none"/>
              </w:rPr>
              <m:t>K=</m:t>
            </m:r>
            <m:r>
              <m:rPr/>
              <w:rPr>
                <w:rFonts w:ascii="Cambria Math" w:hAnsi="Cambria Math"/>
                <w:highlight w:val="none"/>
                <w:lang w:val="en-US"/>
              </w:rPr>
              <m:t>N</m:t>
            </m:r>
            <m:ctrlPr>
              <w:rPr>
                <w:rFonts w:ascii="Cambria Math" w:hAnsi="Cambria Math"/>
                <w:i/>
                <w:highlight w:val="none"/>
                <w:lang w:val="en-US"/>
              </w:rPr>
            </m:ctrlPr>
          </m:e>
          <m:sub>
            <m:r>
              <m:rPr>
                <m:sty m:val="p"/>
              </m:rPr>
              <w:rPr>
                <w:rFonts w:ascii="Cambria Math" w:hAnsi="Cambria Math"/>
                <w:highlight w:val="none"/>
                <w:lang w:val="en-US"/>
              </w:rPr>
              <m:t>SG</m:t>
            </m:r>
            <m:ctrlPr>
              <w:rPr>
                <w:rFonts w:ascii="Cambria Math" w:hAnsi="Cambria Math"/>
                <w:i/>
                <w:highlight w:val="none"/>
                <w:lang w:val="en-US"/>
              </w:rPr>
            </m:ctrlPr>
          </m:sub>
          <m:sup>
            <m:r>
              <m:rPr>
                <m:sty m:val="p"/>
              </m:rPr>
              <w:rPr>
                <w:rFonts w:ascii="Cambria Math" w:hAnsi="Cambria Math"/>
                <w:highlight w:val="none"/>
                <w:lang w:val="en-US"/>
              </w:rPr>
              <m:t>PO</m:t>
            </m:r>
            <m:ctrlPr>
              <w:rPr>
                <w:rFonts w:ascii="Cambria Math" w:hAnsi="Cambria Math"/>
                <w:i/>
                <w:highlight w:val="none"/>
                <w:lang w:val="en-US"/>
              </w:rPr>
            </m:ctrlPr>
          </m:sup>
        </m:sSubSup>
      </m:oMath>
      <w:r>
        <w:rPr>
          <w:highlight w:val="none"/>
          <w:lang w:val="en-US"/>
        </w:rPr>
        <w:t xml:space="preserve">. For a subgroup index </w:t>
      </w:r>
      <m:oMath>
        <m:sSub>
          <m:sSubPr>
            <m:ctrlPr>
              <w:rPr>
                <w:rFonts w:ascii="Cambria Math" w:hAnsi="Cambria Math"/>
                <w:i/>
                <w:highlight w:val="none"/>
                <w:lang w:val="en-US"/>
              </w:rPr>
            </m:ctrlPr>
          </m:sSubPr>
          <m:e>
            <m:r>
              <m:rPr/>
              <w:rPr>
                <w:rFonts w:ascii="Cambria Math" w:hAnsi="Cambria Math"/>
                <w:highlight w:val="none"/>
                <w:lang w:val="en-US"/>
              </w:rPr>
              <m:t>i</m:t>
            </m:r>
            <m:ctrlPr>
              <w:rPr>
                <w:rFonts w:ascii="Cambria Math" w:hAnsi="Cambria Math"/>
                <w:i/>
                <w:highlight w:val="none"/>
                <w:lang w:val="en-US"/>
              </w:rPr>
            </m:ctrlPr>
          </m:e>
          <m:sub>
            <m:r>
              <m:rPr/>
              <w:rPr>
                <w:rFonts w:ascii="Cambria Math" w:hAnsi="Cambria Math"/>
                <w:highlight w:val="none"/>
                <w:lang w:val="en-US"/>
              </w:rPr>
              <m:t>SG</m:t>
            </m:r>
            <m:ctrlPr>
              <w:rPr>
                <w:rFonts w:ascii="Cambria Math" w:hAnsi="Cambria Math"/>
                <w:i/>
                <w:highlight w:val="none"/>
                <w:lang w:val="en-US"/>
              </w:rPr>
            </m:ctrlPr>
          </m:sub>
        </m:sSub>
      </m:oMath>
      <w:r>
        <w:rPr>
          <w:highlight w:val="none"/>
          <w:lang w:val="en-US"/>
        </w:rPr>
        <w:t xml:space="preserve">, </w:t>
      </w:r>
      <m:oMath>
        <m:r>
          <m:rPr/>
          <w:rPr>
            <w:rFonts w:ascii="Cambria Math" w:hAnsi="Cambria Math"/>
            <w:highlight w:val="none"/>
            <w:lang w:val="en-US"/>
          </w:rPr>
          <m:t>0≤</m:t>
        </m:r>
        <m:sSub>
          <m:sSubPr>
            <m:ctrlPr>
              <w:rPr>
                <w:rFonts w:ascii="Cambria Math" w:hAnsi="Cambria Math"/>
                <w:i/>
                <w:highlight w:val="none"/>
                <w:lang w:val="en-US"/>
              </w:rPr>
            </m:ctrlPr>
          </m:sSubPr>
          <m:e>
            <m:r>
              <m:rPr/>
              <w:rPr>
                <w:rFonts w:ascii="Cambria Math" w:hAnsi="Cambria Math"/>
                <w:highlight w:val="none"/>
                <w:lang w:val="en-US"/>
              </w:rPr>
              <m:t>i</m:t>
            </m:r>
            <m:ctrlPr>
              <w:rPr>
                <w:rFonts w:ascii="Cambria Math" w:hAnsi="Cambria Math"/>
                <w:i/>
                <w:highlight w:val="none"/>
                <w:lang w:val="en-US"/>
              </w:rPr>
            </m:ctrlPr>
          </m:e>
          <m:sub>
            <m:r>
              <m:rPr/>
              <w:rPr>
                <w:rFonts w:ascii="Cambria Math" w:hAnsi="Cambria Math"/>
                <w:highlight w:val="none"/>
                <w:lang w:val="en-US"/>
              </w:rPr>
              <m:t>SG</m:t>
            </m:r>
            <m:ctrlPr>
              <w:rPr>
                <w:rFonts w:ascii="Cambria Math" w:hAnsi="Cambria Math"/>
                <w:i/>
                <w:highlight w:val="none"/>
                <w:lang w:val="en-US"/>
              </w:rPr>
            </m:ctrlPr>
          </m:sub>
        </m:sSub>
        <m:r>
          <m:rPr/>
          <w:rPr>
            <w:rFonts w:ascii="Cambria Math" w:hAnsi="Cambria Math"/>
            <w:highlight w:val="none"/>
            <w:lang w:val="en-US"/>
          </w:rPr>
          <m:t>&lt;K</m:t>
        </m:r>
      </m:oMath>
      <w:r>
        <w:rPr>
          <w:highlight w:val="none"/>
          <w:lang w:val="en-US"/>
        </w:rPr>
        <w:t xml:space="preserve">, a UE determines a value for the </w:t>
      </w:r>
      <m:oMath>
        <m:d>
          <m:dPr>
            <m:ctrlPr>
              <w:rPr>
                <w:rFonts w:ascii="Cambria Math" w:hAnsi="Cambria Math"/>
                <w:i/>
                <w:highlight w:val="none"/>
                <w:lang w:val="en-US"/>
              </w:rPr>
            </m:ctrlPr>
          </m:dPr>
          <m:e>
            <m:sSub>
              <m:sSubPr>
                <m:ctrlPr>
                  <w:rPr>
                    <w:rFonts w:ascii="Cambria Math" w:hAnsi="Cambria Math"/>
                    <w:i/>
                    <w:highlight w:val="none"/>
                    <w:lang w:val="en-US"/>
                  </w:rPr>
                </m:ctrlPr>
              </m:sSubPr>
              <m:e>
                <m:r>
                  <m:rPr/>
                  <w:rPr>
                    <w:rFonts w:ascii="Cambria Math" w:hAnsi="Cambria Math"/>
                    <w:highlight w:val="none"/>
                    <w:lang w:val="en-US"/>
                  </w:rPr>
                  <m:t>i</m:t>
                </m:r>
                <m:ctrlPr>
                  <w:rPr>
                    <w:rFonts w:ascii="Cambria Math" w:hAnsi="Cambria Math"/>
                    <w:i/>
                    <w:highlight w:val="none"/>
                    <w:lang w:val="en-US"/>
                  </w:rPr>
                </m:ctrlPr>
              </m:e>
              <m:sub>
                <m:r>
                  <m:rPr/>
                  <w:rPr>
                    <w:rFonts w:ascii="Cambria Math" w:hAnsi="Cambria Math"/>
                    <w:highlight w:val="none"/>
                    <w:lang w:val="en-US"/>
                  </w:rPr>
                  <m:t>PO</m:t>
                </m:r>
                <m:ctrlPr>
                  <w:rPr>
                    <w:rFonts w:ascii="Cambria Math" w:hAnsi="Cambria Math"/>
                    <w:i/>
                    <w:highlight w:val="none"/>
                    <w:lang w:val="en-US"/>
                  </w:rPr>
                </m:ctrlPr>
              </m:sub>
            </m:sSub>
            <m:r>
              <m:rPr/>
              <w:rPr>
                <w:rFonts w:ascii="Cambria Math" w:hAnsi="Cambria Math"/>
                <w:highlight w:val="none"/>
                <w:lang w:val="en-AU"/>
              </w:rPr>
              <m:t>⋅K</m:t>
            </m:r>
            <m:r>
              <m:rPr/>
              <w:rPr>
                <w:rFonts w:ascii="Cambria Math" w:hAnsi="Cambria Math"/>
                <w:highlight w:val="none"/>
                <w:lang w:val="en-US"/>
              </w:rPr>
              <m:t>+</m:t>
            </m:r>
            <m:sSub>
              <m:sSubPr>
                <m:ctrlPr>
                  <w:rPr>
                    <w:rFonts w:ascii="Cambria Math" w:hAnsi="Cambria Math"/>
                    <w:i/>
                    <w:highlight w:val="none"/>
                    <w:lang w:val="en-US"/>
                  </w:rPr>
                </m:ctrlPr>
              </m:sSubPr>
              <m:e>
                <m:r>
                  <m:rPr/>
                  <w:rPr>
                    <w:rFonts w:ascii="Cambria Math" w:hAnsi="Cambria Math"/>
                    <w:highlight w:val="none"/>
                    <w:lang w:val="en-US"/>
                  </w:rPr>
                  <m:t>i</m:t>
                </m:r>
                <m:ctrlPr>
                  <w:rPr>
                    <w:rFonts w:ascii="Cambria Math" w:hAnsi="Cambria Math"/>
                    <w:i/>
                    <w:highlight w:val="none"/>
                    <w:lang w:val="en-US"/>
                  </w:rPr>
                </m:ctrlPr>
              </m:e>
              <m:sub>
                <m:r>
                  <m:rPr/>
                  <w:rPr>
                    <w:rFonts w:ascii="Cambria Math" w:hAnsi="Cambria Math"/>
                    <w:highlight w:val="none"/>
                    <w:lang w:val="en-US"/>
                  </w:rPr>
                  <m:t>SG</m:t>
                </m:r>
                <m:ctrlPr>
                  <w:rPr>
                    <w:rFonts w:ascii="Cambria Math" w:hAnsi="Cambria Math"/>
                    <w:i/>
                    <w:highlight w:val="none"/>
                    <w:lang w:val="en-US"/>
                  </w:rPr>
                </m:ctrlPr>
              </m:sub>
            </m:sSub>
            <m:ctrlPr>
              <w:rPr>
                <w:rFonts w:ascii="Cambria Math" w:hAnsi="Cambria Math"/>
                <w:i/>
                <w:highlight w:val="none"/>
                <w:lang w:val="en-US"/>
              </w:rPr>
            </m:ctrlPr>
          </m:e>
        </m:d>
      </m:oMath>
      <w:r>
        <w:rPr>
          <w:highlight w:val="none"/>
          <w:lang w:val="en-US"/>
        </w:rPr>
        <w:t xml:space="preserve"> bit in the paging indication field, where </w:t>
      </w:r>
      <m:oMath>
        <m:sSub>
          <m:sSubPr>
            <m:ctrlPr>
              <w:rPr>
                <w:rFonts w:ascii="Cambria Math" w:hAnsi="Cambria Math"/>
                <w:i/>
                <w:highlight w:val="none"/>
                <w:lang w:val="en-US"/>
              </w:rPr>
            </m:ctrlPr>
          </m:sSubPr>
          <m:e>
            <m:r>
              <m:rPr/>
              <w:rPr>
                <w:rFonts w:ascii="Cambria Math" w:hAnsi="Cambria Math"/>
                <w:highlight w:val="none"/>
                <w:lang w:val="en-US"/>
              </w:rPr>
              <m:t>i</m:t>
            </m:r>
            <m:ctrlPr>
              <w:rPr>
                <w:rFonts w:ascii="Cambria Math" w:hAnsi="Cambria Math"/>
                <w:i/>
                <w:highlight w:val="none"/>
                <w:lang w:val="en-US"/>
              </w:rPr>
            </m:ctrlPr>
          </m:e>
          <m:sub>
            <m:r>
              <m:rPr/>
              <w:rPr>
                <w:rFonts w:ascii="Cambria Math" w:hAnsi="Cambria Math"/>
                <w:highlight w:val="none"/>
                <w:lang w:val="en-US"/>
              </w:rPr>
              <m:t>PO</m:t>
            </m:r>
            <m:ctrlPr>
              <w:rPr>
                <w:rFonts w:ascii="Cambria Math" w:hAnsi="Cambria Math"/>
                <w:i/>
                <w:highlight w:val="none"/>
                <w:lang w:val="en-US"/>
              </w:rPr>
            </m:ctrlPr>
          </m:sub>
        </m:sSub>
        <m:r>
          <m:rPr/>
          <w:rPr>
            <w:rFonts w:ascii="Cambria Math" w:hAnsi="Cambria Math"/>
            <w:highlight w:val="none"/>
            <w:lang w:val="en-US"/>
          </w:rPr>
          <m:t>=</m:t>
        </m:r>
        <m:d>
          <m:dPr>
            <m:ctrlPr>
              <w:rPr>
                <w:rFonts w:ascii="Cambria Math" w:hAnsi="Cambria Math"/>
                <w:i/>
                <w:highlight w:val="none"/>
                <w:lang w:val="en-US"/>
              </w:rPr>
            </m:ctrlPr>
          </m:dPr>
          <m:e>
            <m:d>
              <m:dPr>
                <m:ctrlPr>
                  <w:rPr>
                    <w:rFonts w:ascii="Cambria Math" w:hAnsi="Cambria Math"/>
                    <w:i/>
                    <w:highlight w:val="none"/>
                    <w:lang w:val="en-US"/>
                  </w:rPr>
                </m:ctrlPr>
              </m:dPr>
              <m:e>
                <m:r>
                  <m:rPr>
                    <m:sty m:val="p"/>
                  </m:rPr>
                  <w:rPr>
                    <w:rFonts w:ascii="Cambria Math" w:hAnsi="Cambria Math"/>
                    <w:highlight w:val="none"/>
                    <w:lang w:val="en-US"/>
                  </w:rPr>
                  <m:t>UE_IDmod</m:t>
                </m:r>
                <m:r>
                  <m:rPr/>
                  <w:rPr>
                    <w:rFonts w:ascii="Cambria Math" w:hAnsi="Cambria Math"/>
                    <w:highlight w:val="none"/>
                    <w:lang w:val="en-US"/>
                  </w:rPr>
                  <m:t>N</m:t>
                </m:r>
                <m:ctrlPr>
                  <w:rPr>
                    <w:rFonts w:ascii="Cambria Math" w:hAnsi="Cambria Math"/>
                    <w:i/>
                    <w:highlight w:val="none"/>
                    <w:lang w:val="en-US"/>
                  </w:rPr>
                </m:ctrlPr>
              </m:e>
            </m:d>
            <m:r>
              <m:rPr/>
              <w:rPr>
                <w:rFonts w:ascii="Cambria Math" w:hAnsi="Cambria Math"/>
                <w:highlight w:val="none"/>
                <w:lang w:val="en-AU"/>
              </w:rPr>
              <m:t>⋅</m:t>
            </m:r>
            <m:sSub>
              <m:sSubPr>
                <m:ctrlPr>
                  <w:rPr>
                    <w:rFonts w:ascii="Cambria Math" w:hAnsi="Cambria Math"/>
                    <w:i/>
                    <w:highlight w:val="none"/>
                    <w:lang w:val="en-US"/>
                  </w:rPr>
                </m:ctrlPr>
              </m:sSubPr>
              <m:e>
                <m:r>
                  <m:rPr/>
                  <w:rPr>
                    <w:rFonts w:ascii="Cambria Math" w:hAnsi="Cambria Math"/>
                    <w:highlight w:val="none"/>
                    <w:lang w:val="en-US"/>
                  </w:rPr>
                  <m:t>N</m:t>
                </m:r>
                <m:ctrlPr>
                  <w:rPr>
                    <w:rFonts w:ascii="Cambria Math" w:hAnsi="Cambria Math"/>
                    <w:i/>
                    <w:highlight w:val="none"/>
                    <w:lang w:val="en-US"/>
                  </w:rPr>
                </m:ctrlPr>
              </m:e>
              <m:sub>
                <m:r>
                  <m:rPr/>
                  <w:rPr>
                    <w:rFonts w:ascii="Cambria Math" w:hAnsi="Cambria Math"/>
                    <w:highlight w:val="none"/>
                    <w:lang w:val="en-US"/>
                  </w:rPr>
                  <m:t>S</m:t>
                </m:r>
                <m:ctrlPr>
                  <w:rPr>
                    <w:rFonts w:ascii="Cambria Math" w:hAnsi="Cambria Math"/>
                    <w:i/>
                    <w:highlight w:val="none"/>
                    <w:lang w:val="en-US"/>
                  </w:rPr>
                </m:ctrlPr>
              </m:sub>
            </m:sSub>
            <m:r>
              <m:rPr/>
              <w:rPr>
                <w:rFonts w:ascii="Cambria Math" w:hAnsi="Cambria Math"/>
                <w:highlight w:val="none"/>
                <w:lang w:val="en-US"/>
              </w:rPr>
              <m:t>+i_s</m:t>
            </m:r>
            <m:ctrlPr>
              <w:rPr>
                <w:rFonts w:ascii="Cambria Math" w:hAnsi="Cambria Math"/>
                <w:i/>
                <w:highlight w:val="none"/>
                <w:lang w:val="en-US"/>
              </w:rPr>
            </m:ctrlPr>
          </m:e>
        </m:d>
        <m:r>
          <m:rPr/>
          <w:rPr>
            <w:rFonts w:ascii="Cambria Math" w:hAnsi="Cambria Math"/>
            <w:highlight w:val="none"/>
            <w:lang w:val="en-US"/>
          </w:rPr>
          <m:t>mod</m:t>
        </m:r>
        <m:sSubSup>
          <m:sSubSupPr>
            <m:ctrlPr>
              <w:rPr>
                <w:rFonts w:ascii="Cambria Math" w:hAnsi="Cambria Math"/>
                <w:i/>
                <w:highlight w:val="none"/>
                <w:lang w:val="en-US"/>
              </w:rPr>
            </m:ctrlPr>
          </m:sSubSupPr>
          <m:e>
            <m:r>
              <m:rPr/>
              <w:rPr>
                <w:rFonts w:ascii="Cambria Math" w:hAnsi="Cambria Math"/>
                <w:highlight w:val="none"/>
                <w:lang w:val="en-US"/>
              </w:rPr>
              <m:t>N</m:t>
            </m:r>
            <m:ctrlPr>
              <w:rPr>
                <w:rFonts w:ascii="Cambria Math" w:hAnsi="Cambria Math"/>
                <w:i/>
                <w:highlight w:val="none"/>
                <w:lang w:val="en-US"/>
              </w:rPr>
            </m:ctrlPr>
          </m:e>
          <m:sub>
            <m:r>
              <m:rPr>
                <m:sty m:val="p"/>
              </m:rPr>
              <w:rPr>
                <w:rFonts w:ascii="Cambria Math" w:hAnsi="Cambria Math"/>
                <w:highlight w:val="none"/>
                <w:lang w:val="en-US"/>
              </w:rPr>
              <m:t>PO</m:t>
            </m:r>
            <m:ctrlPr>
              <w:rPr>
                <w:rFonts w:ascii="Cambria Math" w:hAnsi="Cambria Math"/>
                <w:i/>
                <w:highlight w:val="none"/>
                <w:lang w:val="en-US"/>
              </w:rPr>
            </m:ctrlPr>
          </m:sub>
          <m:sup>
            <m:r>
              <m:rPr>
                <m:sty m:val="p"/>
              </m:rPr>
              <w:rPr>
                <w:rFonts w:ascii="Cambria Math" w:hAnsi="Cambria Math"/>
                <w:highlight w:val="none"/>
                <w:lang w:val="en-US"/>
              </w:rPr>
              <m:t>PEI</m:t>
            </m:r>
            <m:ctrlPr>
              <w:rPr>
                <w:rFonts w:ascii="Cambria Math" w:hAnsi="Cambria Math"/>
                <w:i/>
                <w:highlight w:val="none"/>
                <w:lang w:val="en-US"/>
              </w:rPr>
            </m:ctrlPr>
          </m:sup>
        </m:sSubSup>
      </m:oMath>
      <w:r>
        <w:rPr>
          <w:highlight w:val="none"/>
          <w:lang w:val="en-US"/>
        </w:rPr>
        <w:t xml:space="preserve"> is a paging occasion index, and </w:t>
      </w:r>
      <m:oMath>
        <m:r>
          <m:rPr>
            <m:sty m:val="p"/>
          </m:rPr>
          <w:rPr>
            <w:rFonts w:ascii="Cambria Math" w:hAnsi="Cambria Math"/>
            <w:highlight w:val="none"/>
            <w:lang w:val="en-US"/>
          </w:rPr>
          <m:t>UE_ID</m:t>
        </m:r>
      </m:oMath>
      <w:r>
        <w:rPr>
          <w:highlight w:val="none"/>
          <w:lang w:val="en-US"/>
        </w:rPr>
        <w:t xml:space="preserve">, </w:t>
      </w:r>
      <m:oMath>
        <m:r>
          <m:rPr/>
          <w:rPr>
            <w:rFonts w:ascii="Cambria Math" w:hAnsi="Cambria Math"/>
            <w:highlight w:val="none"/>
            <w:lang w:val="en-US"/>
          </w:rPr>
          <m:t>N</m:t>
        </m:r>
      </m:oMath>
      <w:r>
        <w:rPr>
          <w:highlight w:val="none"/>
          <w:lang w:val="en-US"/>
        </w:rPr>
        <w:t xml:space="preserve">, </w:t>
      </w:r>
      <m:oMath>
        <m:sSub>
          <m:sSubPr>
            <m:ctrlPr>
              <w:rPr>
                <w:rFonts w:ascii="Cambria Math" w:hAnsi="Cambria Math"/>
                <w:i/>
                <w:highlight w:val="none"/>
                <w:lang w:val="en-US"/>
              </w:rPr>
            </m:ctrlPr>
          </m:sSubPr>
          <m:e>
            <m:r>
              <m:rPr/>
              <w:rPr>
                <w:rFonts w:ascii="Cambria Math" w:hAnsi="Cambria Math"/>
                <w:highlight w:val="none"/>
                <w:lang w:val="en-US"/>
              </w:rPr>
              <m:t>N</m:t>
            </m:r>
            <m:ctrlPr>
              <w:rPr>
                <w:rFonts w:ascii="Cambria Math" w:hAnsi="Cambria Math"/>
                <w:i/>
                <w:highlight w:val="none"/>
                <w:lang w:val="en-US"/>
              </w:rPr>
            </m:ctrlPr>
          </m:e>
          <m:sub>
            <m:r>
              <m:rPr/>
              <w:rPr>
                <w:rFonts w:ascii="Cambria Math" w:hAnsi="Cambria Math"/>
                <w:highlight w:val="none"/>
                <w:lang w:val="en-US"/>
              </w:rPr>
              <m:t>S</m:t>
            </m:r>
            <m:ctrlPr>
              <w:rPr>
                <w:rFonts w:ascii="Cambria Math" w:hAnsi="Cambria Math"/>
                <w:i/>
                <w:highlight w:val="none"/>
                <w:lang w:val="en-US"/>
              </w:rPr>
            </m:ctrlPr>
          </m:sub>
        </m:sSub>
      </m:oMath>
      <w:r>
        <w:rPr>
          <w:highlight w:val="none"/>
          <w:lang w:val="en-US"/>
        </w:rPr>
        <w:t xml:space="preserve">, </w:t>
      </w:r>
      <m:oMath>
        <m:sSub>
          <m:sSubPr>
            <m:ctrlPr>
              <w:rPr>
                <w:rFonts w:ascii="Cambria Math" w:hAnsi="Cambria Math"/>
                <w:i/>
                <w:strike/>
                <w:dstrike w:val="0"/>
                <w:color w:val="FF0000"/>
                <w:highlight w:val="none"/>
                <w:lang w:val="en-US"/>
              </w:rPr>
            </m:ctrlPr>
          </m:sSubPr>
          <m:e>
            <m:r>
              <m:rPr/>
              <w:rPr>
                <w:rFonts w:ascii="Cambria Math" w:hAnsi="Cambria Math"/>
                <w:strike/>
                <w:dstrike w:val="0"/>
                <w:color w:val="FF0000"/>
                <w:highlight w:val="none"/>
                <w:lang w:val="en-US"/>
              </w:rPr>
              <m:t>i</m:t>
            </m:r>
            <m:ctrlPr>
              <w:rPr>
                <w:rFonts w:ascii="Cambria Math" w:hAnsi="Cambria Math"/>
                <w:i/>
                <w:strike/>
                <w:dstrike w:val="0"/>
                <w:color w:val="FF0000"/>
                <w:highlight w:val="none"/>
                <w:lang w:val="en-US"/>
              </w:rPr>
            </m:ctrlPr>
          </m:e>
          <m:sub>
            <m:r>
              <m:rPr/>
              <w:rPr>
                <w:rFonts w:ascii="Cambria Math" w:hAnsi="Cambria Math"/>
                <w:strike/>
                <w:dstrike w:val="0"/>
                <w:color w:val="FF0000"/>
                <w:highlight w:val="none"/>
                <w:lang w:val="en-US"/>
              </w:rPr>
              <m:t>SG</m:t>
            </m:r>
            <m:ctrlPr>
              <w:rPr>
                <w:rFonts w:ascii="Cambria Math" w:hAnsi="Cambria Math"/>
                <w:i/>
                <w:strike/>
                <w:dstrike w:val="0"/>
                <w:color w:val="FF0000"/>
                <w:highlight w:val="none"/>
                <w:lang w:val="en-US"/>
              </w:rPr>
            </m:ctrlPr>
          </m:sub>
        </m:sSub>
      </m:oMath>
      <w:r>
        <w:rPr>
          <w:strike/>
          <w:dstrike w:val="0"/>
          <w:color w:val="FF0000"/>
          <w:highlight w:val="none"/>
          <w:lang w:val="en-US"/>
        </w:rPr>
        <w:t xml:space="preserve">, </w:t>
      </w:r>
      <w:r>
        <w:rPr>
          <w:highlight w:val="none"/>
          <w:lang w:val="en-US"/>
        </w:rPr>
        <w:t xml:space="preserve">and </w:t>
      </w:r>
      <m:oMath>
        <m:r>
          <m:rPr/>
          <w:rPr>
            <w:rFonts w:ascii="Cambria Math" w:hAnsi="Cambria Math"/>
            <w:highlight w:val="none"/>
            <w:lang w:val="en-US"/>
          </w:rPr>
          <m:t>i_s</m:t>
        </m:r>
      </m:oMath>
      <w:r>
        <w:rPr>
          <w:highlight w:val="none"/>
          <w:lang w:val="en-US"/>
        </w:rPr>
        <w:t xml:space="preserve"> are defined in</w:t>
      </w:r>
      <w:r>
        <w:rPr>
          <w:rFonts w:hint="eastAsia"/>
          <w:highlight w:val="none"/>
          <w:lang w:val="en-US" w:eastAsia="zh-CN"/>
        </w:rPr>
        <w:t xml:space="preserve"> </w:t>
      </w:r>
      <w:r>
        <w:rPr>
          <w:rFonts w:hint="eastAsia"/>
          <w:color w:val="FF0000"/>
          <w:highlight w:val="none"/>
          <w:u w:val="single"/>
          <w:lang w:val="en-US" w:eastAsia="zh-CN"/>
        </w:rPr>
        <w:t>clause 7.1 of</w:t>
      </w:r>
      <w:r>
        <w:rPr>
          <w:color w:val="FF0000"/>
          <w:highlight w:val="none"/>
          <w:u w:val="single"/>
          <w:lang w:val="en-US"/>
        </w:rPr>
        <w:t xml:space="preserve"> </w:t>
      </w:r>
      <w:r>
        <w:rPr>
          <w:highlight w:val="none"/>
          <w:lang w:val="en-US"/>
        </w:rPr>
        <w:t xml:space="preserve"> [17, TS 38.304]</w:t>
      </w:r>
      <w:r>
        <w:rPr>
          <w:rFonts w:hint="eastAsia"/>
          <w:color w:val="FF0000"/>
          <w:highlight w:val="none"/>
          <w:u w:val="single"/>
          <w:lang w:val="en-US" w:eastAsia="zh-CN"/>
        </w:rPr>
        <w:t xml:space="preserve">, </w:t>
      </w:r>
      <m:oMath>
        <m:sSub>
          <m:sSubPr>
            <m:ctrlPr>
              <w:rPr>
                <w:rFonts w:ascii="Cambria Math" w:hAnsi="Cambria Math"/>
                <w:i/>
                <w:color w:val="FF0000"/>
                <w:highlight w:val="none"/>
                <w:u w:val="single"/>
                <w:lang w:val="en-US"/>
              </w:rPr>
            </m:ctrlPr>
          </m:sSubPr>
          <m:e>
            <m:r>
              <m:rPr/>
              <w:rPr>
                <w:rFonts w:ascii="Cambria Math" w:hAnsi="Cambria Math"/>
                <w:color w:val="FF0000"/>
                <w:highlight w:val="none"/>
                <w:u w:val="single"/>
                <w:lang w:val="en-US"/>
              </w:rPr>
              <m:t>i</m:t>
            </m:r>
            <m:ctrlPr>
              <w:rPr>
                <w:rFonts w:ascii="Cambria Math" w:hAnsi="Cambria Math"/>
                <w:i/>
                <w:color w:val="FF0000"/>
                <w:highlight w:val="none"/>
                <w:u w:val="single"/>
                <w:lang w:val="en-US"/>
              </w:rPr>
            </m:ctrlPr>
          </m:e>
          <m:sub>
            <m:r>
              <m:rPr/>
              <w:rPr>
                <w:rFonts w:ascii="Cambria Math" w:hAnsi="Cambria Math"/>
                <w:color w:val="FF0000"/>
                <w:highlight w:val="none"/>
                <w:u w:val="single"/>
                <w:lang w:val="en-US"/>
              </w:rPr>
              <m:t>SG</m:t>
            </m:r>
            <m:ctrlPr>
              <w:rPr>
                <w:rFonts w:ascii="Cambria Math" w:hAnsi="Cambria Math"/>
                <w:i/>
                <w:color w:val="FF0000"/>
                <w:highlight w:val="none"/>
                <w:u w:val="single"/>
                <w:lang w:val="en-US"/>
              </w:rPr>
            </m:ctrlPr>
          </m:sub>
        </m:sSub>
      </m:oMath>
      <w:r>
        <w:rPr>
          <w:color w:val="FF0000"/>
          <w:highlight w:val="none"/>
          <w:u w:val="single"/>
          <w:lang w:val="en-US"/>
        </w:rPr>
        <w:t xml:space="preserve"> </w:t>
      </w:r>
      <w:r>
        <w:rPr>
          <w:rFonts w:hint="eastAsia"/>
          <w:color w:val="FF0000"/>
          <w:highlight w:val="none"/>
          <w:u w:val="single"/>
          <w:lang w:val="en-US" w:eastAsia="zh-CN"/>
        </w:rPr>
        <w:t xml:space="preserve">is the subgroup ID </w:t>
      </w:r>
      <w:r>
        <w:rPr>
          <w:color w:val="FF0000"/>
          <w:highlight w:val="none"/>
          <w:u w:val="single"/>
          <w:lang w:val="en-US"/>
        </w:rPr>
        <w:t>defined in</w:t>
      </w:r>
      <w:r>
        <w:rPr>
          <w:rFonts w:hint="eastAsia"/>
          <w:color w:val="FF0000"/>
          <w:highlight w:val="none"/>
          <w:u w:val="single"/>
          <w:lang w:val="en-US" w:eastAsia="zh-CN"/>
        </w:rPr>
        <w:t xml:space="preserve"> clause 7.3 of</w:t>
      </w:r>
      <w:r>
        <w:rPr>
          <w:color w:val="FF0000"/>
          <w:highlight w:val="none"/>
          <w:u w:val="single"/>
          <w:lang w:val="en-US"/>
        </w:rPr>
        <w:t xml:space="preserve">  [17, TS 38.304]</w:t>
      </w:r>
      <w:r>
        <w:rPr>
          <w:highlight w:val="none"/>
          <w:lang w:val="en-US"/>
        </w:rPr>
        <w:t>. When the value is '1', the UE monitors a paging occasion determined according to</w:t>
      </w:r>
      <w:r>
        <w:rPr>
          <w:rFonts w:hint="eastAsia"/>
          <w:highlight w:val="none"/>
          <w:lang w:val="en-US" w:eastAsia="zh-CN"/>
        </w:rPr>
        <w:t xml:space="preserve"> </w:t>
      </w:r>
      <w:r>
        <w:rPr>
          <w:highlight w:val="none"/>
          <w:lang w:val="en-US"/>
        </w:rPr>
        <w:t>[17, TS 38.304]; otherwise, the UE is not required to monitor the paging occasion.</w:t>
      </w:r>
    </w:p>
    <w:p>
      <w:pPr>
        <w:jc w:val="center"/>
        <w:rPr>
          <w:b/>
          <w:bCs/>
          <w:color w:val="FF0000"/>
          <w:lang w:eastAsia="zh-CN"/>
        </w:rPr>
      </w:pPr>
      <w:r>
        <w:rPr>
          <w:b/>
          <w:bCs/>
          <w:color w:val="FF0000"/>
          <w:lang w:eastAsia="zh-CN"/>
        </w:rPr>
        <w:t>&lt;Unchanged parts are omitted&gt;</w:t>
      </w:r>
    </w:p>
    <w:p>
      <w:pPr>
        <w:jc w:val="center"/>
        <w:rPr>
          <w:b/>
          <w:bCs/>
          <w:color w:val="FF0000"/>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2510"/>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3F2874"/>
    <w:rsid w:val="0040631E"/>
    <w:rsid w:val="00406EB1"/>
    <w:rsid w:val="00410371"/>
    <w:rsid w:val="004242F1"/>
    <w:rsid w:val="00444A7C"/>
    <w:rsid w:val="00454C19"/>
    <w:rsid w:val="00472666"/>
    <w:rsid w:val="004753C7"/>
    <w:rsid w:val="004816A3"/>
    <w:rsid w:val="004B75B7"/>
    <w:rsid w:val="004E3446"/>
    <w:rsid w:val="004E4C34"/>
    <w:rsid w:val="0051580D"/>
    <w:rsid w:val="005178F9"/>
    <w:rsid w:val="0053386D"/>
    <w:rsid w:val="00547111"/>
    <w:rsid w:val="00561D40"/>
    <w:rsid w:val="0057328F"/>
    <w:rsid w:val="00590765"/>
    <w:rsid w:val="00592D74"/>
    <w:rsid w:val="005B2058"/>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6F8F"/>
    <w:rsid w:val="00F94569"/>
    <w:rsid w:val="00F969D6"/>
    <w:rsid w:val="00FA0399"/>
    <w:rsid w:val="00FB40A7"/>
    <w:rsid w:val="00FB6386"/>
    <w:rsid w:val="00FB6404"/>
    <w:rsid w:val="00FB71F3"/>
    <w:rsid w:val="00FC58A7"/>
    <w:rsid w:val="00FD5DFA"/>
    <w:rsid w:val="00FE5716"/>
    <w:rsid w:val="00FE62E5"/>
    <w:rsid w:val="00FF7E75"/>
    <w:rsid w:val="01054384"/>
    <w:rsid w:val="01CB65F4"/>
    <w:rsid w:val="05B04705"/>
    <w:rsid w:val="05D67494"/>
    <w:rsid w:val="07207151"/>
    <w:rsid w:val="07293612"/>
    <w:rsid w:val="08762606"/>
    <w:rsid w:val="094F1CAD"/>
    <w:rsid w:val="097073E1"/>
    <w:rsid w:val="0A48213B"/>
    <w:rsid w:val="0BB20853"/>
    <w:rsid w:val="0BD6524A"/>
    <w:rsid w:val="0E341669"/>
    <w:rsid w:val="0E566CB9"/>
    <w:rsid w:val="1069483D"/>
    <w:rsid w:val="113C3521"/>
    <w:rsid w:val="126B7CE1"/>
    <w:rsid w:val="126D444F"/>
    <w:rsid w:val="130012E8"/>
    <w:rsid w:val="142A5F3C"/>
    <w:rsid w:val="14397321"/>
    <w:rsid w:val="16611850"/>
    <w:rsid w:val="18F851C4"/>
    <w:rsid w:val="1A167DEF"/>
    <w:rsid w:val="1A70544C"/>
    <w:rsid w:val="1B144C67"/>
    <w:rsid w:val="1B604AF7"/>
    <w:rsid w:val="1C2E7FC3"/>
    <w:rsid w:val="1D123339"/>
    <w:rsid w:val="1D890446"/>
    <w:rsid w:val="1E6E6C64"/>
    <w:rsid w:val="1F7237CF"/>
    <w:rsid w:val="20644FE3"/>
    <w:rsid w:val="220534F0"/>
    <w:rsid w:val="22652ABE"/>
    <w:rsid w:val="22CC58BD"/>
    <w:rsid w:val="246F62F1"/>
    <w:rsid w:val="24881B78"/>
    <w:rsid w:val="24E4101C"/>
    <w:rsid w:val="257D75E3"/>
    <w:rsid w:val="258E5C58"/>
    <w:rsid w:val="28645235"/>
    <w:rsid w:val="29365923"/>
    <w:rsid w:val="2B804CB1"/>
    <w:rsid w:val="2C3A0464"/>
    <w:rsid w:val="2CC92F8C"/>
    <w:rsid w:val="2E8D46CA"/>
    <w:rsid w:val="2F965B97"/>
    <w:rsid w:val="30632C49"/>
    <w:rsid w:val="31B621B6"/>
    <w:rsid w:val="3301157B"/>
    <w:rsid w:val="350243D8"/>
    <w:rsid w:val="35525683"/>
    <w:rsid w:val="36DE461F"/>
    <w:rsid w:val="38C77FBA"/>
    <w:rsid w:val="39AB5011"/>
    <w:rsid w:val="3A4A01E1"/>
    <w:rsid w:val="3BD06953"/>
    <w:rsid w:val="3BE65690"/>
    <w:rsid w:val="3C0E3D87"/>
    <w:rsid w:val="3D036F5E"/>
    <w:rsid w:val="3DF57D9D"/>
    <w:rsid w:val="3F3C23D8"/>
    <w:rsid w:val="3FEA6040"/>
    <w:rsid w:val="41623514"/>
    <w:rsid w:val="416F6DBA"/>
    <w:rsid w:val="423035AC"/>
    <w:rsid w:val="427863F3"/>
    <w:rsid w:val="43761879"/>
    <w:rsid w:val="43BB4E95"/>
    <w:rsid w:val="43CC623B"/>
    <w:rsid w:val="4758629D"/>
    <w:rsid w:val="48CC59EA"/>
    <w:rsid w:val="4A7B371E"/>
    <w:rsid w:val="4AC57B33"/>
    <w:rsid w:val="4BC94084"/>
    <w:rsid w:val="4C4B0712"/>
    <w:rsid w:val="4DC46DAE"/>
    <w:rsid w:val="4E85575D"/>
    <w:rsid w:val="50595D5F"/>
    <w:rsid w:val="50A22D9B"/>
    <w:rsid w:val="525748BB"/>
    <w:rsid w:val="551151C9"/>
    <w:rsid w:val="55126F17"/>
    <w:rsid w:val="55710624"/>
    <w:rsid w:val="562E248E"/>
    <w:rsid w:val="56510B26"/>
    <w:rsid w:val="56B65F1D"/>
    <w:rsid w:val="59437567"/>
    <w:rsid w:val="595A7D1B"/>
    <w:rsid w:val="5AF811DA"/>
    <w:rsid w:val="5B117B75"/>
    <w:rsid w:val="5BF379F5"/>
    <w:rsid w:val="5D3F50A3"/>
    <w:rsid w:val="5DAB564E"/>
    <w:rsid w:val="5F4B16F1"/>
    <w:rsid w:val="5F714826"/>
    <w:rsid w:val="5F953268"/>
    <w:rsid w:val="61701574"/>
    <w:rsid w:val="61B1503B"/>
    <w:rsid w:val="620704D1"/>
    <w:rsid w:val="621A6527"/>
    <w:rsid w:val="627C44F8"/>
    <w:rsid w:val="669C039E"/>
    <w:rsid w:val="67C779FD"/>
    <w:rsid w:val="686A005C"/>
    <w:rsid w:val="6AE70408"/>
    <w:rsid w:val="6E1A6EC0"/>
    <w:rsid w:val="6FE85BCE"/>
    <w:rsid w:val="73E6075D"/>
    <w:rsid w:val="74383DB9"/>
    <w:rsid w:val="74F20961"/>
    <w:rsid w:val="75015E6A"/>
    <w:rsid w:val="753643F9"/>
    <w:rsid w:val="761159B6"/>
    <w:rsid w:val="7759404A"/>
    <w:rsid w:val="77716B34"/>
    <w:rsid w:val="789D250C"/>
    <w:rsid w:val="790D4E30"/>
    <w:rsid w:val="7C240E46"/>
    <w:rsid w:val="7C72430D"/>
    <w:rsid w:val="7D397FE2"/>
    <w:rsid w:val="7DDF169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1"/>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字符"/>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lang w:val="zh-CN"/>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字符"/>
    <w:link w:val="31"/>
    <w:qFormat/>
    <w:uiPriority w:val="99"/>
    <w:rPr>
      <w:rFonts w:ascii="Times New Roman" w:hAnsi="Times New Roman"/>
      <w:lang w:val="en-GB" w:eastAsia="en-US"/>
    </w:rPr>
  </w:style>
  <w:style w:type="character" w:customStyle="1" w:styleId="127">
    <w:name w:val="批注主题 字符"/>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字符"/>
    <w:link w:val="6"/>
    <w:qFormat/>
    <w:uiPriority w:val="0"/>
    <w:rPr>
      <w:rFonts w:ascii="Arial" w:hAnsi="Arial"/>
      <w:sz w:val="22"/>
      <w:lang w:val="en-GB" w:eastAsia="en-US"/>
    </w:rPr>
  </w:style>
  <w:style w:type="character" w:customStyle="1" w:styleId="132">
    <w:name w:val="标题 4 字符"/>
    <w:link w:val="5"/>
    <w:qFormat/>
    <w:uiPriority w:val="0"/>
    <w:rPr>
      <w:rFonts w:ascii="Arial" w:hAnsi="Arial"/>
      <w:sz w:val="24"/>
      <w:lang w:val="en-GB" w:eastAsia="en-US"/>
    </w:rPr>
  </w:style>
  <w:style w:type="character" w:customStyle="1" w:styleId="133">
    <w:name w:val="标题 1 字符"/>
    <w:link w:val="2"/>
    <w:qFormat/>
    <w:uiPriority w:val="99"/>
    <w:rPr>
      <w:rFonts w:ascii="Arial" w:hAnsi="Arial"/>
      <w:sz w:val="36"/>
      <w:lang w:val="en-GB" w:eastAsia="en-US"/>
    </w:rPr>
  </w:style>
  <w:style w:type="character" w:customStyle="1" w:styleId="134">
    <w:name w:val="标题 2 字符"/>
    <w:link w:val="3"/>
    <w:qFormat/>
    <w:uiPriority w:val="0"/>
    <w:rPr>
      <w:rFonts w:ascii="Arial" w:hAnsi="Arial"/>
      <w:sz w:val="32"/>
      <w:lang w:val="en-GB" w:eastAsia="en-US"/>
    </w:rPr>
  </w:style>
  <w:style w:type="character" w:customStyle="1" w:styleId="135">
    <w:name w:val="标题 3 字符"/>
    <w:link w:val="4"/>
    <w:qFormat/>
    <w:uiPriority w:val="9"/>
    <w:rPr>
      <w:rFonts w:ascii="Arial" w:hAnsi="Arial"/>
      <w:sz w:val="28"/>
      <w:lang w:val="en-GB" w:eastAsia="en-US"/>
    </w:rPr>
  </w:style>
  <w:style w:type="character" w:customStyle="1" w:styleId="136">
    <w:name w:val="标题 6 字符"/>
    <w:link w:val="7"/>
    <w:qFormat/>
    <w:uiPriority w:val="9"/>
    <w:rPr>
      <w:rFonts w:ascii="Arial" w:hAnsi="Arial"/>
      <w:lang w:val="en-GB" w:eastAsia="en-US"/>
    </w:rPr>
  </w:style>
  <w:style w:type="character" w:customStyle="1" w:styleId="137">
    <w:name w:val="标题 7 字符"/>
    <w:link w:val="9"/>
    <w:qFormat/>
    <w:uiPriority w:val="9"/>
    <w:rPr>
      <w:rFonts w:ascii="Arial" w:hAnsi="Arial"/>
      <w:lang w:val="en-GB" w:eastAsia="en-US"/>
    </w:rPr>
  </w:style>
  <w:style w:type="character" w:customStyle="1" w:styleId="138">
    <w:name w:val="标题 8 字符"/>
    <w:link w:val="10"/>
    <w:qFormat/>
    <w:uiPriority w:val="9"/>
    <w:rPr>
      <w:rFonts w:ascii="Arial" w:hAnsi="Arial"/>
      <w:sz w:val="36"/>
      <w:lang w:val="en-GB" w:eastAsia="en-US"/>
    </w:rPr>
  </w:style>
  <w:style w:type="character" w:customStyle="1" w:styleId="139">
    <w:name w:val="标题 9 字符"/>
    <w:link w:val="11"/>
    <w:qFormat/>
    <w:uiPriority w:val="9"/>
    <w:rPr>
      <w:rFonts w:ascii="Arial" w:hAnsi="Arial"/>
      <w:sz w:val="36"/>
      <w:lang w:val="en-GB" w:eastAsia="en-US"/>
    </w:rPr>
  </w:style>
  <w:style w:type="character" w:customStyle="1" w:styleId="140">
    <w:name w:val="页眉 字符"/>
    <w:link w:val="43"/>
    <w:qFormat/>
    <w:uiPriority w:val="0"/>
    <w:rPr>
      <w:rFonts w:ascii="Arial" w:hAnsi="Arial"/>
      <w:b/>
      <w:sz w:val="18"/>
      <w:lang w:val="en-GB" w:eastAsia="en-US"/>
    </w:rPr>
  </w:style>
  <w:style w:type="character" w:customStyle="1" w:styleId="141">
    <w:name w:val="页脚 字符"/>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字符"/>
    <w:basedOn w:val="75"/>
    <w:link w:val="33"/>
    <w:qFormat/>
    <w:uiPriority w:val="0"/>
    <w:rPr>
      <w:rFonts w:ascii="Times New Roman" w:hAnsi="Times New Roman" w:eastAsia="宋体"/>
      <w:lang w:val="en-GB" w:eastAsia="en-GB"/>
    </w:rPr>
  </w:style>
  <w:style w:type="character" w:customStyle="1" w:styleId="147">
    <w:name w:val="脚注文本 字符"/>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字符"/>
    <w:link w:val="14"/>
    <w:qFormat/>
    <w:uiPriority w:val="0"/>
    <w:rPr>
      <w:rFonts w:ascii="Times New Roman" w:hAnsi="Times New Roman"/>
      <w:lang w:val="en-GB" w:eastAsia="en-US"/>
    </w:rPr>
  </w:style>
  <w:style w:type="character" w:customStyle="1" w:styleId="150">
    <w:name w:val="列表 2 字符"/>
    <w:link w:val="13"/>
    <w:qFormat/>
    <w:uiPriority w:val="0"/>
    <w:rPr>
      <w:rFonts w:ascii="Times New Roman" w:hAnsi="Times New Roman"/>
      <w:lang w:val="en-GB" w:eastAsia="en-US"/>
    </w:rPr>
  </w:style>
  <w:style w:type="character" w:customStyle="1" w:styleId="151">
    <w:name w:val="列表 3 字符"/>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character" w:customStyle="1" w:styleId="155">
    <w:name w:val="纯文本 字符"/>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字符"/>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字符"/>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字符"/>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字符"/>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表段落 字符"/>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修订1"/>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字符"/>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字符"/>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字符"/>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字符"/>
    <w:basedOn w:val="75"/>
    <w:link w:val="34"/>
    <w:qFormat/>
    <w:uiPriority w:val="99"/>
    <w:rPr>
      <w:rFonts w:ascii="Times New Roman" w:hAnsi="Times New Roman" w:eastAsia="宋体"/>
      <w:lang w:val="en-GB" w:eastAsia="en-US"/>
    </w:rPr>
  </w:style>
  <w:style w:type="character" w:customStyle="1" w:styleId="309">
    <w:name w:val="正文文本首行缩进 2 字符"/>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字符"/>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字符"/>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不明显强调1"/>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pPr>
    <w:rPr>
      <w:rFonts w:eastAsiaTheme="minorEastAsia"/>
      <w:b/>
      <w:bCs/>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8DE74-87C8-4AB7-A9F1-28C537CB7CBF}">
  <ds:schemaRefs/>
</ds:datastoreItem>
</file>

<file path=docProps/app.xml><?xml version="1.0" encoding="utf-8"?>
<Properties xmlns="http://schemas.openxmlformats.org/officeDocument/2006/extended-properties" xmlns:vt="http://schemas.openxmlformats.org/officeDocument/2006/docPropsVTypes">
  <Template>3gpp_70.dot</Template>
  <Pages>2</Pages>
  <Words>741</Words>
  <Characters>4224</Characters>
  <Lines>35</Lines>
  <Paragraphs>9</Paragraphs>
  <TotalTime>10</TotalTime>
  <ScaleCrop>false</ScaleCrop>
  <LinksUpToDate>false</LinksUpToDate>
  <CharactersWithSpaces>4956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00240401</dc:creator>
  <cp:lastModifiedBy>ZTE,Mengzhu</cp:lastModifiedBy>
  <cp:lastPrinted>2411-12-31T00:00:00Z</cp:lastPrinted>
  <dcterms:modified xsi:type="dcterms:W3CDTF">2024-08-09T09:47:20Z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EA24DE439E19404980573BF1F0E3FB35</vt:lpwstr>
  </property>
</Properties>
</file>