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1"/>
        <w:tabs>
          <w:tab w:val="right" w:pos="9639"/>
        </w:tabs>
        <w:spacing w:before="12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R1-2404644</w:t>
      </w:r>
      <w:bookmarkStart w:id="8" w:name="_GoBack"/>
      <w:bookmarkEnd w:id="8"/>
    </w:p>
    <w:p>
      <w:pPr>
        <w:pStyle w:val="51"/>
        <w:outlineLvl w:val="0"/>
        <w:rPr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Fukuoka City, Fukuoka, Japan, May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2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1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>
            <w:pPr>
              <w:pStyle w:val="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7"/>
                <w:rFonts w:cs="Arial"/>
                <w:b/>
                <w:i/>
                <w:color w:val="FF0000"/>
              </w:rPr>
              <w:t>P</w:t>
            </w:r>
            <w:r>
              <w:rPr>
                <w:rStyle w:val="2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7"/>
                <w:rFonts w:cs="Arial"/>
                <w:i/>
              </w:rPr>
              <w:t>http://www.3gpp.org/Change-Requests</w:t>
            </w:r>
            <w:r>
              <w:rPr>
                <w:rStyle w:val="2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Correction on parameter name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for section </w:t>
            </w:r>
            <w:r>
              <w:rPr>
                <w:rFonts w:hint="eastAsia" w:eastAsia="宋体"/>
                <w:lang w:val="en-US" w:eastAsia="zh-CN"/>
              </w:rPr>
              <w:t>16.1</w:t>
            </w:r>
            <w:r>
              <w:rPr>
                <w:rFonts w:hint="eastAsia"/>
              </w:rPr>
              <w:t xml:space="preserve"> in TS 38.21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rPr>
                <w:rFonts w:hint="eastAsia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7"/>
                <w:sz w:val="18"/>
              </w:rPr>
              <w:t>TR 21.900</w:t>
            </w:r>
            <w:r>
              <w:rPr>
                <w:rStyle w:val="2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TS38.213 section 16.1, such as </w:t>
            </w:r>
            <w:r>
              <w:rPr>
                <w:i/>
              </w:rPr>
              <w:t>sl-NumOfSSS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i/>
              </w:rPr>
              <w:t>Brepetition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 xml:space="preserve">, </w:t>
            </w:r>
            <w:r>
              <w:rPr>
                <w:i/>
                <w:highlight w:val="none"/>
              </w:rPr>
              <w:t>sl-GapRepeatedSSB</w:t>
            </w:r>
            <w:r>
              <w:rPr>
                <w:rFonts w:hint="eastAsia" w:eastAsia="宋体"/>
                <w:i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are inconsistent with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TS38.331 such as </w:t>
            </w:r>
            <w:r>
              <w:rPr>
                <w:rFonts w:hint="eastAsia"/>
                <w:i/>
                <w:highlight w:val="none"/>
              </w:rPr>
              <w:t>sl-NumOfSSSBRepetition</w:t>
            </w:r>
            <w:r>
              <w:rPr>
                <w:rFonts w:hint="eastAsia"/>
                <w:i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i/>
                <w:highlight w:val="none"/>
              </w:rPr>
              <w:t>sl-GapBetweenSSSBRepetition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Rename </w:t>
            </w:r>
            <w:r>
              <w:rPr>
                <w:rFonts w:hint="eastAsia"/>
                <w:lang w:eastAsia="ko-KR"/>
              </w:rPr>
              <w:t>high-level parameter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 in TS 38.213 section 16.1 to match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TS38.331.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TS38.213 are inconsistent with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TS38.331.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</w:tbl>
    <w:p>
      <w:pPr>
        <w:pStyle w:val="51"/>
        <w:spacing w:after="0"/>
        <w:rPr>
          <w:sz w:val="8"/>
          <w:szCs w:val="8"/>
        </w:rPr>
      </w:pPr>
    </w:p>
    <w:p>
      <w:pPr>
        <w:spacing w:before="120" w:after="120"/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3"/>
        <w:numPr>
          <w:ilvl w:val="1"/>
          <w:numId w:val="0"/>
        </w:numPr>
        <w:ind w:leftChars="0" w:right="210" w:rightChars="100"/>
      </w:pPr>
      <w:bookmarkStart w:id="1" w:name="_Toc29917329"/>
      <w:bookmarkStart w:id="2" w:name="_Toc161999165"/>
      <w:bookmarkStart w:id="3" w:name="_Toc45699231"/>
      <w:bookmarkStart w:id="4" w:name="_Toc29899593"/>
      <w:bookmarkStart w:id="5" w:name="_Toc29899175"/>
      <w:bookmarkStart w:id="6" w:name="_Toc36498203"/>
      <w:bookmarkStart w:id="7" w:name="_Toc29894876"/>
      <w:r>
        <w:t>16.1</w:t>
      </w:r>
      <w:r>
        <w:rPr>
          <w:rFonts w:hint="eastAsia"/>
        </w:rPr>
        <w:tab/>
      </w:r>
      <w:r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kinsoku w:val="0"/>
        <w:overflowPunct w:val="0"/>
      </w:pPr>
      <w:r>
        <w:t xml:space="preserve">A UE receives the following SL synchronization signals in order to perform synchronization procedures based on S-SS/PSBCH blocks: SL primary synchronization signals (S-PSS) and SL secondary synchronization signals (S-SSS) [4, TS 38.211]. </w:t>
      </w:r>
    </w:p>
    <w:p>
      <w:pPr>
        <w:kinsoku w:val="0"/>
        <w:overflowPunct w:val="0"/>
        <w:spacing w:after="160" w:line="259" w:lineRule="auto"/>
      </w:pPr>
      <w:r>
        <w:t>A UE assumes that reception occasions of a physical sidelink broadcast channel (PSBCH), S-PSS, and S-SSS are in consecutive symbols [4, TS 38.211] and form a S-SS/PSBCH block.</w:t>
      </w:r>
    </w:p>
    <w:p>
      <w:pPr>
        <w:kinsoku w:val="0"/>
        <w:overflowPunct w:val="0"/>
      </w:pPr>
      <w:r>
        <w:t xml:space="preserve">For reception of a S-SS/PSBCH block, </w:t>
      </w:r>
    </w:p>
    <w:p>
      <w:pPr>
        <w:pStyle w:val="53"/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f</w:t>
      </w:r>
      <w:r>
        <w:rPr>
          <w:rFonts w:hint="eastAsia"/>
          <w:lang w:eastAsia="ja-JP"/>
        </w:rPr>
        <w:t xml:space="preserve">or </w:t>
      </w:r>
      <w:r>
        <w:rPr>
          <w:lang w:eastAsia="ja-JP"/>
        </w:rPr>
        <w:t xml:space="preserve">operation without shared spectrum channel access, or for operation with shared spectrum channel access and when </w:t>
      </w:r>
      <w:r>
        <w:rPr>
          <w:i/>
        </w:rPr>
        <w:t>sl-NumOfSSS</w:t>
      </w:r>
      <w:del w:id="0" w:author="ZTE" w:date="2024-04-03T12:39:23Z">
        <w:r>
          <w:rPr>
            <w:i/>
          </w:rPr>
          <w:delText>-</w:delText>
        </w:r>
      </w:del>
      <w:r>
        <w:rPr>
          <w:i/>
        </w:rPr>
        <w:t>Brepetition</w:t>
      </w:r>
      <w:r>
        <w:t xml:space="preserve"> is not provided and for RB-set </w:t>
      </w:r>
      <m:oMath>
        <m:r>
          <m:rPr/>
          <w:rPr>
            <w:rFonts w:ascii="Cambria Math" w:hAnsi="Cambria Math"/>
          </w:rPr>
          <m:t>j</m:t>
        </m:r>
      </m:oMath>
      <w:r>
        <w:t>, a UE assumes a frequency location corresponding to the subcarrier with index 66 in the S-SS/PSBCH block [4, TS 38.211], is provided by</w:t>
      </w:r>
    </w:p>
    <w:p>
      <w:pPr>
        <w:pStyle w:val="45"/>
      </w:pPr>
      <w:r>
        <w:t>-</w:t>
      </w:r>
      <w:r>
        <w:tab/>
      </w:r>
      <w:r>
        <w:rPr>
          <w:i/>
        </w:rPr>
        <w:t>sl-AbsoluteFrequencySSB</w:t>
      </w:r>
      <w:r>
        <w:rPr>
          <w:iCs/>
        </w:rPr>
        <w:t xml:space="preserve">, </w:t>
      </w:r>
      <w:r>
        <w:rPr>
          <w:lang w:eastAsia="ja-JP"/>
        </w:rPr>
        <w:t>f</w:t>
      </w:r>
      <w:r>
        <w:rPr>
          <w:rFonts w:hint="eastAsia"/>
          <w:lang w:eastAsia="ja-JP"/>
        </w:rPr>
        <w:t xml:space="preserve">or </w:t>
      </w:r>
      <w:r>
        <w:rPr>
          <w:lang w:eastAsia="ja-JP"/>
        </w:rPr>
        <w:t xml:space="preserve">operation without shared spectrum channel access or </w:t>
      </w:r>
      <w:r>
        <w:rPr>
          <w:iCs/>
        </w:rPr>
        <w:t>when</w:t>
      </w:r>
      <w:r>
        <w:rPr>
          <w:lang w:eastAsia="ja-JP"/>
        </w:rPr>
        <w:t xml:space="preserve"> RB-set </w:t>
      </w:r>
      <m:oMath>
        <m:r>
          <m:rPr/>
          <w:rPr>
            <w:rFonts w:ascii="Cambria Math" w:hAnsi="Cambria Math"/>
            <w:lang w:eastAsia="ja-JP"/>
          </w:rPr>
          <m:t>j</m:t>
        </m:r>
      </m:oMath>
      <w:r>
        <w:t xml:space="preserve"> is the anchor RB-set that is the RB set that includes the S-SS/PSBCH block</w:t>
      </w:r>
    </w:p>
    <w:p>
      <w:pPr>
        <w:pStyle w:val="45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US"/>
        </w:rPr>
        <w:t xml:space="preserve">a corresponding value in </w:t>
      </w:r>
      <w:r>
        <w:rPr>
          <w:i/>
        </w:rPr>
        <w:t>sl-AbsoluteFrequencySSB</w:t>
      </w:r>
      <w:r>
        <w:rPr>
          <w:i/>
          <w:lang w:val="en-US"/>
        </w:rPr>
        <w:t xml:space="preserve">-NonAnchorList </w:t>
      </w:r>
      <w:r>
        <w:rPr>
          <w:lang w:val="en-US"/>
        </w:rPr>
        <w:t>when RB-set</w:t>
      </w:r>
      <w:r>
        <w:rPr>
          <w:i/>
          <w:lang w:val="en-US"/>
        </w:rPr>
        <w:t xml:space="preserve"> </w:t>
      </w:r>
      <m:oMath>
        <m:r>
          <m:rPr/>
          <w:rPr>
            <w:rFonts w:ascii="Cambria Math" w:hAnsi="Cambria Math"/>
            <w:lang w:eastAsia="ja-JP"/>
          </w:rPr>
          <m:t>j</m:t>
        </m:r>
      </m:oMath>
      <w:r>
        <w:t xml:space="preserve"> is </w:t>
      </w:r>
      <w:r>
        <w:rPr>
          <w:lang w:val="en-US"/>
        </w:rPr>
        <w:t>a non-</w:t>
      </w:r>
      <w:r>
        <w:t>anchor RB-set</w:t>
      </w:r>
    </w:p>
    <w:p>
      <w:pPr>
        <w:pStyle w:val="53"/>
      </w:pPr>
      <w:r>
        <w:t>-</w:t>
      </w:r>
      <w:r>
        <w:tab/>
      </w:r>
      <w:r>
        <w:rPr>
          <w:lang w:eastAsia="ja-JP"/>
        </w:rPr>
        <w:t xml:space="preserve">for operation with shared spectrum channel access when </w:t>
      </w:r>
      <w:r>
        <w:rPr>
          <w:i/>
        </w:rPr>
        <w:t>sl-NumOfSSS</w:t>
      </w:r>
      <w:del w:id="1" w:author="ZTE" w:date="2024-04-03T12:39:35Z">
        <w:r>
          <w:rPr>
            <w:i/>
          </w:rPr>
          <w:delText>-</w:delText>
        </w:r>
      </w:del>
      <w:r>
        <w:rPr>
          <w:i/>
        </w:rPr>
        <w:t xml:space="preserve">Brepetition </w:t>
      </w:r>
      <w:r>
        <w:t>is provided</w:t>
      </w:r>
      <w:r>
        <w:rPr>
          <w:lang w:eastAsia="ja-JP"/>
        </w:rPr>
        <w:t xml:space="preserve"> and in RB-set </w:t>
      </w:r>
      <m:oMath>
        <m:r>
          <m:rPr/>
          <w:rPr>
            <w:rFonts w:ascii="Cambria Math" w:hAnsi="Cambria Math"/>
            <w:lang w:eastAsia="ja-JP"/>
          </w:rPr>
          <m:t>j</m:t>
        </m:r>
      </m:oMath>
      <w:r>
        <w:rPr>
          <w:lang w:eastAsia="ja-JP"/>
        </w:rPr>
        <w:t xml:space="preserve">, </w:t>
      </w:r>
      <w:r>
        <w:t xml:space="preserve">a UE assumes a frequency location corresponding to the subcarrier with index 66 in the S-SS/PSBCH block [4, TS 38.211] is provided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start,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S−SSB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>+</w:t>
      </w:r>
      <m:oMath>
        <m:r>
          <m:rPr/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S−SSB,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gap,</m:t>
                </m:r>
                <m:r>
                  <m:rPr/>
                  <w:rPr>
                    <w:rFonts w:ascii="Cambria Math" w:hAnsi="Cambria Math"/>
                  </w:rPr>
                  <m:t>j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S−SSB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m:rPr/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 w:cs="Calibri"/>
                    <w:sz w:val="21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 w:cs="Calibri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</m:t>
                </m:r>
                <m:ctrlPr>
                  <w:rPr>
                    <w:rFonts w:ascii="Cambria Math" w:hAnsi="Cambria Math" w:cs="Calibri"/>
                    <w:sz w:val="21"/>
                    <w:szCs w:val="21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S−SSB</m:t>
                </m:r>
                <m:ctrlPr>
                  <w:rPr>
                    <w:rFonts w:ascii="Cambria Math" w:hAnsi="Cambria Math" w:cs="Calibri"/>
                    <w:sz w:val="21"/>
                    <w:szCs w:val="21"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</w:rPr>
          <m:t>⋅12⋅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∙15 kHz</m:t>
        </m:r>
      </m:oMath>
      <w:r>
        <w:t>, where</w:t>
      </w:r>
    </w:p>
    <w:p>
      <w:pPr>
        <w:pStyle w:val="45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start, 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S−SSB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a frequency location of a lowest S-SS/PSBCH block in RB-set </w:t>
      </w:r>
      <m:oMath>
        <m:r>
          <m:rPr/>
          <w:rPr>
            <w:rFonts w:ascii="Cambria Math" w:hAnsi="Cambria Math"/>
            <w:lang w:eastAsia="ja-JP"/>
          </w:rPr>
          <m:t>j</m:t>
        </m:r>
      </m:oMath>
      <w:r>
        <w:rPr>
          <w:lang w:eastAsia="ja-JP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start, 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S−SSB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provided by</w:t>
      </w:r>
      <w:r>
        <w:rPr>
          <w:lang w:eastAsia="ja-JP"/>
        </w:rPr>
        <w:t xml:space="preserve"> </w:t>
      </w:r>
    </w:p>
    <w:p>
      <w:pPr>
        <w:pStyle w:val="46"/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i/>
        </w:rPr>
        <w:t xml:space="preserve">sl-AbsoluteFrequencySSB </w:t>
      </w:r>
      <w:r>
        <w:t>when RB-set</w:t>
      </w:r>
      <w:r>
        <w:rPr>
          <w:i/>
        </w:rPr>
        <w:t xml:space="preserve"> j </w:t>
      </w:r>
      <w:r>
        <w:t xml:space="preserve">is the anchor RB-set, </w:t>
      </w:r>
    </w:p>
    <w:p>
      <w:pPr>
        <w:pStyle w:val="46"/>
      </w:pPr>
      <w:r>
        <w:t>-</w:t>
      </w:r>
      <w:r>
        <w:tab/>
      </w:r>
      <w:r>
        <w:rPr>
          <w:lang w:val="en-US"/>
        </w:rPr>
        <w:t xml:space="preserve">a corresponding value in </w:t>
      </w:r>
      <w:r>
        <w:rPr>
          <w:i/>
        </w:rPr>
        <w:t>sl-AbsoluteFrequencySSB</w:t>
      </w:r>
      <w:r>
        <w:rPr>
          <w:i/>
          <w:lang w:val="en-US"/>
        </w:rPr>
        <w:t xml:space="preserve">-NonAnchorList </w:t>
      </w:r>
      <w:r>
        <w:rPr>
          <w:lang w:val="en-US"/>
        </w:rPr>
        <w:t>when RB-set</w:t>
      </w:r>
      <w:r>
        <w:rPr>
          <w:i/>
          <w:lang w:val="en-US"/>
        </w:rPr>
        <w:t xml:space="preserve"> </w:t>
      </w:r>
      <m:oMath>
        <m:r>
          <m:rPr/>
          <w:rPr>
            <w:rFonts w:ascii="Cambria Math" w:hAnsi="Cambria Math"/>
            <w:lang w:eastAsia="ja-JP"/>
          </w:rPr>
          <m:t>j</m:t>
        </m:r>
      </m:oMath>
      <w:r>
        <w:t xml:space="preserve"> is </w:t>
      </w:r>
      <w:r>
        <w:rPr>
          <w:lang w:val="en-US"/>
        </w:rPr>
        <w:t>a non-</w:t>
      </w:r>
      <w:r>
        <w:t>anchor RB-set</w:t>
      </w:r>
    </w:p>
    <w:p>
      <w:pPr>
        <w:pStyle w:val="45"/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S−SSB,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an index of an S-SS/PSBCH block from repeated S-SS/PSBCH blocks in the frequency domain and within the RB-set </w:t>
      </w:r>
      <m:oMath>
        <m:r>
          <m:rPr/>
          <w:rPr>
            <w:rFonts w:ascii="Cambria Math" w:hAnsi="Cambria Math"/>
          </w:rPr>
          <m:t>j</m:t>
        </m:r>
      </m:oMath>
      <w:r>
        <w:t xml:space="preserve">, where </w:t>
      </w:r>
      <m:oMath>
        <m:r>
          <m:rPr/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S−SSB,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repetition,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S−SSB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m:rPr/>
          <w:rPr>
            <w:rFonts w:ascii="Cambria Math" w:hAnsi="Cambria Math"/>
          </w:rPr>
          <m:t>−1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repetition,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S−SSB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provided by a value in </w:t>
      </w:r>
      <w:r>
        <w:rPr>
          <w:i/>
        </w:rPr>
        <w:t>sl-NumOfSSS</w:t>
      </w:r>
      <w:del w:id="2" w:author="ZTE" w:date="2024-04-03T12:39:40Z">
        <w:r>
          <w:rPr>
            <w:i/>
          </w:rPr>
          <w:delText>-</w:delText>
        </w:r>
      </w:del>
      <w:r>
        <w:rPr>
          <w:i/>
        </w:rPr>
        <w:t xml:space="preserve">Brepetition </w:t>
      </w:r>
      <w:r>
        <w:t xml:space="preserve">corresponding to RB-set </w:t>
      </w:r>
      <m:oMath>
        <m:r>
          <m:rPr/>
          <w:rPr>
            <w:rFonts w:ascii="Cambria Math" w:hAnsi="Cambria Math"/>
          </w:rPr>
          <m:t>j</m:t>
        </m:r>
      </m:oMath>
      <w:r>
        <w:t>;</w:t>
      </w:r>
    </w:p>
    <w:p>
      <w:pPr>
        <w:pStyle w:val="45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gap,</m:t>
            </m:r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S−SSB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a number of resource blocks, provided by </w:t>
      </w:r>
      <w:del w:id="3" w:author="ZTE" w:date="2024-04-03T12:40:24Z">
        <w:r>
          <w:rPr>
            <w:i/>
          </w:rPr>
          <w:delText>s</w:delText>
        </w:r>
      </w:del>
      <w:del w:id="4" w:author="ZTE" w:date="2024-04-03T12:40:23Z">
        <w:r>
          <w:rPr>
            <w:i/>
          </w:rPr>
          <w:delText>l-GapRepeatedSSB</w:delText>
        </w:r>
      </w:del>
      <w:ins w:id="5" w:author="ZTE" w:date="2024-04-03T12:40:19Z">
        <w:r>
          <w:rPr>
            <w:rFonts w:hint="eastAsia"/>
            <w:i/>
            <w:highlight w:val="none"/>
          </w:rPr>
          <w:t>sl-GapBetweenSSSBRepetition</w:t>
        </w:r>
      </w:ins>
      <w:r>
        <w:t>, for a gap between two adjacent repeated S-SS/PSBCH blocks;</w:t>
      </w:r>
    </w:p>
    <w:p>
      <w:pPr>
        <w:pStyle w:val="45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 w:cs="Calibri"/>
                <w:sz w:val="21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 w:cs="Calibri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 w:cs="Calibri"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S−SSB</m:t>
            </m:r>
            <m:ctrlPr>
              <w:rPr>
                <w:rFonts w:ascii="Cambria Math" w:hAnsi="Cambria Math" w:cs="Calibri"/>
                <w:sz w:val="21"/>
                <w:szCs w:val="21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=11</m:t>
        </m:r>
      </m:oMath>
      <w:r>
        <w:t xml:space="preserve"> is a number of resource blocks for a S-SS/PSBCH block transmission with SCS configuration </w:t>
      </w:r>
      <m:oMath>
        <m:r>
          <m:rPr/>
          <w:rPr>
            <w:rFonts w:ascii="Cambria Math" w:hAnsi="Cambria Math"/>
          </w:rPr>
          <m:t>μ</m:t>
        </m:r>
      </m:oMath>
      <w:r>
        <w:t>.</w:t>
      </w:r>
    </w:p>
    <w:p>
      <w:pPr>
        <w:pStyle w:val="53"/>
        <w:widowControl w:val="0"/>
        <w:jc w:val="center"/>
        <w:rPr>
          <w:i/>
          <w:iCs/>
        </w:rPr>
      </w:pPr>
      <w:r>
        <w:rPr>
          <w:b/>
          <w:color w:val="FF0000"/>
        </w:rPr>
        <w:t xml:space="preserve">&lt;Unchanged parts </w:t>
      </w:r>
      <w:r>
        <w:rPr>
          <w:rFonts w:eastAsia="宋体"/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>
      <w:pPr>
        <w:spacing w:before="120" w:after="120"/>
        <w:jc w:val="center"/>
        <w:rPr>
          <w:b/>
          <w:color w:val="FF0000"/>
        </w:rPr>
      </w:pPr>
    </w:p>
    <w:sectPr>
      <w:footerReference r:id="rId6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6"/>
                  <w:spacing w:before="120" w:after="12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4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0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 w:tentative="0">
      <w:start w:val="1"/>
      <w:numFmt w:val="lowerRoman"/>
      <w:pStyle w:val="3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6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17122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B36B1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5F4E9F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0D68E8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33A89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625BAD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81E13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0EB4779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27753A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295789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42AAD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493D3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D3082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unhideWhenUsed/>
    <w:qFormat/>
    <w:uiPriority w:val="99"/>
    <w:pPr>
      <w:ind w:left="851"/>
    </w:pPr>
  </w:style>
  <w:style w:type="paragraph" w:styleId="9">
    <w:name w:val="List"/>
    <w:basedOn w:val="1"/>
    <w:unhideWhenUsed/>
    <w:qFormat/>
    <w:uiPriority w:val="99"/>
    <w:pPr>
      <w:ind w:left="568" w:hanging="284"/>
    </w:pPr>
  </w:style>
  <w:style w:type="paragraph" w:styleId="10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1">
    <w:name w:val="Document Map"/>
    <w:basedOn w:val="1"/>
    <w:link w:val="40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semiHidden/>
    <w:unhideWhenUsed/>
    <w:qFormat/>
    <w:uiPriority w:val="0"/>
    <w:pPr>
      <w:jc w:val="left"/>
    </w:pPr>
  </w:style>
  <w:style w:type="paragraph" w:styleId="13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29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8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annotation subject"/>
    <w:basedOn w:val="12"/>
    <w:next w:val="12"/>
    <w:link w:val="42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4">
    <w:name w:val="Table Grid"/>
    <w:basedOn w:val="23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Emphasis"/>
    <w:basedOn w:val="25"/>
    <w:qFormat/>
    <w:uiPriority w:val="20"/>
    <w:rPr>
      <w:i/>
      <w:iCs/>
    </w:rPr>
  </w:style>
  <w:style w:type="character" w:styleId="27">
    <w:name w:val="Hyperlink"/>
    <w:basedOn w:val="25"/>
    <w:unhideWhenUsed/>
    <w:qFormat/>
    <w:uiPriority w:val="99"/>
    <w:rPr>
      <w:color w:val="0000FF" w:themeColor="hyperlink"/>
      <w:u w:val="single"/>
    </w:rPr>
  </w:style>
  <w:style w:type="character" w:styleId="28">
    <w:name w:val="annotation reference"/>
    <w:basedOn w:val="25"/>
    <w:semiHidden/>
    <w:unhideWhenUsed/>
    <w:qFormat/>
    <w:uiPriority w:val="99"/>
    <w:rPr>
      <w:sz w:val="16"/>
      <w:szCs w:val="16"/>
    </w:rPr>
  </w:style>
  <w:style w:type="character" w:customStyle="1" w:styleId="29">
    <w:name w:val="批注框文本 Char"/>
    <w:basedOn w:val="25"/>
    <w:link w:val="15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paragraph" w:customStyle="1" w:styleId="30">
    <w:name w:val="YJ-Observation"/>
    <w:basedOn w:val="31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sub-proposal"/>
    <w:basedOn w:val="31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sub-observation"/>
    <w:basedOn w:val="32"/>
    <w:next w:val="1"/>
    <w:qFormat/>
    <w:uiPriority w:val="0"/>
  </w:style>
  <w:style w:type="paragraph" w:customStyle="1" w:styleId="34">
    <w:name w:val="3rd level proposal"/>
    <w:basedOn w:val="32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5">
    <w:name w:val="3rd level observation"/>
    <w:basedOn w:val="33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6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7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8">
    <w:name w:val="样式1"/>
    <w:basedOn w:val="1"/>
    <w:qFormat/>
    <w:uiPriority w:val="0"/>
  </w:style>
  <w:style w:type="paragraph" w:customStyle="1" w:styleId="39">
    <w:name w:val="样式2"/>
    <w:basedOn w:val="1"/>
    <w:qFormat/>
    <w:uiPriority w:val="0"/>
  </w:style>
  <w:style w:type="character" w:customStyle="1" w:styleId="40">
    <w:name w:val="文档结构图 Char"/>
    <w:basedOn w:val="25"/>
    <w:link w:val="11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1">
    <w:name w:val="批注文字 Char"/>
    <w:basedOn w:val="25"/>
    <w:link w:val="12"/>
    <w:semiHidden/>
    <w:qFormat/>
    <w:uiPriority w:val="99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2"/>
    <w:qFormat/>
    <w:uiPriority w:val="0"/>
    <w:rPr>
      <w:rFonts w:eastAsia="宋体"/>
      <w:kern w:val="2"/>
      <w:sz w:val="21"/>
    </w:rPr>
  </w:style>
  <w:style w:type="paragraph" w:customStyle="1" w:styleId="43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44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5">
    <w:name w:val="B2"/>
    <w:basedOn w:val="8"/>
    <w:link w:val="56"/>
    <w:qFormat/>
    <w:uiPriority w:val="0"/>
  </w:style>
  <w:style w:type="paragraph" w:customStyle="1" w:styleId="46">
    <w:name w:val="B3"/>
    <w:basedOn w:val="7"/>
    <w:link w:val="57"/>
    <w:qFormat/>
    <w:uiPriority w:val="0"/>
  </w:style>
  <w:style w:type="paragraph" w:customStyle="1" w:styleId="47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8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">
    <w:name w:val="B4"/>
    <w:basedOn w:val="21"/>
    <w:link w:val="58"/>
    <w:qFormat/>
    <w:uiPriority w:val="0"/>
  </w:style>
  <w:style w:type="paragraph" w:customStyle="1" w:styleId="50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1"/>
    <w:basedOn w:val="9"/>
    <w:link w:val="55"/>
    <w:qFormat/>
    <w:uiPriority w:val="0"/>
  </w:style>
  <w:style w:type="paragraph" w:customStyle="1" w:styleId="54">
    <w:name w:val="B5"/>
    <w:basedOn w:val="1"/>
    <w:link w:val="59"/>
    <w:qFormat/>
    <w:uiPriority w:val="0"/>
    <w:pPr>
      <w:ind w:left="1702" w:hanging="284"/>
    </w:pPr>
  </w:style>
  <w:style w:type="character" w:customStyle="1" w:styleId="55">
    <w:name w:val="B1 Zchn"/>
    <w:link w:val="53"/>
    <w:qFormat/>
    <w:uiPriority w:val="0"/>
    <w:rPr>
      <w:kern w:val="2"/>
      <w:sz w:val="21"/>
    </w:rPr>
  </w:style>
  <w:style w:type="character" w:customStyle="1" w:styleId="56">
    <w:name w:val="B2 Char"/>
    <w:link w:val="45"/>
    <w:qFormat/>
    <w:uiPriority w:val="0"/>
    <w:rPr>
      <w:kern w:val="2"/>
      <w:sz w:val="21"/>
    </w:rPr>
  </w:style>
  <w:style w:type="character" w:customStyle="1" w:styleId="57">
    <w:name w:val="B3 Char"/>
    <w:link w:val="46"/>
    <w:qFormat/>
    <w:uiPriority w:val="0"/>
    <w:rPr>
      <w:kern w:val="2"/>
      <w:sz w:val="21"/>
    </w:rPr>
  </w:style>
  <w:style w:type="character" w:customStyle="1" w:styleId="58">
    <w:name w:val="B4 Char"/>
    <w:link w:val="49"/>
    <w:qFormat/>
    <w:uiPriority w:val="0"/>
    <w:rPr>
      <w:kern w:val="2"/>
      <w:sz w:val="21"/>
    </w:rPr>
  </w:style>
  <w:style w:type="character" w:customStyle="1" w:styleId="59">
    <w:name w:val="B5 Char"/>
    <w:link w:val="54"/>
    <w:qFormat/>
    <w:uiPriority w:val="0"/>
    <w:rPr>
      <w:kern w:val="2"/>
      <w:sz w:val="21"/>
    </w:rPr>
  </w:style>
  <w:style w:type="paragraph" w:customStyle="1" w:styleId="60">
    <w:name w:val="text intend 1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61">
    <w:name w:val="Tdoc_Heading_1"/>
    <w:basedOn w:val="2"/>
    <w:next w:val="1"/>
    <w:qFormat/>
    <w:uiPriority w:val="0"/>
    <w:pPr>
      <w:keepLines w:val="0"/>
      <w:numPr>
        <w:numId w:val="10"/>
      </w:numPr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A1CE7-3424-4C6F-BE44-D24BE38F57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667</Words>
  <Characters>3804</Characters>
  <Lines>31</Lines>
  <Paragraphs>8</Paragraphs>
  <TotalTime>0</TotalTime>
  <ScaleCrop>false</ScaleCrop>
  <LinksUpToDate>false</LinksUpToDate>
  <CharactersWithSpaces>4463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2022-02-09T04:37:00Z</dcterms:created>
  <dc:creator>ZTE</dc:creator>
  <cp:lastModifiedBy>ZTE</cp:lastModifiedBy>
  <dcterms:modified xsi:type="dcterms:W3CDTF">2024-05-09T02:43:59Z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B1E9A9F827C24CACAC3F783BAA29755A</vt:lpwstr>
  </property>
</Properties>
</file>