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rPr>
          <w:rFonts w:hint="default" w:ascii="Arial Bold" w:hAnsi="Arial Bold" w:cs="Arial"/>
          <w:b/>
          <w:bCs/>
          <w:sz w:val="22"/>
          <w:szCs w:val="22"/>
          <w:lang w:val="en-US"/>
        </w:rPr>
      </w:pPr>
      <w:bookmarkStart w:id="0" w:name="_Hlk145670493"/>
      <w:bookmarkStart w:id="1" w:name="_Hlk117841894"/>
      <w:r>
        <w:rPr>
          <w:rFonts w:ascii="Arial" w:hAnsi="Arial" w:cs="Arial"/>
          <w:b/>
          <w:bCs/>
          <w:sz w:val="22"/>
          <w:szCs w:val="22"/>
        </w:rPr>
        <w:t>3GPP TSG RAN WG1 #11</w:t>
      </w:r>
      <w:r>
        <w:rPr>
          <w:rFonts w:hint="default" w:ascii="Arial" w:hAnsi="Arial" w:cs="Arial"/>
          <w:b/>
          <w:bCs/>
          <w:sz w:val="22"/>
          <w:szCs w:val="22"/>
          <w:lang w:val="en-US"/>
        </w:rPr>
        <w:t>7</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hint="default" w:ascii="Arial" w:hAnsi="Arial" w:cs="Arial"/>
          <w:b/>
          <w:bCs/>
          <w:sz w:val="22"/>
          <w:szCs w:val="22"/>
          <w:lang w:val="en-US"/>
        </w:rPr>
        <w:tab/>
      </w:r>
      <w:r>
        <w:rPr>
          <w:rFonts w:hint="default" w:ascii="Arial" w:hAnsi="Arial" w:cs="Arial"/>
          <w:b/>
          <w:bCs/>
          <w:sz w:val="22"/>
          <w:szCs w:val="22"/>
          <w:lang w:val="en-US"/>
        </w:rPr>
        <w:tab/>
      </w:r>
      <w:r>
        <w:rPr>
          <w:rFonts w:hint="default" w:ascii="Arial" w:hAnsi="Arial" w:cs="Arial"/>
          <w:b/>
          <w:bCs/>
          <w:sz w:val="22"/>
          <w:szCs w:val="22"/>
          <w:lang w:val="en-US"/>
        </w:rPr>
        <w:tab/>
      </w:r>
      <w:r>
        <w:rPr>
          <w:rFonts w:hint="default" w:ascii="Arial" w:hAnsi="Arial" w:cs="Arial"/>
          <w:b/>
          <w:bCs/>
          <w:sz w:val="22"/>
          <w:szCs w:val="22"/>
          <w:lang w:val="en-US"/>
        </w:rPr>
        <w:t xml:space="preserve">   </w:t>
      </w:r>
      <w:r>
        <w:rPr>
          <w:rFonts w:ascii="Arial" w:hAnsi="Arial" w:eastAsia="바탕" w:cs="Arial"/>
          <w:b/>
          <w:bCs/>
          <w:sz w:val="22"/>
          <w:szCs w:val="22"/>
          <w:lang w:val="en-GB" w:eastAsia="en-US" w:bidi="ar-SA"/>
        </w:rPr>
        <w:t>R1-</w:t>
      </w:r>
      <w:r>
        <w:rPr>
          <w:rFonts w:hint="default" w:ascii="Arial" w:hAnsi="Arial" w:eastAsia="바탕" w:cs="Arial"/>
          <w:b/>
          <w:bCs/>
          <w:sz w:val="22"/>
          <w:szCs w:val="22"/>
          <w:lang w:val="en-US" w:eastAsia="zh-CN" w:bidi="ar-SA"/>
        </w:rPr>
        <w:t>2404295</w:t>
      </w:r>
    </w:p>
    <w:bookmarkEnd w:id="0"/>
    <w:p>
      <w:pPr>
        <w:rPr>
          <w:rFonts w:hint="default" w:ascii="Arial" w:hAnsi="Arial" w:eastAsia="MS Mincho" w:cs="Arial"/>
          <w:b/>
          <w:bCs/>
          <w:sz w:val="22"/>
          <w:szCs w:val="22"/>
          <w:lang w:val="en-US" w:eastAsia="ja-JP"/>
        </w:rPr>
      </w:pPr>
      <w:r>
        <w:rPr>
          <w:rFonts w:hint="default" w:ascii="Arial" w:hAnsi="Arial" w:eastAsia="MS Mincho" w:cs="Arial"/>
          <w:b/>
          <w:bCs/>
          <w:sz w:val="22"/>
          <w:szCs w:val="22"/>
          <w:lang w:val="en-US" w:eastAsia="ja-JP"/>
        </w:rPr>
        <w:t>Fukuoka City, Fukuoka, Japan, May 20th – 24th, 2024</w:t>
      </w:r>
    </w:p>
    <w:p>
      <w:pPr>
        <w:rPr>
          <w:rFonts w:hint="default" w:ascii="Arial" w:hAnsi="Arial" w:eastAsia="MS Mincho" w:cs="Arial"/>
          <w:b/>
          <w:bCs/>
          <w:sz w:val="22"/>
          <w:szCs w:val="22"/>
          <w:lang w:val="en-US" w:eastAsia="ja-JP"/>
        </w:rPr>
      </w:pPr>
    </w:p>
    <w:bookmarkEnd w:id="1"/>
    <w:p>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9.5.3</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adaptation of common signal/channel for NES enhancements</w:t>
      </w:r>
    </w:p>
    <w:p>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pPr>
        <w:spacing w:after="120"/>
        <w:jc w:val="both"/>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In R</w:t>
      </w:r>
      <w:r>
        <w:rPr>
          <w:rFonts w:hint="default" w:ascii="Times New Roman" w:hAnsi="Times New Roman" w:eastAsia="Times New Roman" w:cs="Times New Roman"/>
          <w:lang w:val="en-US" w:eastAsia="zh-CN"/>
        </w:rPr>
        <w:t>P-2340</w:t>
      </w:r>
      <w:r>
        <w:rPr>
          <w:rFonts w:hint="default" w:eastAsia="Times New Roman" w:cs="Times New Roman"/>
          <w:lang w:val="en-US" w:eastAsia="zh-CN"/>
        </w:rPr>
        <w:t>65</w:t>
      </w:r>
      <w:r>
        <w:rPr>
          <w:rFonts w:ascii="Times New Roman" w:hAnsi="Times New Roman" w:eastAsia="Times New Roman" w:cs="Times New Roman"/>
          <w:lang w:val="en-US" w:eastAsia="zh-CN"/>
        </w:rPr>
        <w:t xml:space="preserve"> [1], </w:t>
      </w:r>
      <w:r>
        <w:rPr>
          <w:rFonts w:hint="default" w:ascii="Times New Roman" w:hAnsi="Times New Roman" w:eastAsia="Times New Roman" w:cs="Times New Roman"/>
          <w:lang w:val="en-US" w:eastAsia="zh-CN"/>
        </w:rPr>
        <w:t xml:space="preserve">the Release 19 work item on </w:t>
      </w:r>
      <w:r>
        <w:rPr>
          <w:rFonts w:hint="default" w:eastAsia="Times New Roman" w:cs="Times New Roman"/>
          <w:lang w:val="en-US" w:eastAsia="zh-CN"/>
        </w:rPr>
        <w:t xml:space="preserve">Enhancements of network energy savings for NR </w:t>
      </w:r>
      <w:r>
        <w:rPr>
          <w:rFonts w:hint="default" w:ascii="Times New Roman" w:hAnsi="Times New Roman" w:eastAsia="Times New Roman" w:cs="Times New Roman"/>
          <w:lang w:val="en-US" w:eastAsia="zh-CN"/>
        </w:rPr>
        <w:t xml:space="preserve">has been approved and the normative work in RAN1 starts from RAN1 #116. </w:t>
      </w:r>
      <w:r>
        <w:rPr>
          <w:rFonts w:ascii="Times New Roman" w:hAnsi="Times New Roman" w:eastAsia="Times New Roman" w:cs="Times New Roman"/>
          <w:lang w:val="en-US" w:eastAsia="zh-CN"/>
        </w:rPr>
        <w:t xml:space="preserve"> </w:t>
      </w:r>
    </w:p>
    <w:p>
      <w:pPr>
        <w:keepNext w:val="0"/>
        <w:keepLines w:val="0"/>
        <w:pageBreakBefore w:val="0"/>
        <w:widowControl/>
        <w:kinsoku/>
        <w:wordWrap/>
        <w:overflowPunct/>
        <w:topLinePunct w:val="0"/>
        <w:autoSpaceDE w:val="0"/>
        <w:autoSpaceDN w:val="0"/>
        <w:bidi w:val="0"/>
        <w:adjustRightInd/>
        <w:snapToGrid w:val="0"/>
        <w:spacing w:after="0" w:afterLines="0"/>
        <w:jc w:val="both"/>
        <w:textAlignment w:val="auto"/>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The objective agreed for </w:t>
      </w:r>
      <w:r>
        <w:rPr>
          <w:rFonts w:hint="default" w:eastAsia="Times New Roman" w:cs="Times New Roman"/>
          <w:lang w:val="en-US" w:eastAsia="zh-CN"/>
        </w:rPr>
        <w:t>common signal/channel adaptation</w:t>
      </w:r>
      <w:r>
        <w:rPr>
          <w:rFonts w:hint="default" w:ascii="Times New Roman" w:hAnsi="Times New Roman" w:eastAsia="Times New Roman" w:cs="Times New Roman"/>
          <w:lang w:val="en-US" w:eastAsia="zh-CN"/>
        </w:rPr>
        <w:t xml:space="preserve"> is as follows: </w:t>
      </w:r>
    </w:p>
    <w:p>
      <w:pPr>
        <w:keepNext w:val="0"/>
        <w:keepLines w:val="0"/>
        <w:pageBreakBefore w:val="0"/>
        <w:widowControl/>
        <w:numPr>
          <w:ilvl w:val="0"/>
          <w:numId w:val="4"/>
        </w:numPr>
        <w:kinsoku/>
        <w:wordWrap/>
        <w:overflowPunct/>
        <w:topLinePunct w:val="0"/>
        <w:autoSpaceDE w:val="0"/>
        <w:autoSpaceDN w:val="0"/>
        <w:bidi w:val="0"/>
        <w:adjustRightInd/>
        <w:snapToGrid w:val="0"/>
        <w:spacing w:after="0" w:afterLines="0"/>
        <w:ind w:leftChars="0"/>
        <w:textAlignment w:val="auto"/>
        <w:rPr>
          <w:lang w:eastAsia="zh-CN"/>
        </w:rPr>
      </w:pPr>
      <w:r>
        <w:rPr>
          <w:lang w:eastAsia="zh-CN"/>
        </w:rPr>
        <w:t>Specify a</w:t>
      </w:r>
      <w:r>
        <w:t xml:space="preserve">daptation of common signal/channel transmissions. </w:t>
      </w:r>
      <w:r>
        <w:rPr>
          <w:lang w:eastAsia="zh-CN"/>
        </w:rPr>
        <w:t>[RAN1/2/3/4]</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bCs/>
          <w:lang w:val="en-US" w:eastAsia="zh-CN"/>
        </w:rPr>
      </w:pPr>
      <w:r>
        <w:rPr>
          <w:bCs/>
          <w:lang w:val="en-US" w:eastAsia="zh-CN"/>
        </w:rPr>
        <w:t xml:space="preserve">Adaptation of SSB in time domain, e.g. adapting periodicity </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lang w:eastAsia="zh-CN"/>
        </w:rPr>
      </w:pPr>
      <w:r>
        <w:t>Adaptation of PRACH in time domain</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lang w:eastAsia="zh-CN"/>
        </w:rPr>
      </w:pPr>
      <w:r>
        <w:rPr>
          <w:color w:val="FF0000"/>
        </w:rPr>
        <w:t xml:space="preserve">Study </w:t>
      </w:r>
      <w:r>
        <w:t>adaptation of PRACH in spatial domain, e.g. non-uniform PRACH resources per SSB, and specify if found beneficial</w:t>
      </w:r>
    </w:p>
    <w:p>
      <w:pPr>
        <w:keepNext w:val="0"/>
        <w:keepLines w:val="0"/>
        <w:pageBreakBefore w:val="0"/>
        <w:widowControl/>
        <w:numPr>
          <w:ilvl w:val="2"/>
          <w:numId w:val="5"/>
        </w:numPr>
        <w:kinsoku/>
        <w:wordWrap/>
        <w:overflowPunct/>
        <w:topLinePunct w:val="0"/>
        <w:autoSpaceDE w:val="0"/>
        <w:autoSpaceDN w:val="0"/>
        <w:bidi w:val="0"/>
        <w:adjustRightInd/>
        <w:snapToGrid w:val="0"/>
        <w:spacing w:after="0" w:afterLines="0"/>
        <w:jc w:val="both"/>
        <w:textAlignment w:val="auto"/>
        <w:rPr>
          <w:lang w:eastAsia="zh-CN"/>
        </w:rPr>
      </w:pPr>
      <w:r>
        <w:t>This study is to be done in 2Q’2024 only</w:t>
      </w:r>
    </w:p>
    <w:p>
      <w:pPr>
        <w:keepNext w:val="0"/>
        <w:keepLines w:val="0"/>
        <w:pageBreakBefore w:val="0"/>
        <w:widowControl/>
        <w:numPr>
          <w:ilvl w:val="1"/>
          <w:numId w:val="5"/>
        </w:numPr>
        <w:kinsoku/>
        <w:wordWrap/>
        <w:overflowPunct/>
        <w:topLinePunct w:val="0"/>
        <w:autoSpaceDE w:val="0"/>
        <w:autoSpaceDN w:val="0"/>
        <w:bidi w:val="0"/>
        <w:adjustRightInd/>
        <w:snapToGrid w:val="0"/>
        <w:spacing w:after="0" w:afterLines="0"/>
        <w:ind w:left="1049" w:hanging="329"/>
        <w:jc w:val="both"/>
        <w:textAlignment w:val="auto"/>
        <w:rPr>
          <w:lang w:eastAsia="zh-CN"/>
        </w:rPr>
      </w:pPr>
      <w:r>
        <w:rPr>
          <w:lang w:eastAsia="zh-CN"/>
        </w:rPr>
        <w:t>Adaptation of paging occasions including confining the paging occasions in the time domain</w:t>
      </w:r>
    </w:p>
    <w:p>
      <w:pPr>
        <w:keepNext w:val="0"/>
        <w:keepLines w:val="0"/>
        <w:pageBreakBefore w:val="0"/>
        <w:widowControl/>
        <w:numPr>
          <w:ilvl w:val="2"/>
          <w:numId w:val="5"/>
        </w:numPr>
        <w:kinsoku/>
        <w:wordWrap/>
        <w:overflowPunct/>
        <w:topLinePunct w:val="0"/>
        <w:autoSpaceDE w:val="0"/>
        <w:autoSpaceDN w:val="0"/>
        <w:bidi w:val="0"/>
        <w:adjustRightInd/>
        <w:snapToGrid w:val="0"/>
        <w:spacing w:after="0" w:afterLines="0"/>
        <w:jc w:val="both"/>
        <w:textAlignment w:val="auto"/>
        <w:rPr>
          <w:lang w:eastAsia="zh-CN"/>
        </w:rPr>
      </w:pPr>
      <w:r>
        <w:rPr>
          <w:lang w:eastAsia="zh-CN"/>
        </w:rPr>
        <w:t>Note: there shall be no paging latency increase</w:t>
      </w:r>
    </w:p>
    <w:p>
      <w:pPr>
        <w:numPr>
          <w:ilvl w:val="1"/>
          <w:numId w:val="5"/>
        </w:numPr>
        <w:spacing w:before="120" w:beforeLines="50" w:after="120" w:afterLines="50"/>
        <w:ind w:left="1049" w:hanging="329"/>
        <w:jc w:val="both"/>
        <w:rPr>
          <w:lang w:eastAsia="zh-CN"/>
        </w:rPr>
      </w:pPr>
      <w:r>
        <w:rPr>
          <w:lang w:eastAsia="zh-CN"/>
        </w:rPr>
        <w:t xml:space="preserve">Note: there shall be no negative impact to legacy UEs, unless significant benefits are shown </w:t>
      </w:r>
    </w:p>
    <w:p>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 xml:space="preserve">In this contribution, we </w:t>
      </w:r>
      <w:r>
        <w:rPr>
          <w:rFonts w:hint="default" w:ascii="Times New Roman" w:hAnsi="Times New Roman" w:eastAsia="Times New Roman" w:cs="Times New Roman"/>
          <w:lang w:val="en-US" w:eastAsia="zh-CN"/>
        </w:rPr>
        <w:t xml:space="preserve">provide </w:t>
      </w:r>
      <w:r>
        <w:rPr>
          <w:rFonts w:hint="default" w:eastAsia="Times New Roman" w:cs="Times New Roman"/>
          <w:lang w:val="en-US" w:eastAsia="zh-CN"/>
        </w:rPr>
        <w:t xml:space="preserve">further details on how these common signals/channels should be adapted and the corresponding impacts to UEs. </w:t>
      </w:r>
    </w:p>
    <w:p>
      <w:pPr>
        <w:spacing w:after="120"/>
        <w:jc w:val="both"/>
        <w:rPr>
          <w:rFonts w:hint="default" w:eastAsia="Times New Roman" w:cs="Times New Roman"/>
          <w:lang w:val="en-US" w:eastAsia="zh-CN"/>
        </w:rPr>
      </w:pP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SSB adaptation</w:t>
      </w:r>
      <w:r>
        <w:rPr>
          <w:rFonts w:hint="default" w:eastAsia="Malgun Gothic" w:cs="Times New Roman"/>
          <w:sz w:val="36"/>
          <w:szCs w:val="36"/>
          <w:lang w:val="en-US" w:eastAsia="zh-CN" w:bidi="ar-SA"/>
        </w:rPr>
        <w:tab/>
      </w: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Applicable scenarios</w:t>
      </w:r>
    </w:p>
    <w:p>
      <w:pPr>
        <w:bidi w:val="0"/>
        <w:rPr>
          <w:rFonts w:hint="default"/>
          <w:lang w:val="en-US" w:eastAsia="zh-CN"/>
        </w:rPr>
      </w:pPr>
      <w:r>
        <w:rPr>
          <w:rFonts w:hint="default"/>
          <w:lang w:val="en-US" w:eastAsia="zh-CN"/>
        </w:rPr>
        <w:t xml:space="preserve">In RAN1 #116bis, the applicable scenarios of SSB adaptation and corresponding impacts on UEs were one of the discussion point.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b/>
                <w:bCs/>
                <w:szCs w:val="20"/>
                <w:highlight w:val="green"/>
              </w:rPr>
            </w:pPr>
            <w:r>
              <w:rPr>
                <w:rFonts w:eastAsia="Batang" w:cs="Times New Roman"/>
                <w:b/>
                <w:bCs/>
                <w:szCs w:val="20"/>
                <w:highlight w:val="green"/>
              </w:rPr>
              <w:t>Agreement</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jc w:val="both"/>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 xml:space="preserve">Adaptation mechanism(s) of SSB in time-domain is supported at least for one of the following scenario(s): </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 xml:space="preserve">For cell with both legacy UEs and Rel-19 NES-capable UEs </w:t>
            </w:r>
          </w:p>
          <w:p>
            <w:pPr>
              <w:keepNext w:val="0"/>
              <w:keepLines w:val="0"/>
              <w:pageBreakBefore w:val="0"/>
              <w:widowControl/>
              <w:numPr>
                <w:ilvl w:val="1"/>
                <w:numId w:val="6"/>
              </w:numPr>
              <w:tabs>
                <w:tab w:val="left" w:pos="1440"/>
              </w:tabs>
              <w:kinsoku/>
              <w:wordWrap/>
              <w:overflowPunct/>
              <w:topLinePunct w:val="0"/>
              <w:autoSpaceDE w:val="0"/>
              <w:autoSpaceDN w:val="0"/>
              <w:bidi w:val="0"/>
              <w:adjustRightInd/>
              <w:snapToGrid/>
              <w:spacing w:after="0" w:afterLines="0"/>
              <w:ind w:left="144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 xml:space="preserve">Rel-19 NES-capable UE’s PCell (Connected mode) </w:t>
            </w:r>
          </w:p>
          <w:p>
            <w:pPr>
              <w:keepNext w:val="0"/>
              <w:keepLines w:val="0"/>
              <w:pageBreakBefore w:val="0"/>
              <w:widowControl/>
              <w:numPr>
                <w:ilvl w:val="2"/>
                <w:numId w:val="6"/>
              </w:numPr>
              <w:tabs>
                <w:tab w:val="left" w:pos="1440"/>
              </w:tabs>
              <w:kinsoku/>
              <w:wordWrap/>
              <w:overflowPunct/>
              <w:topLinePunct w:val="0"/>
              <w:autoSpaceDE w:val="0"/>
              <w:autoSpaceDN w:val="0"/>
              <w:bidi w:val="0"/>
              <w:adjustRightInd/>
              <w:snapToGrid/>
              <w:spacing w:after="0" w:afterLines="0"/>
              <w:ind w:left="216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Study from the following options:</w:t>
            </w:r>
          </w:p>
          <w:p>
            <w:pPr>
              <w:keepNext w:val="0"/>
              <w:keepLines w:val="0"/>
              <w:pageBreakBefore w:val="0"/>
              <w:widowControl/>
              <w:numPr>
                <w:ilvl w:val="3"/>
                <w:numId w:val="6"/>
              </w:numPr>
              <w:tabs>
                <w:tab w:val="left" w:pos="1440"/>
              </w:tabs>
              <w:kinsoku/>
              <w:wordWrap/>
              <w:overflowPunct/>
              <w:topLinePunct w:val="0"/>
              <w:autoSpaceDE w:val="0"/>
              <w:autoSpaceDN w:val="0"/>
              <w:bidi w:val="0"/>
              <w:adjustRightInd/>
              <w:snapToGrid/>
              <w:spacing w:after="0" w:afterLines="0"/>
              <w:ind w:left="288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Option A1: adaptation for CD-SSB</w:t>
            </w:r>
          </w:p>
          <w:p>
            <w:pPr>
              <w:keepNext w:val="0"/>
              <w:keepLines w:val="0"/>
              <w:pageBreakBefore w:val="0"/>
              <w:widowControl/>
              <w:numPr>
                <w:ilvl w:val="3"/>
                <w:numId w:val="6"/>
              </w:numPr>
              <w:tabs>
                <w:tab w:val="left" w:pos="1440"/>
              </w:tabs>
              <w:kinsoku/>
              <w:wordWrap/>
              <w:overflowPunct/>
              <w:topLinePunct w:val="0"/>
              <w:autoSpaceDE w:val="0"/>
              <w:autoSpaceDN w:val="0"/>
              <w:bidi w:val="0"/>
              <w:adjustRightInd/>
              <w:snapToGrid/>
              <w:spacing w:after="0" w:afterLines="0"/>
              <w:ind w:left="288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Option A2: adaptation for SSB that is not CD-SSB</w:t>
            </w:r>
          </w:p>
          <w:p>
            <w:pPr>
              <w:keepNext w:val="0"/>
              <w:keepLines w:val="0"/>
              <w:pageBreakBefore w:val="0"/>
              <w:widowControl/>
              <w:numPr>
                <w:ilvl w:val="3"/>
                <w:numId w:val="6"/>
              </w:numPr>
              <w:tabs>
                <w:tab w:val="left" w:pos="1440"/>
              </w:tabs>
              <w:kinsoku/>
              <w:wordWrap/>
              <w:overflowPunct/>
              <w:topLinePunct w:val="0"/>
              <w:autoSpaceDE w:val="0"/>
              <w:autoSpaceDN w:val="0"/>
              <w:bidi w:val="0"/>
              <w:adjustRightInd/>
              <w:snapToGrid/>
              <w:spacing w:after="0" w:afterLines="0"/>
              <w:ind w:left="2880"/>
              <w:jc w:val="left"/>
              <w:textAlignment w:val="auto"/>
              <w:rPr>
                <w:rFonts w:ascii="Times New Roman" w:hAnsi="Times New Roman" w:eastAsia="Batang" w:cs="Times New Roman"/>
                <w:szCs w:val="20"/>
                <w:lang w:val="en-GB" w:eastAsia="en-US" w:bidi="ar-SA"/>
              </w:rPr>
            </w:pPr>
            <w:bookmarkStart w:id="4" w:name="_Hlk164286497"/>
            <w:r>
              <w:rPr>
                <w:rFonts w:ascii="Times New Roman" w:hAnsi="Times New Roman" w:eastAsia="Batang" w:cs="Times New Roman"/>
                <w:szCs w:val="20"/>
                <w:lang w:val="en-GB" w:eastAsia="en-US" w:bidi="ar-SA"/>
              </w:rPr>
              <w:t>Option A3: adaptation for SSB not on sync raster</w:t>
            </w:r>
          </w:p>
          <w:bookmarkEnd w:id="4"/>
          <w:p>
            <w:pPr>
              <w:keepNext w:val="0"/>
              <w:keepLines w:val="0"/>
              <w:pageBreakBefore w:val="0"/>
              <w:widowControl/>
              <w:numPr>
                <w:ilvl w:val="1"/>
                <w:numId w:val="6"/>
              </w:numPr>
              <w:tabs>
                <w:tab w:val="left" w:pos="1440"/>
              </w:tabs>
              <w:kinsoku/>
              <w:wordWrap/>
              <w:overflowPunct/>
              <w:topLinePunct w:val="0"/>
              <w:autoSpaceDE w:val="0"/>
              <w:autoSpaceDN w:val="0"/>
              <w:bidi w:val="0"/>
              <w:adjustRightInd/>
              <w:snapToGrid/>
              <w:spacing w:after="0" w:afterLines="0"/>
              <w:ind w:left="144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 xml:space="preserve">Rel-19 NES-capable UE’s SCell </w:t>
            </w:r>
          </w:p>
          <w:p>
            <w:pPr>
              <w:keepNext w:val="0"/>
              <w:keepLines w:val="0"/>
              <w:pageBreakBefore w:val="0"/>
              <w:widowControl/>
              <w:numPr>
                <w:ilvl w:val="2"/>
                <w:numId w:val="6"/>
              </w:numPr>
              <w:tabs>
                <w:tab w:val="left" w:pos="1440"/>
              </w:tabs>
              <w:kinsoku/>
              <w:wordWrap/>
              <w:overflowPunct/>
              <w:topLinePunct w:val="0"/>
              <w:autoSpaceDE w:val="0"/>
              <w:autoSpaceDN w:val="0"/>
              <w:bidi w:val="0"/>
              <w:adjustRightInd/>
              <w:snapToGrid/>
              <w:spacing w:after="0" w:afterLines="0"/>
              <w:ind w:left="216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Study from the following options:</w:t>
            </w:r>
          </w:p>
          <w:p>
            <w:pPr>
              <w:keepNext w:val="0"/>
              <w:keepLines w:val="0"/>
              <w:pageBreakBefore w:val="0"/>
              <w:widowControl/>
              <w:numPr>
                <w:ilvl w:val="3"/>
                <w:numId w:val="6"/>
              </w:numPr>
              <w:tabs>
                <w:tab w:val="left" w:pos="1440"/>
              </w:tabs>
              <w:kinsoku/>
              <w:wordWrap/>
              <w:overflowPunct/>
              <w:topLinePunct w:val="0"/>
              <w:autoSpaceDE w:val="0"/>
              <w:autoSpaceDN w:val="0"/>
              <w:bidi w:val="0"/>
              <w:adjustRightInd/>
              <w:snapToGrid/>
              <w:spacing w:after="0" w:afterLines="0"/>
              <w:ind w:left="288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Option B1: adaptation for CD-SSB</w:t>
            </w:r>
          </w:p>
          <w:p>
            <w:pPr>
              <w:keepNext w:val="0"/>
              <w:keepLines w:val="0"/>
              <w:pageBreakBefore w:val="0"/>
              <w:widowControl/>
              <w:numPr>
                <w:ilvl w:val="3"/>
                <w:numId w:val="6"/>
              </w:numPr>
              <w:tabs>
                <w:tab w:val="left" w:pos="1440"/>
              </w:tabs>
              <w:kinsoku/>
              <w:wordWrap/>
              <w:overflowPunct/>
              <w:topLinePunct w:val="0"/>
              <w:autoSpaceDE w:val="0"/>
              <w:autoSpaceDN w:val="0"/>
              <w:bidi w:val="0"/>
              <w:adjustRightInd/>
              <w:snapToGrid/>
              <w:spacing w:after="0" w:afterLines="0"/>
              <w:ind w:left="288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Option B2: adaptation for SSB that is not CD-SSB</w:t>
            </w:r>
          </w:p>
          <w:p>
            <w:pPr>
              <w:keepNext w:val="0"/>
              <w:keepLines w:val="0"/>
              <w:pageBreakBefore w:val="0"/>
              <w:widowControl/>
              <w:numPr>
                <w:ilvl w:val="3"/>
                <w:numId w:val="6"/>
              </w:numPr>
              <w:tabs>
                <w:tab w:val="left" w:pos="1440"/>
              </w:tabs>
              <w:kinsoku/>
              <w:wordWrap/>
              <w:overflowPunct/>
              <w:topLinePunct w:val="0"/>
              <w:autoSpaceDE w:val="0"/>
              <w:autoSpaceDN w:val="0"/>
              <w:bidi w:val="0"/>
              <w:adjustRightInd/>
              <w:snapToGrid/>
              <w:spacing w:after="0" w:afterLines="0"/>
              <w:ind w:left="288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Option B3: adaptation for SSB not on sync raster</w:t>
            </w:r>
          </w:p>
          <w:p>
            <w:pPr>
              <w:keepNext w:val="0"/>
              <w:keepLines w:val="0"/>
              <w:pageBreakBefore w:val="0"/>
              <w:widowControl/>
              <w:numPr>
                <w:ilvl w:val="1"/>
                <w:numId w:val="6"/>
              </w:numPr>
              <w:tabs>
                <w:tab w:val="left" w:pos="1440"/>
              </w:tabs>
              <w:kinsoku/>
              <w:wordWrap/>
              <w:overflowPunct/>
              <w:topLinePunct w:val="0"/>
              <w:autoSpaceDE w:val="0"/>
              <w:autoSpaceDN w:val="0"/>
              <w:bidi w:val="0"/>
              <w:adjustRightInd/>
              <w:snapToGrid/>
              <w:spacing w:after="0" w:afterLines="0"/>
              <w:ind w:left="1440"/>
              <w:jc w:val="left"/>
              <w:textAlignment w:val="auto"/>
              <w:rPr>
                <w:rFonts w:ascii="Times New Roman" w:hAnsi="Times New Roman" w:eastAsia="Batang" w:cs="Times New Roman"/>
                <w:szCs w:val="20"/>
                <w:lang w:val="en-GB" w:eastAsia="en-US" w:bidi="ar-SA"/>
              </w:rPr>
            </w:pPr>
            <w:r>
              <w:rPr>
                <w:rFonts w:ascii="Times New Roman" w:hAnsi="Times New Roman" w:eastAsia="Batang" w:cs="Times New Roman"/>
                <w:szCs w:val="20"/>
                <w:lang w:val="en-GB" w:eastAsia="en-US" w:bidi="ar-SA"/>
              </w:rPr>
              <w:t>FFS: Rel-19 NES-capable UE in idle/inactive mode</w:t>
            </w:r>
          </w:p>
          <w:p>
            <w:pPr>
              <w:keepNext w:val="0"/>
              <w:keepLines w:val="0"/>
              <w:pageBreakBefore w:val="0"/>
              <w:widowControl/>
              <w:numPr>
                <w:ilvl w:val="0"/>
                <w:numId w:val="6"/>
              </w:numPr>
              <w:tabs>
                <w:tab w:val="left" w:pos="800"/>
              </w:tabs>
              <w:kinsoku/>
              <w:wordWrap/>
              <w:overflowPunct/>
              <w:topLinePunct w:val="0"/>
              <w:autoSpaceDE w:val="0"/>
              <w:autoSpaceDN w:val="0"/>
              <w:bidi w:val="0"/>
              <w:adjustRightInd/>
              <w:snapToGrid/>
              <w:spacing w:after="0" w:afterLines="0"/>
              <w:ind w:left="720"/>
              <w:jc w:val="left"/>
              <w:textAlignment w:val="auto"/>
              <w:rPr>
                <w:rFonts w:hint="default"/>
                <w:vertAlign w:val="baseline"/>
                <w:lang w:val="en-US" w:eastAsia="zh-CN"/>
              </w:rPr>
            </w:pPr>
            <w:r>
              <w:rPr>
                <w:rFonts w:ascii="Times New Roman" w:hAnsi="Times New Roman" w:eastAsia="Batang" w:cs="Times New Roman"/>
                <w:szCs w:val="20"/>
                <w:lang w:val="en-GB" w:eastAsia="en-US" w:bidi="ar-SA"/>
              </w:rPr>
              <w:t xml:space="preserve">Note: Impact to idle/inactive UEs shall be minimized </w:t>
            </w:r>
          </w:p>
        </w:tc>
      </w:tr>
    </w:tbl>
    <w:p>
      <w:pPr>
        <w:bidi w:val="0"/>
        <w:rPr>
          <w:rFonts w:hint="default"/>
          <w:lang w:val="en-US" w:eastAsia="zh-CN"/>
        </w:rPr>
      </w:pPr>
    </w:p>
    <w:p>
      <w:pPr>
        <w:bidi w:val="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Based on the description of how cell-defining SSB and non-cell defining SSBs are used in TS 38.300, the following restrictions can be observed : </w:t>
      </w:r>
    </w:p>
    <w:p>
      <w:pPr>
        <w:numPr>
          <w:ilvl w:val="0"/>
          <w:numId w:val="7"/>
        </w:numPr>
        <w:bidi w:val="0"/>
        <w:ind w:left="425" w:leftChars="0" w:hanging="425" w:firstLineChars="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A PCell is always associated to a CD-SSB located on the sync raster. </w:t>
      </w:r>
    </w:p>
    <w:p>
      <w:pPr>
        <w:numPr>
          <w:ilvl w:val="0"/>
          <w:numId w:val="7"/>
        </w:numPr>
        <w:bidi w:val="0"/>
        <w:ind w:left="425" w:leftChars="0" w:hanging="425" w:firstLineChars="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For RRC_IDLE UEs, cell selection and cell reselection are always based on CD-SSBs located on the sync raster. </w:t>
      </w:r>
    </w:p>
    <w:p>
      <w:pPr>
        <w:numPr>
          <w:ilvl w:val="0"/>
          <w:numId w:val="7"/>
        </w:numPr>
        <w:bidi w:val="0"/>
        <w:ind w:left="425" w:leftChars="0" w:hanging="425" w:firstLineChars="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For RRC_INACTIVE UEs, cell reselection is always based on CD-SSBs located on the sync raster. </w:t>
      </w:r>
    </w:p>
    <w:p>
      <w:pPr>
        <w:bidi w:val="0"/>
        <w:rPr>
          <w:rFonts w:hint="default" w:ascii="Times New Roman Bold" w:hAnsi="Times New Roman Bold" w:cs="Times New Roman Bold"/>
          <w:b/>
          <w:bCs/>
          <w:lang w:val="en-US" w:eastAsia="zh-CN"/>
        </w:rPr>
      </w:pPr>
      <w:r>
        <w:rPr>
          <w:rFonts w:hint="default" w:ascii="Times New Roman" w:hAnsi="Times New Roman" w:cs="Times New Roman"/>
          <w:b w:val="0"/>
          <w:bCs w:val="0"/>
          <w:lang w:val="en-US" w:eastAsia="zh-CN"/>
        </w:rPr>
        <w:t xml:space="preserve">From network perspective, if the SSB allows IDLE/INACTIVE UE camping, but the adaptation is only supported for CONNECTED UEs, the network still cannot transmit these SSBs in a sparser way, thus has no energy saving gain. Therefore, from network energy saving perspective, there are following two directions: </w:t>
      </w:r>
    </w:p>
    <w:p>
      <w:pPr>
        <w:bidi w:val="0"/>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 xml:space="preserve">Direction 1: </w:t>
      </w:r>
      <w:r>
        <w:rPr>
          <w:rFonts w:hint="default" w:ascii="Times New Roman" w:hAnsi="Times New Roman" w:cs="Times New Roman"/>
          <w:b w:val="0"/>
          <w:bCs w:val="0"/>
          <w:lang w:val="en-US" w:eastAsia="zh-CN"/>
        </w:rPr>
        <w:t>SSB adaptation is</w:t>
      </w:r>
      <w:r>
        <w:rPr>
          <w:rFonts w:hint="default" w:cs="Times New Roman"/>
          <w:b w:val="0"/>
          <w:bCs w:val="0"/>
          <w:lang w:val="en-US" w:eastAsia="zh-CN"/>
        </w:rPr>
        <w:t xml:space="preserve"> only </w:t>
      </w:r>
      <w:r>
        <w:rPr>
          <w:rFonts w:hint="default" w:ascii="Times New Roman" w:hAnsi="Times New Roman" w:cs="Times New Roman"/>
          <w:b w:val="0"/>
          <w:bCs w:val="0"/>
          <w:lang w:val="en-US" w:eastAsia="zh-CN"/>
        </w:rPr>
        <w:t xml:space="preserve">supported for SSB that do not allow IDLE/INACTIVE UEs camping. </w:t>
      </w:r>
    </w:p>
    <w:p>
      <w:pPr>
        <w:bidi w:val="0"/>
        <w:rPr>
          <w:rFonts w:hint="default"/>
          <w:lang w:val="en-US" w:eastAsia="zh-CN"/>
        </w:rPr>
      </w:pPr>
      <w:r>
        <w:rPr>
          <w:rFonts w:hint="default" w:ascii="Times New Roman" w:hAnsi="Times New Roman" w:cs="Times New Roman"/>
          <w:b w:val="0"/>
          <w:bCs w:val="0"/>
          <w:lang w:val="en-US" w:eastAsia="zh-CN"/>
        </w:rPr>
        <w:t xml:space="preserve">Basically, in this direction, there will be no IDLE/INACTIVE UEs camping on these SSBs that can be adapted. </w:t>
      </w:r>
      <w:r>
        <w:rPr>
          <w:rFonts w:hint="default" w:cs="Times New Roman"/>
          <w:b w:val="0"/>
          <w:bCs w:val="0"/>
          <w:lang w:val="en-US" w:eastAsia="zh-CN"/>
        </w:rPr>
        <w:t xml:space="preserve">No enhancements for IDLE/INACTIVE UEs are needed. </w:t>
      </w:r>
      <w:r>
        <w:rPr>
          <w:rFonts w:hint="default"/>
          <w:lang w:val="en-US" w:eastAsia="zh-CN"/>
        </w:rPr>
        <w:t>CD-SSBs on the sync raster will be searched by IDLE UEs for initial cell selection, therefore, it means that</w:t>
      </w:r>
      <w:r>
        <w:rPr>
          <w:rFonts w:hint="default" w:cs="Times New Roman"/>
          <w:b w:val="0"/>
          <w:bCs w:val="0"/>
          <w:lang w:val="en-US" w:eastAsia="zh-CN"/>
        </w:rPr>
        <w:t xml:space="preserve"> the CD-SSBs on sync raster are not adapted. </w:t>
      </w:r>
      <w:r>
        <w:rPr>
          <w:rFonts w:hint="default"/>
          <w:lang w:val="en-US" w:eastAsia="zh-CN"/>
        </w:rPr>
        <w:t>Although from spec perspective it is allowed to set ‘cellBarred’ as ‘barred’ for IDLE/INACTIVE UEs, this actually increases UE cell search complexity and power consumption. The same applies for all SSBs on sync raster. For cell selection, UE searches on the sync rasters and reads until decoding PBCH to realize that the SSB is barred. If NW decides to adapt those SSBs on the sync raster, this would result in much more cell search complexity for UE to find a sync raster for accessing.</w:t>
      </w:r>
    </w:p>
    <w:p>
      <w:pPr>
        <w:bidi w:val="0"/>
        <w:rPr>
          <w:rFonts w:hint="default" w:ascii="Times New Roman Bold" w:hAnsi="Times New Roman Bold" w:cs="Times New Roman Bold"/>
          <w:b/>
          <w:bCs/>
          <w:lang w:val="en-US" w:eastAsia="zh-CN"/>
        </w:rPr>
      </w:pPr>
    </w:p>
    <w:p>
      <w:pPr>
        <w:bidi w:val="0"/>
        <w:rPr>
          <w:rFonts w:hint="default"/>
          <w:lang w:val="en-US" w:eastAsia="zh-CN"/>
        </w:rPr>
      </w:pPr>
      <w:r>
        <w:rPr>
          <w:rFonts w:hint="default" w:ascii="Times New Roman Bold" w:hAnsi="Times New Roman Bold" w:cs="Times New Roman Bold"/>
          <w:b/>
          <w:bCs/>
          <w:lang w:val="en-US" w:eastAsia="zh-CN"/>
        </w:rPr>
        <w:t xml:space="preserve">Observation 1: </w:t>
      </w:r>
      <w:r>
        <w:rPr>
          <w:rFonts w:hint="default" w:ascii="Times New Roman" w:hAnsi="Times New Roman" w:cs="Times New Roman"/>
          <w:b/>
          <w:bCs/>
          <w:lang w:val="en-US" w:eastAsia="zh-CN"/>
        </w:rPr>
        <w:t xml:space="preserve">From network perspective, if the SSB allows IDLE/INACTIVE UE camping, but the adaptation is only supported for CONNECTED UEs, the network still cannot transmit these SSBs in a sparser way, thus has no energy saving gain. </w:t>
      </w: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2: Setting ‘cellBarred’ as barred for SSBs on sync raster could avoid impact to IDLE/INACTIVE UEs, but may increase UE cell search complexity and UE power consumption. </w:t>
      </w:r>
    </w:p>
    <w:p>
      <w:pPr>
        <w:bidi w:val="0"/>
        <w:rPr>
          <w:rFonts w:hint="default" w:ascii="Times New Roman Bold" w:hAnsi="Times New Roman Bold" w:cs="Times New Roman Bold"/>
          <w:b/>
          <w:bCs/>
          <w:lang w:val="en-US" w:eastAsia="zh-CN"/>
        </w:rPr>
      </w:pPr>
    </w:p>
    <w:p>
      <w:pPr>
        <w:bidi w:val="0"/>
        <w:rPr>
          <w:rFonts w:hint="default" w:cs="Times New Roman"/>
          <w:b w:val="0"/>
          <w:bCs w:val="0"/>
          <w:lang w:val="en-US" w:eastAsia="zh-CN"/>
        </w:rPr>
      </w:pPr>
      <w:r>
        <w:rPr>
          <w:rFonts w:hint="default" w:ascii="Times New Roman Bold" w:hAnsi="Times New Roman Bold" w:cs="Times New Roman Bold"/>
          <w:b/>
          <w:bCs/>
          <w:lang w:val="en-US" w:eastAsia="zh-CN"/>
        </w:rPr>
        <w:t xml:space="preserve">Direction 2: </w:t>
      </w:r>
      <w:r>
        <w:rPr>
          <w:rFonts w:hint="default" w:cs="Times New Roman"/>
          <w:b w:val="0"/>
          <w:bCs w:val="0"/>
          <w:lang w:val="en-US" w:eastAsia="zh-CN"/>
        </w:rPr>
        <w:t>Adaptation is supported f</w:t>
      </w:r>
      <w:r>
        <w:rPr>
          <w:rFonts w:hint="default" w:ascii="Times New Roman" w:hAnsi="Times New Roman" w:cs="Times New Roman"/>
          <w:b w:val="0"/>
          <w:bCs w:val="0"/>
          <w:lang w:val="en-US" w:eastAsia="zh-CN"/>
        </w:rPr>
        <w:t>or SSB</w:t>
      </w:r>
      <w:r>
        <w:rPr>
          <w:rFonts w:hint="default" w:cs="Times New Roman"/>
          <w:b w:val="0"/>
          <w:bCs w:val="0"/>
          <w:lang w:val="en-US" w:eastAsia="zh-CN"/>
        </w:rPr>
        <w:t>s that allow IDLE/INACTIVE UEs camping, i.e. CD-SSB on sync raster. Then the impact envisioned for legacy IDLE/INACTIVE UEs and new IDLE/INACTIVE UEs  (R19 NES-capable UEs) are listed below:</w:t>
      </w:r>
    </w:p>
    <w:p>
      <w:pPr>
        <w:numPr>
          <w:ilvl w:val="0"/>
          <w:numId w:val="8"/>
        </w:numPr>
        <w:bidi w:val="0"/>
        <w:ind w:left="420" w:leftChars="0" w:hanging="420" w:firstLineChars="0"/>
        <w:rPr>
          <w:rFonts w:hint="default" w:cs="Times New Roman"/>
          <w:b w:val="0"/>
          <w:bCs w:val="0"/>
          <w:lang w:val="en-US" w:eastAsia="zh-CN"/>
        </w:rPr>
      </w:pPr>
      <w:r>
        <w:rPr>
          <w:rFonts w:hint="default" w:cs="Times New Roman"/>
          <w:b w:val="0"/>
          <w:bCs w:val="0"/>
          <w:lang w:val="en-US" w:eastAsia="zh-CN"/>
        </w:rPr>
        <w:t>Bar legacy IDLE/INACITVE UEs on these SSBs</w:t>
      </w:r>
    </w:p>
    <w:p>
      <w:pPr>
        <w:numPr>
          <w:ilvl w:val="0"/>
          <w:numId w:val="8"/>
        </w:numPr>
        <w:bidi w:val="0"/>
        <w:ind w:left="420" w:leftChars="0" w:hanging="420" w:firstLineChars="0"/>
        <w:rPr>
          <w:rFonts w:hint="default" w:cs="Times New Roman"/>
          <w:b w:val="0"/>
          <w:bCs w:val="0"/>
          <w:lang w:val="en-US" w:eastAsia="zh-CN"/>
        </w:rPr>
      </w:pPr>
      <w:r>
        <w:rPr>
          <w:rFonts w:hint="default" w:cs="Times New Roman"/>
          <w:b w:val="0"/>
          <w:bCs w:val="0"/>
          <w:lang w:val="en-US" w:eastAsia="zh-CN"/>
        </w:rPr>
        <w:t xml:space="preserve">Bar new IDLE/INACTIVE UEs for initial cell selection to the SSB. </w:t>
      </w:r>
    </w:p>
    <w:p>
      <w:pPr>
        <w:numPr>
          <w:ilvl w:val="1"/>
          <w:numId w:val="8"/>
        </w:numPr>
        <w:bidi w:val="0"/>
        <w:ind w:left="840" w:leftChars="0" w:hanging="420" w:firstLineChars="0"/>
        <w:rPr>
          <w:rFonts w:hint="default" w:cs="Times New Roman"/>
          <w:b w:val="0"/>
          <w:bCs w:val="0"/>
          <w:lang w:val="en-US" w:eastAsia="zh-CN"/>
        </w:rPr>
      </w:pPr>
      <w:r>
        <w:rPr>
          <w:rFonts w:hint="default" w:cs="Times New Roman"/>
          <w:b w:val="0"/>
          <w:bCs w:val="0"/>
          <w:lang w:val="en-US" w:eastAsia="zh-CN"/>
        </w:rPr>
        <w:t xml:space="preserve">This is to avoid impact to initial cell search so as not to increase of UE cell search complexity and power consumption. </w:t>
      </w:r>
    </w:p>
    <w:p>
      <w:pPr>
        <w:numPr>
          <w:ilvl w:val="0"/>
          <w:numId w:val="8"/>
        </w:numPr>
        <w:bidi w:val="0"/>
        <w:ind w:left="420" w:leftChars="0" w:hanging="420" w:firstLineChars="0"/>
        <w:rPr>
          <w:rFonts w:hint="default" w:cs="Times New Roman"/>
          <w:b w:val="0"/>
          <w:bCs w:val="0"/>
          <w:lang w:val="en-US" w:eastAsia="zh-CN"/>
        </w:rPr>
      </w:pPr>
      <w:r>
        <w:rPr>
          <w:rFonts w:hint="default" w:cs="Times New Roman"/>
          <w:b w:val="0"/>
          <w:bCs w:val="0"/>
          <w:lang w:val="en-US" w:eastAsia="zh-CN"/>
        </w:rPr>
        <w:t xml:space="preserve">Allow new IDLE/INACTIVE UEs to only perform cell reselection to the CD-SSB supporting adaptation </w:t>
      </w:r>
    </w:p>
    <w:p>
      <w:pPr>
        <w:numPr>
          <w:ilvl w:val="1"/>
          <w:numId w:val="8"/>
        </w:numPr>
        <w:bidi w:val="0"/>
        <w:ind w:left="840" w:leftChars="0" w:hanging="420" w:firstLineChars="0"/>
        <w:rPr>
          <w:rFonts w:hint="default" w:cs="Times New Roman"/>
          <w:b w:val="0"/>
          <w:bCs w:val="0"/>
          <w:lang w:val="en-US" w:eastAsia="zh-CN"/>
        </w:rPr>
      </w:pPr>
      <w:r>
        <w:rPr>
          <w:rFonts w:hint="default" w:cs="Times New Roman"/>
          <w:b w:val="0"/>
          <w:bCs w:val="0"/>
          <w:lang w:val="en-US" w:eastAsia="zh-CN"/>
        </w:rPr>
        <w:t xml:space="preserve">This would result in change of the IDLE UE’s cell selection and reselection criteria and procedure. </w:t>
      </w:r>
    </w:p>
    <w:p>
      <w:pPr>
        <w:numPr>
          <w:ilvl w:val="0"/>
          <w:numId w:val="8"/>
        </w:numPr>
        <w:bidi w:val="0"/>
        <w:ind w:left="420" w:leftChars="0" w:hanging="420" w:firstLineChars="0"/>
        <w:rPr>
          <w:rFonts w:hint="default" w:cs="Times New Roman"/>
          <w:b w:val="0"/>
          <w:bCs w:val="0"/>
          <w:lang w:val="en-US" w:eastAsia="zh-CN"/>
        </w:rPr>
      </w:pPr>
      <w:r>
        <w:rPr>
          <w:rFonts w:hint="default" w:cs="Times New Roman"/>
          <w:b w:val="0"/>
          <w:bCs w:val="0"/>
          <w:lang w:val="en-US" w:eastAsia="zh-CN"/>
        </w:rPr>
        <w:t xml:space="preserve">Indicate to the new IDLE/INACTIVE UEs of the SSB change, through SIB update or Paging. </w:t>
      </w:r>
    </w:p>
    <w:p>
      <w:pPr>
        <w:bidi w:val="0"/>
        <w:rPr>
          <w:rFonts w:hint="default" w:ascii="Times New Roman" w:hAnsi="Times New Roman" w:cs="Times New Roman"/>
          <w:b w:val="0"/>
          <w:bCs w:val="0"/>
          <w:lang w:val="en-US" w:eastAsia="zh-CN"/>
        </w:rPr>
      </w:pPr>
      <w:r>
        <w:rPr>
          <w:rFonts w:hint="default" w:cs="Times New Roman"/>
          <w:b w:val="0"/>
          <w:bCs w:val="0"/>
          <w:lang w:val="en-US" w:eastAsia="zh-CN"/>
        </w:rPr>
        <w:t>From the above impacts, it can be observed that the cell selection and reselection procedure will be changed for Rel-19 IDLE/INACTIVE UEs on the cell defined by the adapted SSBs. Moreover, for</w:t>
      </w:r>
      <w:r>
        <w:rPr>
          <w:rFonts w:hint="default" w:ascii="Times New Roman" w:hAnsi="Times New Roman" w:cs="Times New Roman"/>
          <w:b w:val="0"/>
          <w:bCs w:val="0"/>
          <w:lang w:val="en-US" w:eastAsia="zh-CN"/>
        </w:rPr>
        <w:t xml:space="preserve"> IDLE/INACTIVE UEs, the indication of the SSB adaptation could be based on SIB update (legacy) or Paging. The SIB update follows the SI modification period, which would be a multiple of default Paging cycle, configured as 2, 4, 8 or 16 in the BCCH-Config. It is possible that indication through Paging could provide relatively large NES gain when the </w:t>
      </w:r>
      <w:r>
        <w:t>modificationPeriodCoeff</w:t>
      </w:r>
      <w:r>
        <w:rPr>
          <w:rFonts w:hint="default"/>
          <w:lang w:val="en-US"/>
        </w:rPr>
        <w:t xml:space="preserve"> is set to 16, however if the value is configured as 2, the NES gain would be small compared with the spec effort and UE implementation effort. </w:t>
      </w:r>
    </w:p>
    <w:p>
      <w:pPr>
        <w:pStyle w:val="50"/>
      </w:pPr>
      <w:r>
        <w:t xml:space="preserve">BCCH-Config ::=                 </w:t>
      </w:r>
      <w:r>
        <w:rPr>
          <w:color w:val="993366"/>
        </w:rPr>
        <w:t>SEQUENCE</w:t>
      </w:r>
      <w:r>
        <w:t xml:space="preserve"> {</w:t>
      </w:r>
    </w:p>
    <w:p>
      <w:pPr>
        <w:pStyle w:val="50"/>
      </w:pPr>
      <w:r>
        <w:t xml:space="preserve">    modificationPeriodCoeff         </w:t>
      </w:r>
      <w:r>
        <w:rPr>
          <w:color w:val="993366"/>
        </w:rPr>
        <w:t>ENUMERATED</w:t>
      </w:r>
      <w:r>
        <w:t xml:space="preserve"> {n2, n4, n8, n16},</w:t>
      </w:r>
    </w:p>
    <w:p>
      <w:pPr>
        <w:pStyle w:val="50"/>
      </w:pPr>
      <w:r>
        <w:t xml:space="preserve">    ...</w:t>
      </w:r>
    </w:p>
    <w:p>
      <w:pPr>
        <w:pStyle w:val="50"/>
      </w:pPr>
      <w:r>
        <w:t>}</w:t>
      </w:r>
    </w:p>
    <w:p>
      <w:pPr>
        <w:bidi w:val="0"/>
        <w:rPr>
          <w:rFonts w:hint="default" w:ascii="Times New Roman" w:hAnsi="Times New Roman" w:cs="Times New Roman"/>
          <w:b w:val="0"/>
          <w:bCs w:val="0"/>
          <w:lang w:val="en-US" w:eastAsia="zh-CN"/>
        </w:rPr>
      </w:pPr>
    </w:p>
    <w:p>
      <w:pPr>
        <w:bidi w:val="0"/>
        <w:rPr>
          <w:rFonts w:hint="default" w:ascii="Times New Roman" w:hAnsi="Times New Roman" w:cs="Times New Roman"/>
          <w:b/>
          <w:bCs/>
          <w:lang w:val="en-US" w:eastAsia="zh-CN"/>
        </w:rPr>
      </w:pPr>
      <w:r>
        <w:rPr>
          <w:rFonts w:hint="default" w:ascii="Times New Roman Bold" w:hAnsi="Times New Roman Bold" w:cs="Times New Roman Bold"/>
          <w:b/>
          <w:bCs/>
          <w:lang w:val="en-US" w:eastAsia="zh-CN"/>
        </w:rPr>
        <w:t>Observation 3:</w:t>
      </w:r>
      <w:r>
        <w:rPr>
          <w:rFonts w:hint="default" w:ascii="Times New Roman" w:hAnsi="Times New Roman" w:cs="Times New Roman"/>
          <w:b/>
          <w:bCs/>
          <w:lang w:val="en-US" w:eastAsia="zh-CN"/>
        </w:rPr>
        <w:t xml:space="preserve"> The enhancements to support SSB adaptation for IDLE/INACTIVE UEs include at least allowing only cell reselection to the SSBs supporting the adaptation, which has impact on cell selection and reselection </w:t>
      </w:r>
      <w:r>
        <w:rPr>
          <w:rFonts w:hint="default" w:cs="Times New Roman"/>
          <w:b/>
          <w:bCs/>
          <w:lang w:val="en-US" w:eastAsia="zh-CN"/>
        </w:rPr>
        <w:t xml:space="preserve">criteria and </w:t>
      </w:r>
      <w:r>
        <w:rPr>
          <w:rFonts w:hint="default" w:ascii="Times New Roman" w:hAnsi="Times New Roman" w:cs="Times New Roman"/>
          <w:b/>
          <w:bCs/>
          <w:lang w:val="en-US" w:eastAsia="zh-CN"/>
        </w:rPr>
        <w:t>procedure for IDLE/INACITVE UEs</w:t>
      </w:r>
      <w:r>
        <w:rPr>
          <w:rFonts w:hint="default" w:cs="Times New Roman"/>
          <w:b/>
          <w:bCs/>
          <w:lang w:val="en-US" w:eastAsia="zh-CN"/>
        </w:rPr>
        <w:t>.</w:t>
      </w:r>
    </w:p>
    <w:p>
      <w:pPr>
        <w:bidi w:val="0"/>
        <w:rPr>
          <w:rFonts w:hint="default" w:ascii="Times New Roman Bold" w:hAnsi="Times New Roman Bold" w:cs="Times New Roman Bold"/>
          <w:b/>
          <w:bCs/>
          <w:lang w:val="en-US" w:eastAsia="zh-CN"/>
        </w:rPr>
      </w:pPr>
    </w:p>
    <w:p>
      <w:pPr>
        <w:bidi w:val="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Based on the above analysis and observation, considering the impact on UE cell selection complexity and power consumption, we have the following proposal: </w:t>
      </w: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Support SSB adaptation for CONNECTED UEs only, and support Option B3, adaptation for SSB not on the sync raster. </w:t>
      </w:r>
    </w:p>
    <w:p>
      <w:pPr>
        <w:pStyle w:val="3"/>
        <w:numPr>
          <w:ilvl w:val="1"/>
          <w:numId w:val="3"/>
        </w:numPr>
        <w:bidi w:val="0"/>
        <w:ind w:left="576" w:leftChars="0" w:hanging="576" w:firstLineChars="0"/>
        <w:rPr>
          <w:rFonts w:hint="default"/>
          <w:lang w:val="en-US" w:eastAsia="zh-CN"/>
        </w:rPr>
      </w:pPr>
      <w:r>
        <w:rPr>
          <w:rFonts w:hint="default" w:ascii="Times New Roman" w:hAnsi="Times New Roman" w:cs="Times New Roman"/>
          <w:b w:val="0"/>
          <w:bCs w:val="0"/>
          <w:i w:val="0"/>
          <w:iCs w:val="0"/>
          <w:lang w:val="en-US" w:eastAsia="sv-SE"/>
        </w:rPr>
        <w:t xml:space="preserve"> SSB adaptation mechanisms</w:t>
      </w:r>
    </w:p>
    <w:p>
      <w:pPr>
        <w:bidi w:val="0"/>
        <w:rPr>
          <w:rFonts w:hint="default"/>
          <w:lang w:val="en-US" w:eastAsia="zh-CN"/>
        </w:rPr>
      </w:pPr>
      <w:r>
        <w:rPr>
          <w:rFonts w:hint="default"/>
          <w:lang w:val="en-US" w:eastAsia="zh-CN"/>
        </w:rPr>
        <w:t xml:space="preserve">In RAN1 #116, there were also agreements on the potential SSB adaptation mechanisms to be further studied: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autoSpaceDE/>
              <w:autoSpaceDN/>
              <w:spacing w:after="0" w:afterLines="-2147483648"/>
              <w:ind w:left="1440" w:hanging="1440"/>
              <w:jc w:val="left"/>
              <w:rPr>
                <w:rFonts w:ascii="Times" w:hAnsi="Times" w:eastAsia="Batang"/>
                <w:b/>
                <w:bCs/>
                <w:szCs w:val="24"/>
                <w:highlight w:val="green"/>
              </w:rPr>
            </w:pPr>
            <w:r>
              <w:rPr>
                <w:rFonts w:ascii="Times" w:hAnsi="Times" w:eastAsia="Batang"/>
                <w:b/>
                <w:bCs/>
                <w:szCs w:val="24"/>
                <w:highlight w:val="green"/>
              </w:rPr>
              <w:t>Agreement</w:t>
            </w:r>
          </w:p>
          <w:p>
            <w:pPr>
              <w:tabs>
                <w:tab w:val="left" w:pos="1440"/>
              </w:tabs>
              <w:autoSpaceDE/>
              <w:autoSpaceDN/>
              <w:spacing w:after="0" w:afterLines="-2147483648"/>
              <w:ind w:left="1440" w:hanging="1440"/>
              <w:jc w:val="left"/>
              <w:rPr>
                <w:rFonts w:ascii="Times" w:hAnsi="Times" w:eastAsia="Batang" w:cs="Times"/>
                <w:szCs w:val="20"/>
              </w:rPr>
            </w:pPr>
            <w:r>
              <w:rPr>
                <w:rFonts w:ascii="Times" w:hAnsi="Times" w:eastAsia="Batang" w:cs="Times"/>
                <w:szCs w:val="20"/>
              </w:rPr>
              <w:t xml:space="preserve">For adaptation of SSB in time-domain, consider the following adaptation mechanisms for further study </w:t>
            </w:r>
          </w:p>
          <w:p>
            <w:pPr>
              <w:numPr>
                <w:ilvl w:val="0"/>
                <w:numId w:val="9"/>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Adaptation of SSB burst periodicity</w:t>
            </w:r>
          </w:p>
          <w:p>
            <w:pPr>
              <w:numPr>
                <w:ilvl w:val="0"/>
                <w:numId w:val="9"/>
              </w:numPr>
              <w:tabs>
                <w:tab w:val="left" w:pos="800"/>
              </w:tabs>
              <w:suppressAutoHyphens/>
              <w:spacing w:after="0" w:line="252" w:lineRule="auto"/>
              <w:ind w:left="720" w:hanging="360"/>
              <w:jc w:val="both"/>
              <w:rPr>
                <w:rFonts w:ascii="Times" w:hAnsi="Times" w:eastAsia="Batang" w:cs="Times"/>
                <w:color w:val="auto"/>
                <w:szCs w:val="20"/>
                <w:lang w:val="en-GB" w:eastAsia="zh-CN" w:bidi="ar-SA"/>
              </w:rPr>
            </w:pPr>
            <w:r>
              <w:rPr>
                <w:rFonts w:ascii="Times" w:hAnsi="Times" w:eastAsia="Batang" w:cs="Times"/>
                <w:color w:val="auto"/>
                <w:szCs w:val="20"/>
                <w:lang w:val="en-GB" w:eastAsia="zh-CN" w:bidi="ar-SA"/>
              </w:rPr>
              <w:t>Adaptation based on two SSB configurations where up to two configurations can be active</w:t>
            </w:r>
          </w:p>
          <w:p>
            <w:pPr>
              <w:numPr>
                <w:ilvl w:val="0"/>
                <w:numId w:val="9"/>
              </w:numPr>
              <w:tabs>
                <w:tab w:val="left" w:pos="800"/>
              </w:tabs>
              <w:autoSpaceDE/>
              <w:autoSpaceDN/>
              <w:spacing w:after="0" w:afterLines="-2147483648"/>
              <w:ind w:left="720" w:hanging="360"/>
              <w:jc w:val="left"/>
              <w:rPr>
                <w:rFonts w:ascii="Times" w:hAnsi="Times" w:eastAsia="Batang" w:cs="Times"/>
                <w:szCs w:val="20"/>
              </w:rPr>
            </w:pPr>
            <w:r>
              <w:rPr>
                <w:rFonts w:ascii="Times" w:hAnsi="Times" w:eastAsia="Batang" w:cs="Times"/>
                <w:szCs w:val="20"/>
              </w:rPr>
              <w:t>Adaptation based on skipping/transmitting some SSB bursts non-uniformly with single SSB configuration</w:t>
            </w:r>
          </w:p>
          <w:p>
            <w:pPr>
              <w:numPr>
                <w:ilvl w:val="0"/>
                <w:numId w:val="9"/>
              </w:numPr>
              <w:tabs>
                <w:tab w:val="left" w:pos="800"/>
              </w:tabs>
              <w:autoSpaceDE/>
              <w:autoSpaceDN/>
              <w:spacing w:after="0" w:afterLines="-2147483648"/>
              <w:ind w:left="720" w:hanging="360"/>
              <w:jc w:val="left"/>
              <w:rPr>
                <w:rFonts w:ascii="Times" w:hAnsi="Times" w:eastAsia="Batang" w:cs="Times"/>
                <w:szCs w:val="20"/>
              </w:rPr>
            </w:pPr>
            <w:r>
              <w:rPr>
                <w:rFonts w:ascii="Times" w:hAnsi="Times" w:eastAsia="Batang" w:cs="Times"/>
                <w:szCs w:val="20"/>
              </w:rPr>
              <w:t>Adapting the transmitted number of SSBs within a SSB burst</w:t>
            </w:r>
          </w:p>
          <w:p>
            <w:pPr>
              <w:numPr>
                <w:ilvl w:val="0"/>
                <w:numId w:val="9"/>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Cell DTX for SSB adaptation</w:t>
            </w:r>
          </w:p>
          <w:p>
            <w:pPr>
              <w:numPr>
                <w:ilvl w:val="0"/>
                <w:numId w:val="9"/>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Whether to support new SSB burst periodicity value(s)</w:t>
            </w:r>
          </w:p>
          <w:p>
            <w:pPr>
              <w:numPr>
                <w:ilvl w:val="0"/>
                <w:numId w:val="9"/>
              </w:numPr>
              <w:tabs>
                <w:tab w:val="left" w:pos="800"/>
              </w:tabs>
              <w:suppressAutoHyphens/>
              <w:spacing w:after="0" w:line="252" w:lineRule="auto"/>
              <w:ind w:left="720" w:hanging="360"/>
              <w:jc w:val="both"/>
              <w:rPr>
                <w:rFonts w:ascii="Times" w:hAnsi="Times" w:eastAsia="Batang" w:cs="Times"/>
                <w:szCs w:val="20"/>
                <w:lang w:val="en-GB" w:eastAsia="zh-CN" w:bidi="ar-SA"/>
              </w:rPr>
            </w:pPr>
            <w:r>
              <w:rPr>
                <w:rFonts w:ascii="Times" w:hAnsi="Times" w:eastAsia="Batang" w:cs="Times"/>
                <w:szCs w:val="20"/>
                <w:lang w:val="en-GB" w:eastAsia="zh-CN" w:bidi="ar-SA"/>
              </w:rPr>
              <w:t>Whether to support new SSB burst(s) (i.e. how SSB transmission is made within a burst)</w:t>
            </w:r>
          </w:p>
          <w:p>
            <w:pPr>
              <w:numPr>
                <w:ilvl w:val="1"/>
                <w:numId w:val="9"/>
              </w:numPr>
              <w:tabs>
                <w:tab w:val="left" w:pos="800"/>
              </w:tabs>
              <w:suppressAutoHyphens/>
              <w:spacing w:after="0" w:line="252" w:lineRule="auto"/>
              <w:ind w:left="1440" w:hanging="360"/>
              <w:jc w:val="both"/>
              <w:rPr>
                <w:rFonts w:ascii="Times" w:hAnsi="Times" w:eastAsia="Batang" w:cs="Times"/>
                <w:szCs w:val="20"/>
                <w:lang w:val="en-GB" w:eastAsia="zh-CN" w:bidi="ar-SA"/>
              </w:rPr>
            </w:pPr>
            <w:r>
              <w:rPr>
                <w:rFonts w:ascii="Times" w:hAnsi="Times" w:eastAsia="Batang" w:cs="Times"/>
                <w:szCs w:val="20"/>
                <w:lang w:val="en-GB" w:eastAsia="zh-CN" w:bidi="ar-SA"/>
              </w:rPr>
              <w:t xml:space="preserve">New compact SSB burst(s) </w:t>
            </w:r>
          </w:p>
          <w:p>
            <w:pPr>
              <w:numPr>
                <w:ilvl w:val="1"/>
                <w:numId w:val="9"/>
              </w:numPr>
              <w:tabs>
                <w:tab w:val="left" w:pos="800"/>
              </w:tabs>
              <w:suppressAutoHyphens/>
              <w:spacing w:after="0" w:line="252" w:lineRule="auto"/>
              <w:ind w:left="1440" w:hanging="360"/>
              <w:jc w:val="both"/>
              <w:rPr>
                <w:rFonts w:ascii="Times" w:hAnsi="Times" w:eastAsia="Batang" w:cs="Times"/>
                <w:szCs w:val="20"/>
                <w:lang w:val="en-GB" w:eastAsia="zh-CN" w:bidi="ar-SA"/>
              </w:rPr>
            </w:pPr>
            <w:r>
              <w:rPr>
                <w:rFonts w:ascii="Times" w:hAnsi="Times" w:eastAsia="Batang" w:cs="Times"/>
                <w:szCs w:val="20"/>
                <w:lang w:val="en-GB" w:eastAsia="zh-CN" w:bidi="ar-SA"/>
              </w:rPr>
              <w:t>Adapting the position of SSBs within a SSB burst</w:t>
            </w:r>
          </w:p>
          <w:p>
            <w:pPr>
              <w:numPr>
                <w:ilvl w:val="0"/>
                <w:numId w:val="9"/>
              </w:numPr>
              <w:tabs>
                <w:tab w:val="left" w:pos="800"/>
              </w:tabs>
              <w:suppressAutoHyphens/>
              <w:spacing w:after="0" w:line="252" w:lineRule="auto"/>
              <w:ind w:left="720" w:hanging="360"/>
              <w:jc w:val="both"/>
              <w:rPr>
                <w:rFonts w:hint="default"/>
                <w:vertAlign w:val="baseline"/>
                <w:lang w:val="en-US" w:eastAsia="zh-CN"/>
              </w:rPr>
            </w:pPr>
            <w:r>
              <w:rPr>
                <w:rFonts w:ascii="Times" w:hAnsi="Times" w:eastAsia="Batang" w:cs="Times"/>
                <w:szCs w:val="20"/>
                <w:lang w:val="en-GB" w:eastAsia="zh-CN" w:bidi="ar-SA"/>
              </w:rPr>
              <w:t>Other mechanisms/combinations are not precluded</w:t>
            </w:r>
          </w:p>
        </w:tc>
      </w:tr>
    </w:tbl>
    <w:p>
      <w:pPr>
        <w:numPr>
          <w:ilvl w:val="-1"/>
          <w:numId w:val="0"/>
        </w:numPr>
        <w:bidi w:val="0"/>
        <w:spacing w:after="180"/>
        <w:ind w:left="0" w:leftChars="0" w:firstLine="0"/>
        <w:rPr>
          <w:rFonts w:hint="default"/>
          <w:lang w:val="en-US" w:eastAsia="sv-SE"/>
        </w:rPr>
      </w:pPr>
    </w:p>
    <w:p>
      <w:pPr>
        <w:numPr>
          <w:ilvl w:val="-1"/>
          <w:numId w:val="0"/>
        </w:numPr>
        <w:bidi w:val="0"/>
        <w:spacing w:after="180"/>
        <w:ind w:left="0" w:leftChars="0" w:firstLine="0"/>
        <w:rPr>
          <w:rFonts w:hint="default"/>
          <w:lang w:val="en-US" w:eastAsia="sv-SE"/>
        </w:rPr>
      </w:pPr>
      <w:r>
        <w:rPr>
          <w:rFonts w:hint="default"/>
          <w:lang w:val="en-US" w:eastAsia="sv-SE"/>
        </w:rPr>
        <w:t xml:space="preserve">For SSB periodicity adaptation, if the adaptation is applied to IDLE/INACTIVE UEs, the introduction of new SSB burst periodicity values would largely impact UEs measurement performance including serving cell measurement, neighbor cell measurement as well as RLM and BFD, this change at a very late phase of NR design should be avoided. </w:t>
      </w:r>
    </w:p>
    <w:p>
      <w:pPr>
        <w:numPr>
          <w:ilvl w:val="-1"/>
          <w:numId w:val="0"/>
        </w:numPr>
        <w:bidi w:val="0"/>
        <w:spacing w:after="180"/>
        <w:ind w:left="0" w:leftChars="0" w:firstLine="0"/>
        <w:rPr>
          <w:rFonts w:hint="default"/>
          <w:lang w:val="en-US" w:eastAsia="sv-SE"/>
        </w:rPr>
      </w:pPr>
      <w:r>
        <w:rPr>
          <w:rFonts w:hint="default"/>
          <w:lang w:val="en-US" w:eastAsia="sv-SE"/>
        </w:rPr>
        <w:t xml:space="preserve">If the adaptation is applied to CONNECTED UEs, according to our proposal 1, the adaptation on NCD-SSBs or CD-SSB not on the sync raster can be considered. It is noted that the NCD-SSB is mainly used for UEs to perform serving cell measurement, neighbor cell measurement as well as RLM and BFD on the active BWP that does not contain CD-SSBs. We consider it important to maintain the measurement performance on the PCell. For the SCell, some relaxation may be considered together with the on-demand SSB operation to ensure UE’s sync and measurement performance..  </w:t>
      </w:r>
    </w:p>
    <w:p>
      <w:pPr>
        <w:numPr>
          <w:ilvl w:val="-1"/>
          <w:numId w:val="0"/>
        </w:numPr>
        <w:bidi w:val="0"/>
        <w:spacing w:after="180"/>
        <w:ind w:left="0" w:leftChars="0" w:firstLine="0"/>
        <w:rPr>
          <w:rFonts w:hint="default"/>
          <w:lang w:val="en-US" w:eastAsia="sv-SE"/>
        </w:rPr>
      </w:pPr>
      <w:r>
        <w:rPr>
          <w:rFonts w:hint="default"/>
          <w:lang w:val="en-US" w:eastAsia="sv-SE"/>
        </w:rPr>
        <w:t xml:space="preserve">For smaller values of SSB periodicity, for the purpose of fast SCell activation, as long as the SSB burst structure is not changed, we consider it also a potential direction to be supported. </w:t>
      </w:r>
    </w:p>
    <w:p>
      <w:pPr>
        <w:numPr>
          <w:ilvl w:val="-1"/>
          <w:numId w:val="0"/>
        </w:numPr>
        <w:bidi w:val="0"/>
        <w:spacing w:after="180"/>
        <w:ind w:left="0" w:leftChars="0" w:firstLine="0"/>
        <w:rPr>
          <w:rFonts w:hint="default"/>
          <w:lang w:val="en-US" w:eastAsia="sv-SE"/>
        </w:rPr>
      </w:pPr>
      <w:r>
        <w:rPr>
          <w:rFonts w:hint="default" w:ascii="Times New Roman Bold" w:hAnsi="Times New Roman Bold" w:cs="Times New Roman Bold"/>
          <w:b/>
          <w:bCs/>
          <w:lang w:val="en-US" w:eastAsia="sv-SE"/>
        </w:rPr>
        <w:t>Proposal 2: Support SSB periodicity adaptation, where the supported periodicity values are considered as follows</w:t>
      </w:r>
      <w:r>
        <w:rPr>
          <w:rFonts w:hint="default"/>
          <w:lang w:val="en-US" w:eastAsia="sv-SE"/>
        </w:rPr>
        <w:t xml:space="preserve">: </w:t>
      </w:r>
    </w:p>
    <w:p>
      <w:pPr>
        <w:numPr>
          <w:ilvl w:val="0"/>
          <w:numId w:val="10"/>
        </w:numPr>
        <w:bidi w:val="0"/>
        <w:spacing w:after="180"/>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If SSB adaptation is supported CONNECTED UE’s PCell, no new SSB periodicity values should be allowed. </w:t>
      </w:r>
    </w:p>
    <w:p>
      <w:pPr>
        <w:numPr>
          <w:ilvl w:val="0"/>
          <w:numId w:val="10"/>
        </w:numPr>
        <w:bidi w:val="0"/>
        <w:spacing w:after="180"/>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If SSB adaptation is only supported for CONNECTED UEs and on NCD-SSBs or CD-SSBs not on sync raster on SCell, larger periodicity values may be considered. </w:t>
      </w:r>
    </w:p>
    <w:p>
      <w:pPr>
        <w:numPr>
          <w:ilvl w:val="0"/>
          <w:numId w:val="10"/>
        </w:numPr>
        <w:bidi w:val="0"/>
        <w:spacing w:after="180"/>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Smaller values of the SSB periodicity could be considered to enable faster SCell activation with the condition that the SSB burst structure is not changed. </w:t>
      </w:r>
    </w:p>
    <w:p>
      <w:pPr>
        <w:numPr>
          <w:ilvl w:val="-1"/>
          <w:numId w:val="0"/>
        </w:numPr>
        <w:bidi w:val="0"/>
        <w:spacing w:after="180"/>
        <w:ind w:left="0" w:leftChars="0" w:firstLine="0"/>
        <w:rPr>
          <w:rFonts w:hint="default"/>
          <w:lang w:val="en-US" w:eastAsia="sv-SE"/>
        </w:rPr>
      </w:pPr>
    </w:p>
    <w:p>
      <w:pPr>
        <w:numPr>
          <w:ilvl w:val="-1"/>
          <w:numId w:val="0"/>
        </w:numPr>
        <w:bidi w:val="0"/>
        <w:spacing w:after="180"/>
        <w:ind w:left="0" w:leftChars="0" w:firstLine="0"/>
        <w:rPr>
          <w:rFonts w:hint="default"/>
          <w:lang w:val="en-US" w:eastAsia="sv-SE"/>
        </w:rPr>
      </w:pPr>
      <w:r>
        <w:rPr>
          <w:rFonts w:hint="default"/>
          <w:lang w:val="en-US" w:eastAsia="sv-SE"/>
        </w:rPr>
        <w:t>There were also proposals to skip some SSB burst to result in non-uniformly transmitted SSB patterns, or to adapt the transmitted number of SSBs within a burst. On one hand, we consider the incremental NES gain of the above schemes compared with the SSB burst periodicity adaptation is marginal, on the other hand, they would also introduce large impact to UE measurement performance, which is also preferred to be avoided.</w:t>
      </w:r>
    </w:p>
    <w:p>
      <w:pPr>
        <w:bidi w:val="0"/>
        <w:rPr>
          <w:rFonts w:hint="default"/>
          <w:b/>
          <w:bCs/>
          <w:i w:val="0"/>
          <w:iCs/>
          <w:szCs w:val="22"/>
          <w:lang w:val="en-US" w:eastAsia="zh-CN"/>
        </w:rPr>
      </w:pPr>
      <w:r>
        <w:rPr>
          <w:rFonts w:hint="default" w:ascii="Times New Roman Bold" w:hAnsi="Times New Roman Bold" w:cs="Times New Roman Bold"/>
          <w:b/>
          <w:bCs/>
          <w:i w:val="0"/>
          <w:iCs/>
          <w:szCs w:val="22"/>
          <w:lang w:val="en-US" w:eastAsia="zh-CN"/>
        </w:rPr>
        <w:t xml:space="preserve">Proposal 3: </w:t>
      </w:r>
      <w:r>
        <w:rPr>
          <w:rFonts w:hint="default"/>
          <w:b/>
          <w:bCs/>
          <w:i w:val="0"/>
          <w:iCs/>
          <w:szCs w:val="22"/>
          <w:lang w:val="en-US" w:eastAsia="zh-CN"/>
        </w:rPr>
        <w:t xml:space="preserve">Considering the impact on UE measurement assumption and performance, do not support non-uniform SSB burst skipping. </w:t>
      </w:r>
    </w:p>
    <w:p>
      <w:pPr>
        <w:bidi w:val="0"/>
        <w:rPr>
          <w:rFonts w:hint="default"/>
          <w:i w:val="0"/>
          <w:iCs/>
          <w:szCs w:val="22"/>
          <w:lang w:val="en-US" w:eastAsia="zh-CN"/>
        </w:rPr>
      </w:pPr>
    </w:p>
    <w:p>
      <w:pPr>
        <w:bidi w:val="0"/>
        <w:rPr>
          <w:rFonts w:hint="default"/>
          <w:i w:val="0"/>
          <w:iCs/>
          <w:szCs w:val="22"/>
          <w:lang w:val="en-US" w:eastAsia="zh-CN"/>
        </w:rPr>
      </w:pPr>
    </w:p>
    <w:p>
      <w:pPr>
        <w:bidi w:val="0"/>
        <w:rPr>
          <w:rFonts w:hint="default"/>
          <w:i w:val="0"/>
          <w:iCs/>
          <w:szCs w:val="22"/>
          <w:lang w:val="en-US" w:eastAsia="zh-CN"/>
        </w:rPr>
      </w:pPr>
      <w:r>
        <w:rPr>
          <w:rFonts w:hint="default"/>
          <w:i w:val="0"/>
          <w:iCs/>
          <w:szCs w:val="22"/>
          <w:lang w:val="en-US" w:eastAsia="zh-CN"/>
        </w:rPr>
        <w:t>For SSB burst periodicity adaptation, after receiving the indication, the effective time of the change should be defined. The time gap between UE receiving the indication of SSB adaptation and UE assuming the SSB periodicity change shall be above certain value (value can be FFS) to give UE sufficient preparation time to implement new RRM behavior on new SSB periodicity. Note that in current spec, SSB periodicity adaptation can be achieved by using RRC reconfiguration, which allows 10ms processing and application. The exact values can be determined after determining the scenarios.</w:t>
      </w:r>
    </w:p>
    <w:p>
      <w:pPr>
        <w:bidi w:val="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 xml:space="preserve">Proposal 4: </w:t>
      </w:r>
      <w:r>
        <w:rPr>
          <w:rFonts w:hint="default"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PRACH adaptation</w:t>
      </w:r>
      <w:r>
        <w:rPr>
          <w:rFonts w:ascii="Times New Roman" w:hAnsi="Times New Roman" w:eastAsia="Malgun Gothic" w:cs="Times New Roman"/>
          <w:sz w:val="36"/>
          <w:szCs w:val="36"/>
          <w:lang w:val="en-US" w:eastAsia="zh-CN" w:bidi="ar-SA"/>
        </w:rPr>
        <w:t xml:space="preserve"> </w:t>
      </w: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PRACH adaptation in time domain</w:t>
      </w:r>
    </w:p>
    <w:p>
      <w:pPr>
        <w:rPr>
          <w:rFonts w:hint="default" w:cs="Times New Roman"/>
          <w:b w:val="0"/>
          <w:bCs w:val="0"/>
          <w:i w:val="0"/>
          <w:iCs w:val="0"/>
          <w:lang w:val="en-US" w:eastAsia="sv-SE"/>
        </w:rPr>
      </w:pPr>
      <w:r>
        <w:rPr>
          <w:rFonts w:hint="default" w:cs="Times New Roman"/>
          <w:b w:val="0"/>
          <w:bCs w:val="0"/>
          <w:i w:val="0"/>
          <w:iCs w:val="0"/>
          <w:lang w:val="en-US" w:eastAsia="sv-SE"/>
        </w:rPr>
        <w:t xml:space="preserve">For adaptation of PRACH in time domain, in RAN1 #116bis, the following agreements were made: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b/>
                <w:bCs/>
                <w:highlight w:val="green"/>
              </w:rPr>
            </w:pPr>
            <w:r>
              <w:rPr>
                <w:rFonts w:eastAsia="Batang" w:cs="Times New Roman"/>
                <w:b/>
                <w:bCs/>
                <w:highlight w:val="green"/>
              </w:rPr>
              <w:t>Agreement</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 xml:space="preserve">For adaptation of PRACH in time-domain, </w:t>
            </w:r>
            <w:r>
              <w:rPr>
                <w:rFonts w:ascii="Times New Roman" w:hAnsi="Times New Roman" w:eastAsia="Batang" w:cs="Times New Roman"/>
                <w:color w:val="FF0000"/>
                <w:szCs w:val="24"/>
                <w:lang w:val="en-GB" w:eastAsia="en-US" w:bidi="ar-SA"/>
              </w:rPr>
              <w:t xml:space="preserve">support </w:t>
            </w:r>
            <w:r>
              <w:rPr>
                <w:rFonts w:ascii="Times New Roman" w:hAnsi="Times New Roman" w:eastAsia="Batang" w:cs="Times New Roman"/>
                <w:szCs w:val="24"/>
                <w:lang w:val="en-GB" w:eastAsia="en-US" w:bidi="ar-SA"/>
              </w:rPr>
              <w:t xml:space="preserve">at least the following: </w:t>
            </w:r>
          </w:p>
          <w:p>
            <w:pPr>
              <w:keepNext w:val="0"/>
              <w:keepLines w:val="0"/>
              <w:pageBreakBefore w:val="0"/>
              <w:widowControl/>
              <w:numPr>
                <w:ilvl w:val="0"/>
                <w:numId w:val="11"/>
              </w:numPr>
              <w:tabs>
                <w:tab w:val="left" w:pos="800"/>
              </w:tabs>
              <w:kinsoku/>
              <w:wordWrap/>
              <w:overflowPunct/>
              <w:topLinePunct w:val="0"/>
              <w:autoSpaceDE w:val="0"/>
              <w:autoSpaceDN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Adaptation based on additional PRACH resources for NES-capable UEs in addition to PRACH resources for legacy UEs (if any)</w:t>
            </w:r>
          </w:p>
          <w:p>
            <w:pPr>
              <w:keepNext w:val="0"/>
              <w:keepLines w:val="0"/>
              <w:pageBreakBefore w:val="0"/>
              <w:widowControl/>
              <w:numPr>
                <w:ilvl w:val="1"/>
                <w:numId w:val="6"/>
              </w:numPr>
              <w:tabs>
                <w:tab w:val="left" w:pos="1000"/>
              </w:tabs>
              <w:kinsoku/>
              <w:wordWrap/>
              <w:overflowPunct/>
              <w:topLinePunct w:val="0"/>
              <w:autoSpaceDE w:val="0"/>
              <w:autoSpaceDN w:val="0"/>
              <w:bidi w:val="0"/>
              <w:adjustRightInd/>
              <w:snapToGrid/>
              <w:spacing w:after="0" w:afterLines="0"/>
              <w:ind w:left="1000" w:leftChars="0" w:hanging="280" w:firstLineChar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Note: NES-capable UEs can use both additional PRACH resources and PRACH resources for legacy UEs</w:t>
            </w:r>
          </w:p>
          <w:p>
            <w:pPr>
              <w:keepNext w:val="0"/>
              <w:keepLines w:val="0"/>
              <w:pageBreakBefore w:val="0"/>
              <w:widowControl/>
              <w:numPr>
                <w:ilvl w:val="1"/>
                <w:numId w:val="6"/>
              </w:numPr>
              <w:tabs>
                <w:tab w:val="left" w:pos="1000"/>
              </w:tabs>
              <w:kinsoku/>
              <w:wordWrap/>
              <w:overflowPunct/>
              <w:topLinePunct w:val="0"/>
              <w:autoSpaceDE w:val="0"/>
              <w:autoSpaceDN w:val="0"/>
              <w:bidi w:val="0"/>
              <w:adjustRightInd/>
              <w:snapToGrid/>
              <w:spacing w:after="0" w:afterLines="0"/>
              <w:ind w:left="1000" w:leftChars="0" w:hanging="280" w:firstLineChar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Configuration of additional PRACH resources is provided by semi-static signalling</w:t>
            </w:r>
          </w:p>
          <w:p>
            <w:pPr>
              <w:keepNext w:val="0"/>
              <w:keepLines w:val="0"/>
              <w:pageBreakBefore w:val="0"/>
              <w:widowControl/>
              <w:numPr>
                <w:ilvl w:val="2"/>
                <w:numId w:val="6"/>
              </w:numPr>
              <w:tabs>
                <w:tab w:val="left" w:pos="1440"/>
              </w:tabs>
              <w:kinsoku/>
              <w:wordWrap/>
              <w:overflowPunct/>
              <w:topLinePunct w:val="0"/>
              <w:autoSpaceDE w:val="0"/>
              <w:autoSpaceDN w:val="0"/>
              <w:bidi w:val="0"/>
              <w:adjustRightInd/>
              <w:snapToGrid/>
              <w:spacing w:after="0" w:afterLines="0"/>
              <w:ind w:left="1800" w:hanging="36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FFS: details including whether there is overlap of additional PRACH resources and PRACH resources for legacy UEs</w:t>
            </w:r>
          </w:p>
          <w:p>
            <w:pPr>
              <w:keepNext w:val="0"/>
              <w:keepLines w:val="0"/>
              <w:pageBreakBefore w:val="0"/>
              <w:widowControl/>
              <w:numPr>
                <w:ilvl w:val="1"/>
                <w:numId w:val="6"/>
              </w:numPr>
              <w:tabs>
                <w:tab w:val="left" w:pos="1000"/>
              </w:tabs>
              <w:kinsoku/>
              <w:wordWrap/>
              <w:overflowPunct/>
              <w:topLinePunct w:val="0"/>
              <w:autoSpaceDE w:val="0"/>
              <w:autoSpaceDN w:val="0"/>
              <w:bidi w:val="0"/>
              <w:adjustRightInd/>
              <w:snapToGrid/>
              <w:spacing w:after="0" w:afterLines="0"/>
              <w:ind w:left="1000" w:leftChars="0" w:hanging="280" w:firstLineChar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FFS: adaptation mechanism for additional PRACH resources</w:t>
            </w:r>
          </w:p>
          <w:p>
            <w:pPr>
              <w:keepNext w:val="0"/>
              <w:keepLines w:val="0"/>
              <w:pageBreakBefore w:val="0"/>
              <w:widowControl/>
              <w:numPr>
                <w:ilvl w:val="1"/>
                <w:numId w:val="6"/>
              </w:numPr>
              <w:tabs>
                <w:tab w:val="left" w:pos="1000"/>
              </w:tabs>
              <w:kinsoku/>
              <w:wordWrap/>
              <w:overflowPunct/>
              <w:topLinePunct w:val="0"/>
              <w:autoSpaceDE w:val="0"/>
              <w:autoSpaceDN w:val="0"/>
              <w:bidi w:val="0"/>
              <w:adjustRightInd/>
              <w:snapToGrid/>
              <w:spacing w:after="0" w:afterLines="0"/>
              <w:ind w:left="1000" w:leftChars="0" w:hanging="280" w:firstLineChar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Note: No change to the existing PRACH configuration tables in 38.211</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rPr>
            </w:pP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ind w:left="0" w:firstLine="0"/>
              <w:textAlignment w:val="auto"/>
              <w:rPr>
                <w:rFonts w:eastAsia="Batang" w:cs="Times New Roman"/>
                <w:b/>
                <w:bCs/>
                <w:highlight w:val="green"/>
              </w:rPr>
            </w:pPr>
            <w:r>
              <w:rPr>
                <w:rFonts w:eastAsia="Batang" w:cs="Times New Roman"/>
                <w:b/>
                <w:bCs/>
                <w:highlight w:val="green"/>
              </w:rPr>
              <w:t>Agreement</w:t>
            </w:r>
          </w:p>
          <w:p>
            <w:pPr>
              <w:keepNext w:val="0"/>
              <w:keepLines w:val="0"/>
              <w:pageBreakBefore w:val="0"/>
              <w:widowControl/>
              <w:tabs>
                <w:tab w:val="left" w:pos="1440"/>
              </w:tabs>
              <w:kinsoku/>
              <w:wordWrap/>
              <w:overflowPunct/>
              <w:topLinePunct w:val="0"/>
              <w:autoSpaceDE w:val="0"/>
              <w:autoSpaceDN w:val="0"/>
              <w:bidi w:val="0"/>
              <w:adjustRightInd/>
              <w:snapToGrid/>
              <w:spacing w:after="0" w:afterLine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 xml:space="preserve">For adaptation of PRACH in time-domain, support the following: </w:t>
            </w:r>
          </w:p>
          <w:p>
            <w:pPr>
              <w:keepNext w:val="0"/>
              <w:keepLines w:val="0"/>
              <w:pageBreakBefore w:val="0"/>
              <w:widowControl/>
              <w:numPr>
                <w:ilvl w:val="0"/>
                <w:numId w:val="11"/>
              </w:numPr>
              <w:tabs>
                <w:tab w:val="left" w:pos="800"/>
              </w:tabs>
              <w:kinsoku/>
              <w:wordWrap/>
              <w:overflowPunct/>
              <w:topLinePunct w:val="0"/>
              <w:autoSpaceDE w:val="0"/>
              <w:autoSpaceDN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SSB-RO mapping for the additional PRACH resources</w:t>
            </w:r>
            <w:r>
              <w:rPr>
                <w:rFonts w:ascii="Times New Roman" w:hAnsi="Times New Roman" w:eastAsia="Batang" w:cs="Times New Roman"/>
                <w:color w:val="FF0000"/>
                <w:szCs w:val="24"/>
                <w:lang w:val="en-GB" w:eastAsia="en-US" w:bidi="ar-SA"/>
              </w:rPr>
              <w:t xml:space="preserve"> is separate from</w:t>
            </w:r>
            <w:r>
              <w:rPr>
                <w:rFonts w:ascii="Times New Roman" w:hAnsi="Times New Roman" w:eastAsia="Batang" w:cs="Times New Roman"/>
                <w:szCs w:val="24"/>
                <w:lang w:val="en-GB" w:eastAsia="en-US" w:bidi="ar-SA"/>
              </w:rPr>
              <w:t xml:space="preserve"> the SSB-RO mapping of the PRACH resources for legacy UEs (if any)</w:t>
            </w:r>
          </w:p>
          <w:p>
            <w:pPr>
              <w:keepNext w:val="0"/>
              <w:keepLines w:val="0"/>
              <w:pageBreakBefore w:val="0"/>
              <w:widowControl/>
              <w:numPr>
                <w:ilvl w:val="1"/>
                <w:numId w:val="6"/>
              </w:numPr>
              <w:tabs>
                <w:tab w:val="left" w:pos="1000"/>
              </w:tabs>
              <w:kinsoku/>
              <w:wordWrap/>
              <w:overflowPunct/>
              <w:topLinePunct w:val="0"/>
              <w:autoSpaceDE w:val="0"/>
              <w:autoSpaceDN w:val="0"/>
              <w:bidi w:val="0"/>
              <w:adjustRightInd/>
              <w:snapToGrid/>
              <w:spacing w:after="0" w:afterLines="0"/>
              <w:ind w:left="1000" w:leftChars="0" w:hanging="280" w:firstLineChars="0"/>
              <w:jc w:val="left"/>
              <w:textAlignment w:val="auto"/>
              <w:rPr>
                <w:rFonts w:ascii="Times New Roman" w:hAnsi="Times New Roman" w:eastAsia="Batang" w:cs="Times New Roman"/>
                <w:color w:val="FF0000"/>
                <w:szCs w:val="24"/>
                <w:lang w:val="en-GB" w:eastAsia="en-US" w:bidi="ar-SA"/>
              </w:rPr>
            </w:pPr>
            <w:r>
              <w:rPr>
                <w:rFonts w:ascii="Times New Roman" w:hAnsi="Times New Roman" w:eastAsia="Batang" w:cs="Times New Roman"/>
                <w:color w:val="FF0000"/>
                <w:szCs w:val="24"/>
                <w:lang w:val="en-GB" w:eastAsia="en-US" w:bidi="ar-SA"/>
              </w:rPr>
              <w:t>FFS: whether/how to handle SSB-RO mapping if the additional PRACH resources overlap in both time and frequency with the PRACH resources for legacy UEs</w:t>
            </w:r>
          </w:p>
          <w:p>
            <w:pPr>
              <w:keepNext w:val="0"/>
              <w:keepLines w:val="0"/>
              <w:pageBreakBefore w:val="0"/>
              <w:widowControl/>
              <w:numPr>
                <w:ilvl w:val="1"/>
                <w:numId w:val="6"/>
              </w:numPr>
              <w:tabs>
                <w:tab w:val="left" w:pos="1000"/>
              </w:tabs>
              <w:kinsoku/>
              <w:wordWrap/>
              <w:overflowPunct/>
              <w:topLinePunct w:val="0"/>
              <w:autoSpaceDE w:val="0"/>
              <w:autoSpaceDN w:val="0"/>
              <w:bidi w:val="0"/>
              <w:adjustRightInd/>
              <w:snapToGrid/>
              <w:spacing w:after="0" w:afterLines="0"/>
              <w:ind w:left="1000" w:leftChars="0" w:hanging="280" w:firstLineChars="0"/>
              <w:jc w:val="left"/>
              <w:textAlignment w:val="auto"/>
              <w:rPr>
                <w:rFonts w:ascii="Times New Roman" w:hAnsi="Times New Roman" w:eastAsia="Batang" w:cs="Times New Roman"/>
                <w:szCs w:val="24"/>
                <w:lang w:val="en-GB" w:eastAsia="en-US" w:bidi="ar-SA"/>
              </w:rPr>
            </w:pPr>
            <w:r>
              <w:rPr>
                <w:rFonts w:ascii="Times New Roman" w:hAnsi="Times New Roman" w:eastAsia="Batang" w:cs="Times New Roman"/>
                <w:szCs w:val="24"/>
                <w:lang w:val="en-GB" w:eastAsia="en-US" w:bidi="ar-SA"/>
              </w:rPr>
              <w:t>Note: SSB-RO mapping of the PRACH resources for legacy UEs is not impacted if Rel-19 UE uses these PRACH resources</w:t>
            </w:r>
          </w:p>
          <w:p>
            <w:pPr>
              <w:keepNext w:val="0"/>
              <w:keepLines w:val="0"/>
              <w:pageBreakBefore w:val="0"/>
              <w:widowControl/>
              <w:numPr>
                <w:ilvl w:val="1"/>
                <w:numId w:val="6"/>
              </w:numPr>
              <w:tabs>
                <w:tab w:val="left" w:pos="1000"/>
              </w:tabs>
              <w:kinsoku/>
              <w:wordWrap/>
              <w:overflowPunct/>
              <w:topLinePunct w:val="0"/>
              <w:autoSpaceDE w:val="0"/>
              <w:autoSpaceDN w:val="0"/>
              <w:bidi w:val="0"/>
              <w:adjustRightInd/>
              <w:snapToGrid/>
              <w:spacing w:after="0" w:afterLines="0"/>
              <w:ind w:left="1000" w:leftChars="0" w:hanging="280" w:firstLineChars="0"/>
              <w:jc w:val="left"/>
              <w:textAlignment w:val="auto"/>
              <w:rPr>
                <w:rFonts w:hint="default" w:cs="Times New Roman"/>
                <w:b w:val="0"/>
                <w:bCs w:val="0"/>
                <w:i w:val="0"/>
                <w:iCs w:val="0"/>
                <w:vertAlign w:val="baseline"/>
                <w:lang w:val="en-US" w:eastAsia="sv-SE"/>
              </w:rPr>
            </w:pPr>
            <w:r>
              <w:rPr>
                <w:rFonts w:ascii="Times New Roman" w:hAnsi="Times New Roman" w:eastAsia="Batang" w:cs="Times New Roman"/>
                <w:szCs w:val="24"/>
                <w:lang w:val="en-GB" w:eastAsia="en-US" w:bidi="ar-SA"/>
              </w:rPr>
              <w:t xml:space="preserve">FFS: SSB-RO mapping for the additional PRACH resources </w:t>
            </w:r>
          </w:p>
        </w:tc>
      </w:tr>
    </w:tbl>
    <w:p>
      <w:pPr>
        <w:rPr>
          <w:rFonts w:hint="default" w:cs="Times New Roman"/>
          <w:b w:val="0"/>
          <w:bCs w:val="0"/>
          <w:i w:val="0"/>
          <w:iCs w:val="0"/>
          <w:lang w:val="en-US" w:eastAsia="sv-SE"/>
        </w:rPr>
      </w:pPr>
    </w:p>
    <w:p>
      <w:pPr>
        <w:rPr>
          <w:rFonts w:hint="default" w:cs="Times New Roman"/>
          <w:b w:val="0"/>
          <w:bCs w:val="0"/>
          <w:i w:val="0"/>
          <w:iCs w:val="0"/>
          <w:lang w:val="en-US" w:eastAsia="sv-SE"/>
        </w:rPr>
      </w:pPr>
      <w:r>
        <w:rPr>
          <w:rFonts w:hint="default" w:cs="Times New Roman"/>
          <w:b w:val="0"/>
          <w:bCs w:val="0"/>
          <w:i w:val="0"/>
          <w:iCs w:val="0"/>
          <w:lang w:val="en-US" w:eastAsia="sv-SE"/>
        </w:rPr>
        <w:t>In this section, we mainly discuss about the configuration of additional PRACH resources for NES-capable UEs including whether there will be overlapping between the additional PRACH resource and legacy resources and then about the adaptation on the additional resources.</w:t>
      </w:r>
    </w:p>
    <w:p>
      <w:pPr>
        <w:pStyle w:val="4"/>
        <w:bidi w:val="0"/>
        <w:ind w:left="720" w:leftChars="0" w:hanging="720" w:firstLineChars="0"/>
        <w:rPr>
          <w:rFonts w:hint="default"/>
          <w:lang w:val="en-US" w:eastAsia="sv-SE"/>
        </w:rPr>
      </w:pPr>
      <w:r>
        <w:rPr>
          <w:rFonts w:hint="default"/>
          <w:lang w:val="en-US" w:eastAsia="sv-SE"/>
        </w:rPr>
        <w:t xml:space="preserve"> Configuration of additional PRACH resources</w:t>
      </w:r>
    </w:p>
    <w:p>
      <w:pPr>
        <w:rPr>
          <w:rFonts w:hint="default"/>
          <w:lang w:val="en-US"/>
        </w:rPr>
      </w:pPr>
      <w:r>
        <w:rPr>
          <w:rFonts w:hint="default"/>
          <w:lang w:val="en-US"/>
        </w:rPr>
        <w:t xml:space="preserve">There were discussions on whether PRACH resources for legacy UEs and NES-capable UEs could overlap in time and frequency domain. In our understanding, if the time domain PRACH resources for legacy UEs and NES capable UEs are partially overlapping, considering the SSB to RO mapping, it might result in different SSB indexes mapped to the same RO or FDMed ROs, as illustrated in the following figure. </w:t>
      </w:r>
    </w:p>
    <w:p>
      <w:pPr>
        <w:tabs>
          <w:tab w:val="left" w:pos="1440"/>
        </w:tabs>
      </w:pPr>
      <w:r>
        <w:drawing>
          <wp:inline distT="0" distB="0" distL="114300" distR="114300">
            <wp:extent cx="5601970" cy="600710"/>
            <wp:effectExtent l="0" t="0" r="11430" b="825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pic:cNvPicPr>
                  </pic:nvPicPr>
                  <pic:blipFill>
                    <a:blip r:embed="rId5"/>
                    <a:stretch>
                      <a:fillRect/>
                    </a:stretch>
                  </pic:blipFill>
                  <pic:spPr>
                    <a:xfrm>
                      <a:off x="0" y="0"/>
                      <a:ext cx="5601970" cy="600710"/>
                    </a:xfrm>
                    <a:prstGeom prst="rect">
                      <a:avLst/>
                    </a:prstGeom>
                    <a:noFill/>
                    <a:ln>
                      <a:noFill/>
                    </a:ln>
                  </pic:spPr>
                </pic:pic>
              </a:graphicData>
            </a:graphic>
          </wp:inline>
        </w:drawing>
      </w:r>
    </w:p>
    <w:p>
      <w:pPr>
        <w:tabs>
          <w:tab w:val="left" w:pos="1440"/>
        </w:tabs>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Fig. </w:t>
      </w:r>
      <w:r>
        <w:rPr>
          <w:rFonts w:hint="default" w:cs="Times New Roman"/>
          <w:b w:val="0"/>
          <w:bCs w:val="0"/>
          <w:lang w:val="en-US"/>
        </w:rPr>
        <w:t>1</w:t>
      </w:r>
      <w:r>
        <w:rPr>
          <w:rFonts w:hint="default" w:ascii="Times New Roman" w:hAnsi="Times New Roman" w:cs="Times New Roman"/>
          <w:b w:val="0"/>
          <w:bCs w:val="0"/>
          <w:lang w:val="en-US"/>
        </w:rPr>
        <w:t xml:space="preserve"> Example of different SSB indexes mapped to the same RO</w:t>
      </w:r>
    </w:p>
    <w:p>
      <w:pPr>
        <w:tabs>
          <w:tab w:val="left" w:pos="1440"/>
        </w:tabs>
        <w:jc w:val="left"/>
        <w:rPr>
          <w:rFonts w:hint="default"/>
          <w:lang w:val="en-US"/>
        </w:rPr>
      </w:pPr>
      <w:r>
        <w:rPr>
          <w:rFonts w:hint="default"/>
          <w:lang w:val="en-US"/>
        </w:rPr>
        <w:t>On the other hand, if the time domain PRACH resources of legacy UEs and NES-capable UEs do not overlap, there are no above issues.</w:t>
      </w:r>
    </w:p>
    <w:p>
      <w:pPr>
        <w:rPr>
          <w:rFonts w:hint="default"/>
          <w:lang w:val="en-US"/>
        </w:rPr>
      </w:pPr>
      <w:r>
        <w:drawing>
          <wp:inline distT="0" distB="0" distL="114300" distR="114300">
            <wp:extent cx="5313045" cy="530225"/>
            <wp:effectExtent l="0" t="0" r="2095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5313045" cy="530225"/>
                    </a:xfrm>
                    <a:prstGeom prst="rect">
                      <a:avLst/>
                    </a:prstGeom>
                    <a:noFill/>
                    <a:ln>
                      <a:noFill/>
                    </a:ln>
                  </pic:spPr>
                </pic:pic>
              </a:graphicData>
            </a:graphic>
          </wp:inline>
        </w:drawing>
      </w:r>
    </w:p>
    <w:p>
      <w:pPr>
        <w:tabs>
          <w:tab w:val="left" w:pos="1440"/>
        </w:tabs>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Fig. </w:t>
      </w:r>
      <w:r>
        <w:rPr>
          <w:rFonts w:hint="default" w:cs="Times New Roman"/>
          <w:b w:val="0"/>
          <w:bCs w:val="0"/>
          <w:lang w:val="en-US"/>
        </w:rPr>
        <w:t>2</w:t>
      </w:r>
      <w:r>
        <w:rPr>
          <w:rFonts w:hint="default" w:ascii="Times New Roman" w:hAnsi="Times New Roman" w:cs="Times New Roman"/>
          <w:b w:val="0"/>
          <w:bCs w:val="0"/>
          <w:lang w:val="en-US"/>
        </w:rPr>
        <w:t xml:space="preserve"> Different time domain PRACH resources is configured to NES-capable UE</w:t>
      </w:r>
    </w:p>
    <w:p>
      <w:pPr>
        <w:tabs>
          <w:tab w:val="left" w:pos="1440"/>
        </w:tabs>
        <w:jc w:val="left"/>
        <w:rPr>
          <w:rFonts w:hint="default"/>
          <w:lang w:val="en-US"/>
        </w:rPr>
      </w:pPr>
      <w:r>
        <w:rPr>
          <w:rFonts w:hint="default"/>
          <w:lang w:val="en-US"/>
        </w:rPr>
        <w:t xml:space="preserve">Therefore we have the following proposal: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Support non-overlapping PRACH resources in time domain for NES capable UEs and legacy UEs to avoid mapping different SSB indexes to the same RO or FDMed ROs. </w:t>
      </w:r>
    </w:p>
    <w:p>
      <w:pPr>
        <w:rPr>
          <w:rFonts w:hint="default"/>
          <w:lang w:val="en-US"/>
        </w:rPr>
      </w:pPr>
    </w:p>
    <w:p>
      <w:pPr>
        <w:rPr>
          <w:rFonts w:hint="default"/>
          <w:lang w:val="en-US"/>
        </w:rPr>
      </w:pPr>
      <w:r>
        <w:rPr>
          <w:rFonts w:hint="default"/>
          <w:lang w:val="en-US"/>
        </w:rPr>
        <w:t xml:space="preserve">To configure the additional PRACH resources to NES-capable UEs, there are several options that can be considered, for example, </w:t>
      </w:r>
    </w:p>
    <w:p>
      <w:pPr>
        <w:rPr>
          <w:rFonts w:hint="default"/>
          <w:lang w:val="en-US"/>
        </w:rPr>
      </w:pPr>
      <w:r>
        <w:rPr>
          <w:rFonts w:hint="default"/>
          <w:lang w:val="en-US"/>
        </w:rPr>
        <w:t>Option 1: A separate PRACH configuration index is configured to the NES-capable UEs, with different PRACH configuration periodicity and/or different time domain subframe/slot allocaiton</w:t>
      </w:r>
    </w:p>
    <w:p>
      <w:pPr>
        <w:rPr>
          <w:rFonts w:hint="default"/>
          <w:lang w:val="en-US"/>
        </w:rPr>
      </w:pPr>
      <w:r>
        <w:rPr>
          <w:rFonts w:hint="default"/>
          <w:lang w:val="en-US"/>
        </w:rPr>
        <w:t xml:space="preserve">Option 2: The same PRACH configuration index as legacy UEs, but the PRACH configuration periodicity can be scaled and/or the subframe/slot allocation could be adjusted by configuring a timing offset (similar to PRACH configuration for IAB). </w:t>
      </w:r>
    </w:p>
    <w:p>
      <w:pPr>
        <w:rPr>
          <w:rFonts w:hint="default"/>
          <w:lang w:val="en-US"/>
        </w:rPr>
      </w:pPr>
      <w:r>
        <w:rPr>
          <w:rFonts w:hint="default"/>
          <w:lang w:val="en-US"/>
        </w:rPr>
        <w:t>For Option 1, it may or may not result in non-overlapping PRACH resources in time domain. For example, PRACH configuration index #0 and #1 are partially overlapping, while index #0 and index #3 are not overlapping. This may limit the PRACH resources that can be configured for the NES-capable UEs, but the PRACH resources are all legacy PRACH resources, which do not require extra UE implementation.</w:t>
      </w:r>
    </w:p>
    <w:p>
      <w:pPr>
        <w:rPr>
          <w:rFonts w:hint="default"/>
          <w:lang w:val="en-US"/>
        </w:rPr>
      </w:pPr>
      <w:r>
        <w:rPr>
          <w:rFonts w:hint="default"/>
          <w:lang w:val="en-US"/>
        </w:rPr>
        <w:t xml:space="preserve">For Option 2, the PRACH configuration periodicity can be adjusted by scaling the periodicity and an offset could be provided to shift the PRACH resource for NES-capable UEs to result in non-overlapping PRACH resources. However, this will result in new PRACH resources than those configured in the legacy PRACH configuration table, but provide more flexibility for the configuration. </w:t>
      </w:r>
    </w:p>
    <w:p>
      <w:pPr>
        <w:rPr>
          <w:rFonts w:hint="default"/>
          <w:lang w:val="en-US"/>
        </w:rPr>
      </w:pPr>
      <w:r>
        <w:rPr>
          <w:rFonts w:hint="default" w:ascii="Times New Roman Bold" w:hAnsi="Times New Roman Bold" w:cs="Times New Roman Bold"/>
          <w:b/>
          <w:bCs/>
          <w:lang w:val="en-US"/>
        </w:rPr>
        <w:t xml:space="preserve">Proposal 6: To configure non-overlapping PRACH resource in time domain, consider </w:t>
      </w:r>
      <w:r>
        <w:rPr>
          <w:rFonts w:hint="default"/>
          <w:b/>
          <w:bCs/>
          <w:lang w:val="en-US"/>
        </w:rPr>
        <w:t>configuration based on scaling PRACH configuration period for legacy UE and additional timing offset.</w:t>
      </w:r>
    </w:p>
    <w:p>
      <w:pPr>
        <w:rPr>
          <w:rFonts w:hint="default"/>
          <w:lang w:val="en-US"/>
        </w:rPr>
      </w:pPr>
    </w:p>
    <w:p>
      <w:pPr>
        <w:pStyle w:val="4"/>
        <w:bidi w:val="0"/>
        <w:ind w:left="720" w:leftChars="0" w:hanging="720" w:firstLineChars="0"/>
        <w:rPr>
          <w:rFonts w:hint="default"/>
          <w:lang w:val="en-US" w:eastAsia="sv-SE"/>
        </w:rPr>
      </w:pPr>
      <w:r>
        <w:rPr>
          <w:rFonts w:hint="default"/>
          <w:lang w:val="en-US" w:eastAsia="sv-SE"/>
        </w:rPr>
        <w:t xml:space="preserve"> Adaptation on the additional PRACH resources </w:t>
      </w:r>
    </w:p>
    <w:p>
      <w:pPr>
        <w:rPr>
          <w:rFonts w:hint="default"/>
          <w:lang w:val="en-US"/>
        </w:rPr>
      </w:pPr>
      <w:r>
        <w:rPr>
          <w:rFonts w:hint="default"/>
          <w:lang w:val="en-US"/>
        </w:rPr>
        <w:t xml:space="preserve">The motivation of configuring additional PRACH resources for NES-capable UEs is to configure legacy UEs with sparser PRACH resources and configure NES-capable UEs with denser PRACH resources, so that when the network needs to achieve higher energy saving gain, can adapt the PRACH resources for the NES-capable UEs only. Adaptation on the configured dense PRACH resources should result in effectively concentrated ROs for the new UE, as shown in Fig. 3. It can be observed that that after adaptation on the additional PRACH resources, the access latency for the new UEs are still the same as legacy UEs, but there are more muted ROs for NW to sleep. </w:t>
      </w:r>
    </w:p>
    <w:p>
      <w:r>
        <w:drawing>
          <wp:inline distT="0" distB="0" distL="114300" distR="114300">
            <wp:extent cx="5610860" cy="981075"/>
            <wp:effectExtent l="0" t="0" r="254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5610860" cy="981075"/>
                    </a:xfrm>
                    <a:prstGeom prst="rect">
                      <a:avLst/>
                    </a:prstGeom>
                    <a:noFill/>
                    <a:ln>
                      <a:noFill/>
                    </a:ln>
                  </pic:spPr>
                </pic:pic>
              </a:graphicData>
            </a:graphic>
          </wp:inline>
        </w:drawing>
      </w:r>
    </w:p>
    <w:p>
      <w:pPr>
        <w:jc w:val="center"/>
        <w:rPr>
          <w:rFonts w:hint="default"/>
          <w:lang w:val="en-US"/>
        </w:rPr>
      </w:pPr>
      <w:r>
        <w:rPr>
          <w:rFonts w:hint="default"/>
          <w:lang w:val="en-US"/>
        </w:rPr>
        <w:t>Fig. 3 Illustration of concentrated PRACH resources after adaptation</w:t>
      </w:r>
    </w:p>
    <w:p>
      <w:pPr>
        <w:bidi w:val="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7: </w:t>
      </w:r>
      <w:r>
        <w:rPr>
          <w:rFonts w:hint="default" w:ascii="Times New Roman Bold" w:hAnsi="Times New Roman Bold" w:cs="Times New Roman Bold"/>
          <w:b/>
          <w:bCs/>
          <w:lang w:val="en-US"/>
        </w:rPr>
        <w:t xml:space="preserve">Adaptation on the configured dense PRACH resources should result in effectively concentrated ROs for the new UE. </w:t>
      </w:r>
    </w:p>
    <w:p>
      <w:pPr>
        <w:bidi w:val="0"/>
        <w:rPr>
          <w:rFonts w:hint="default"/>
          <w:lang w:val="en-US" w:eastAsia="sv-SE"/>
        </w:rPr>
      </w:pPr>
      <w:r>
        <w:rPr>
          <w:rFonts w:hint="default"/>
          <w:lang w:val="en-US" w:eastAsia="sv-SE"/>
        </w:rPr>
        <w:t>For the adaptation of the additional PRACH resources, there were several options listed in RAN1 #116, including :</w:t>
      </w:r>
    </w:p>
    <w:p>
      <w:pPr>
        <w:keepNext w:val="0"/>
        <w:keepLines w:val="0"/>
        <w:pageBreakBefore w:val="0"/>
        <w:widowControl/>
        <w:numPr>
          <w:ilvl w:val="0"/>
          <w:numId w:val="9"/>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 xml:space="preserve">Adaptation of PRACH resource periodicity/PRACH occasion </w:t>
      </w:r>
    </w:p>
    <w:p>
      <w:pPr>
        <w:keepNext w:val="0"/>
        <w:keepLines w:val="0"/>
        <w:pageBreakBefore w:val="0"/>
        <w:widowControl/>
        <w:numPr>
          <w:ilvl w:val="0"/>
          <w:numId w:val="9"/>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Adaptation at PRACH configuration/association period/association pattern period level and SSB to RO mapping cycle</w:t>
      </w:r>
    </w:p>
    <w:p>
      <w:pPr>
        <w:keepNext w:val="0"/>
        <w:keepLines w:val="0"/>
        <w:pageBreakBefore w:val="0"/>
        <w:widowControl/>
        <w:numPr>
          <w:ilvl w:val="0"/>
          <w:numId w:val="9"/>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Adaptation based on extending cell DRX operation for PRACH</w:t>
      </w:r>
    </w:p>
    <w:p>
      <w:pPr>
        <w:keepNext w:val="0"/>
        <w:keepLines w:val="0"/>
        <w:pageBreakBefore w:val="0"/>
        <w:widowControl/>
        <w:numPr>
          <w:ilvl w:val="0"/>
          <w:numId w:val="9"/>
        </w:numPr>
        <w:tabs>
          <w:tab w:val="left" w:pos="800"/>
        </w:tabs>
        <w:suppressAutoHyphens/>
        <w:kinsoku/>
        <w:wordWrap/>
        <w:overflowPunct/>
        <w:topLinePunct w:val="0"/>
        <w:bidi w:val="0"/>
        <w:adjustRightInd/>
        <w:snapToGrid/>
        <w:spacing w:after="0" w:afterLines="0"/>
        <w:ind w:left="800" w:leftChars="0" w:hanging="440" w:firstLineChars="0"/>
        <w:jc w:val="left"/>
        <w:textAlignment w:val="auto"/>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Concentrating ROs in time domain</w:t>
      </w:r>
    </w:p>
    <w:p>
      <w:pPr>
        <w:rPr>
          <w:rFonts w:hint="default"/>
          <w:lang w:val="en-US"/>
        </w:rPr>
      </w:pPr>
    </w:p>
    <w:p>
      <w:pPr>
        <w:rPr>
          <w:rFonts w:hint="default"/>
          <w:lang w:val="en-US"/>
        </w:rPr>
      </w:pPr>
      <w:r>
        <w:rPr>
          <w:rFonts w:hint="default"/>
          <w:lang w:val="en-US"/>
        </w:rPr>
        <w:t xml:space="preserve">According to our understanding, PRACH resource periodicity adaptation and PRACH configuration period level adaptation are adapting the configuration periodicity of the PRACH resource. This level of adaptation can be already achieved through configuration of the additional PRACH resource for NES-capable UEs, which does not need to be adapted after configuration. Otherwise, once the PRACH resource periodicity is adapted, the UE needs to perform another round of SSB-to-RO mapping which would be causing many implementation complexities for the UE.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8: To avoid additional SSB-to-RO mapping, no adaptation to PRACH resource periodicity (i.e.PRACH configuration period) on the additional PRACH resources after configuration. </w:t>
      </w:r>
    </w:p>
    <w:p>
      <w:pPr>
        <w:rPr>
          <w:rFonts w:hint="default"/>
          <w:lang w:val="en-US"/>
        </w:rPr>
      </w:pPr>
    </w:p>
    <w:p>
      <w:pPr>
        <w:rPr>
          <w:rFonts w:hint="default"/>
          <w:lang w:val="en-US"/>
        </w:rPr>
      </w:pPr>
      <w:r>
        <w:rPr>
          <w:rFonts w:hint="default"/>
          <w:lang w:val="en-US"/>
        </w:rPr>
        <w:t xml:space="preserve">Then in order to avoid the SSB-to-RO mapping, the adaptation of PRACH resources can be considered in the following three levels:  </w:t>
      </w:r>
    </w:p>
    <w:p>
      <w:pPr>
        <w:numPr>
          <w:ilvl w:val="0"/>
          <w:numId w:val="12"/>
        </w:numPr>
        <w:ind w:left="420" w:leftChars="0" w:hanging="420" w:firstLineChars="0"/>
        <w:rPr>
          <w:rFonts w:hint="default"/>
          <w:lang w:val="en-US"/>
        </w:rPr>
      </w:pPr>
      <w:r>
        <w:rPr>
          <w:rFonts w:hint="default" w:ascii="Times New Roman Bold" w:hAnsi="Times New Roman Bold" w:cs="Times New Roman Bold"/>
          <w:b/>
          <w:bCs/>
          <w:lang w:val="en-US"/>
        </w:rPr>
        <w:t>Level 1</w:t>
      </w:r>
      <w:r>
        <w:rPr>
          <w:rFonts w:hint="default"/>
          <w:lang w:val="en-US"/>
        </w:rPr>
        <w:t xml:space="preserve">: SSB-to-RO mapping cycle level adaptation. The SSB-to-RO mapping cycle is the smallest unit for adaptation without impacting UE SSB-to-RO mapping. For example, some of the SSB-to-RO mapping cycles within a PRACH association period or the PRACH association pattern period can be muted. However, the number of SSB-to-RO mapping cycles within an association period is quite flexible due to the flexibility of PRACH resource configurations, valid ROs and number of SSB as well as number of SSB per RO configurations, which may bring some difficulty and extra signaling overhead in indicating which one is to be muted. </w:t>
      </w:r>
    </w:p>
    <w:p>
      <w:pPr>
        <w:numPr>
          <w:ilvl w:val="0"/>
          <w:numId w:val="12"/>
        </w:numPr>
        <w:ind w:left="420" w:leftChars="0" w:hanging="420" w:firstLineChars="0"/>
        <w:rPr>
          <w:rFonts w:hint="default"/>
          <w:lang w:val="en-US"/>
        </w:rPr>
      </w:pPr>
      <w:r>
        <w:rPr>
          <w:rFonts w:hint="default" w:ascii="Times New Roman Bold" w:hAnsi="Times New Roman Bold" w:cs="Times New Roman Bold"/>
          <w:b/>
          <w:bCs/>
          <w:lang w:val="en-US"/>
        </w:rPr>
        <w:t>Level 2</w:t>
      </w:r>
      <w:r>
        <w:rPr>
          <w:rFonts w:hint="default"/>
          <w:lang w:val="en-US"/>
        </w:rPr>
        <w:t xml:space="preserve">: PRACH association period level adaptation. One or multiple of PRACH association period within an association pattern period can be muted so that gNB could sleep for those association period. Note that the number of association periods within an association pattern period is upper bounded by 16 (where the maximum value of an association pattern period is 160ms and the smallest value of and association period is 10ms), this could be considered as the maximum value when indicating the muting pattern. </w:t>
      </w:r>
    </w:p>
    <w:p>
      <w:pPr>
        <w:numPr>
          <w:ilvl w:val="0"/>
          <w:numId w:val="12"/>
        </w:numPr>
        <w:ind w:left="420" w:leftChars="0" w:hanging="420" w:firstLineChars="0"/>
        <w:rPr>
          <w:rFonts w:hint="default"/>
          <w:lang w:val="en-US" w:eastAsia="sv-SE"/>
        </w:rPr>
      </w:pPr>
      <w:r>
        <w:rPr>
          <w:rFonts w:hint="default" w:ascii="Times New Roman Bold" w:hAnsi="Times New Roman Bold" w:cs="Times New Roman Bold"/>
          <w:b/>
          <w:bCs/>
          <w:lang w:val="en-US"/>
        </w:rPr>
        <w:t>Level 3</w:t>
      </w:r>
      <w:r>
        <w:rPr>
          <w:rFonts w:hint="default"/>
          <w:lang w:val="en-US"/>
        </w:rPr>
        <w:t>: PRACH association pattern period level adaptation. For this level of adaptation, the PRACH association pattern period can be effectively extended by muting some of the pattern periods entirely or by scaling the association pattern period. This level of adaptation enables longer time for gNB sleeping but leads to a larger random access latency.</w:t>
      </w:r>
    </w:p>
    <w:p>
      <w:pPr>
        <w:bidi w:val="0"/>
      </w:pPr>
      <w:r>
        <w:drawing>
          <wp:inline distT="0" distB="0" distL="114300" distR="114300">
            <wp:extent cx="5608320" cy="1456055"/>
            <wp:effectExtent l="0" t="0" r="5080" b="1714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pic:cNvPicPr>
                  </pic:nvPicPr>
                  <pic:blipFill>
                    <a:blip r:embed="rId8"/>
                    <a:stretch>
                      <a:fillRect/>
                    </a:stretch>
                  </pic:blipFill>
                  <pic:spPr>
                    <a:xfrm>
                      <a:off x="0" y="0"/>
                      <a:ext cx="5608320" cy="1456055"/>
                    </a:xfrm>
                    <a:prstGeom prst="rect">
                      <a:avLst/>
                    </a:prstGeom>
                    <a:noFill/>
                    <a:ln>
                      <a:noFill/>
                    </a:ln>
                  </pic:spPr>
                </pic:pic>
              </a:graphicData>
            </a:graphic>
          </wp:inline>
        </w:drawing>
      </w:r>
    </w:p>
    <w:p>
      <w:pPr>
        <w:bidi w:val="0"/>
        <w:jc w:val="center"/>
        <w:rPr>
          <w:rFonts w:hint="default"/>
          <w:lang w:val="en-US" w:eastAsia="sv-SE"/>
        </w:rPr>
      </w:pPr>
      <w:r>
        <w:rPr>
          <w:rFonts w:hint="default"/>
          <w:lang w:val="en-US"/>
        </w:rPr>
        <w:t>Fig.4 Illustration of SSB-to-RO mapping cycle, PRACH association period and association pattern period</w:t>
      </w:r>
    </w:p>
    <w:p>
      <w:pPr>
        <w:bidi w:val="0"/>
        <w:rPr>
          <w:rFonts w:hint="default"/>
          <w:lang w:val="en-US" w:eastAsia="sv-SE"/>
        </w:rPr>
      </w:pPr>
      <w:r>
        <w:rPr>
          <w:rFonts w:hint="default"/>
          <w:lang w:val="en-US" w:eastAsia="sv-SE"/>
        </w:rPr>
        <w:t>According to RAN1 #116 agreement, the adaptation is performed for the additional PRACH resources configured for the NES-capable UEs. However, we think the following options can be both considered:</w:t>
      </w:r>
    </w:p>
    <w:p>
      <w:pPr>
        <w:bidi w:val="0"/>
        <w:rPr>
          <w:rFonts w:hint="default"/>
          <w:lang w:val="en-US"/>
        </w:rPr>
      </w:pPr>
      <w:r>
        <w:rPr>
          <w:rFonts w:hint="default"/>
          <w:lang w:val="en-US" w:eastAsia="sv-SE"/>
        </w:rPr>
        <w:t xml:space="preserve">Option 1: </w:t>
      </w:r>
      <w:r>
        <w:rPr>
          <w:rFonts w:hint="default"/>
          <w:lang w:val="en-US"/>
        </w:rPr>
        <w:t xml:space="preserve">NES-capable UEs are indicated of adaptation on the additional PRACH resources only, it is up to UE to select the additional PRACH resource or legacy PRACH resources. </w:t>
      </w:r>
    </w:p>
    <w:p>
      <w:pPr>
        <w:rPr>
          <w:rFonts w:hint="default"/>
          <w:lang w:val="en-US"/>
        </w:rPr>
      </w:pPr>
      <w:r>
        <w:rPr>
          <w:rFonts w:hint="default"/>
          <w:lang w:val="en-US"/>
        </w:rPr>
        <w:t>Option 2: NES-capable UEs are indicated to switch between the additional PRACH resources and PRACH resources for legacy UEs</w:t>
      </w:r>
    </w:p>
    <w:p>
      <w:pPr>
        <w:rPr>
          <w:rFonts w:hint="default"/>
          <w:lang w:val="en-US"/>
        </w:rPr>
      </w:pPr>
      <w:r>
        <w:rPr>
          <w:rFonts w:hint="default"/>
          <w:lang w:val="en-US"/>
        </w:rPr>
        <w:t xml:space="preserve">For Option 1, the above three levels of adaptation can be both considered, but considering the indication complexity and overhead, it is preferred to consider association period level or association pattern period level adaptation. </w:t>
      </w:r>
    </w:p>
    <w:p>
      <w:pPr>
        <w:rPr>
          <w:rFonts w:hint="default"/>
          <w:lang w:val="en-US" w:eastAsia="sv-SE"/>
        </w:rPr>
      </w:pPr>
      <w:r>
        <w:rPr>
          <w:rFonts w:hint="default"/>
          <w:lang w:val="en-US"/>
        </w:rPr>
        <w:t xml:space="preserve">For Option 2, to avoid missing certain SSB-to-RO mapping opportunities, the switching is applied at the boundary of an SSB-to-RO mapping cycle or association period or association pattern period.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9: For PRACH adaptations, consider the following options: </w:t>
      </w:r>
    </w:p>
    <w:p>
      <w:pPr>
        <w:numPr>
          <w:ilvl w:val="0"/>
          <w:numId w:val="13"/>
        </w:numPr>
        <w:ind w:left="420" w:leftChars="0" w:hanging="420" w:firstLineChars="0"/>
        <w:rPr>
          <w:rFonts w:hint="default"/>
          <w:b/>
          <w:bCs/>
          <w:lang w:val="en-US"/>
        </w:rPr>
      </w:pPr>
      <w:r>
        <w:rPr>
          <w:rFonts w:hint="default"/>
          <w:b/>
          <w:bCs/>
          <w:lang w:val="en-US"/>
        </w:rPr>
        <w:t xml:space="preserve">Option 1: NES-capable UEs are indicated of adaptation on the additional PRACH resources only, it is up to UE to select the additional PRACH resource or legacy PRACH resources. </w:t>
      </w:r>
    </w:p>
    <w:p>
      <w:pPr>
        <w:numPr>
          <w:ilvl w:val="1"/>
          <w:numId w:val="13"/>
        </w:numPr>
        <w:ind w:left="840" w:leftChars="0" w:hanging="420" w:firstLineChars="0"/>
        <w:rPr>
          <w:rFonts w:hint="default"/>
          <w:b/>
          <w:bCs/>
          <w:lang w:val="en-US"/>
        </w:rPr>
      </w:pPr>
      <w:r>
        <w:rPr>
          <w:rFonts w:hint="default"/>
          <w:b/>
          <w:bCs/>
          <w:lang w:val="en-US"/>
        </w:rPr>
        <w:t xml:space="preserve">At least association </w:t>
      </w:r>
      <w:r>
        <w:rPr>
          <w:rFonts w:hint="default" w:ascii="Times New Roman" w:hAnsi="Times New Roman" w:cs="Times New Roman"/>
          <w:b/>
          <w:bCs/>
          <w:lang w:val="en-US"/>
        </w:rPr>
        <w:t xml:space="preserve">period </w:t>
      </w:r>
      <w:r>
        <w:rPr>
          <w:rFonts w:hint="default"/>
          <w:b/>
          <w:bCs/>
          <w:lang w:val="en-US"/>
        </w:rPr>
        <w:t>or association pattern period level adaptation should be considered</w:t>
      </w:r>
    </w:p>
    <w:p>
      <w:pPr>
        <w:numPr>
          <w:ilvl w:val="0"/>
          <w:numId w:val="13"/>
        </w:numPr>
        <w:ind w:left="420" w:leftChars="0" w:hanging="420" w:firstLineChars="0"/>
        <w:rPr>
          <w:rFonts w:hint="default"/>
          <w:b/>
          <w:bCs/>
          <w:lang w:val="en-US"/>
        </w:rPr>
      </w:pPr>
      <w:r>
        <w:rPr>
          <w:rFonts w:hint="default"/>
          <w:b/>
          <w:bCs/>
          <w:lang w:val="en-US"/>
        </w:rPr>
        <w:t>Option 2: NES-capable UEs are indicated to switch between the additional PRACH resources and PRACH resources for legacy UEs, where switching can be based on SSB-to-RO mapping cycle, PRACH association period or PRACH association pattern period</w:t>
      </w:r>
    </w:p>
    <w:p>
      <w:pPr>
        <w:bidi w:val="0"/>
        <w:rPr>
          <w:rFonts w:hint="default"/>
          <w:lang w:val="en-US" w:eastAsia="sv-SE"/>
        </w:rPr>
      </w:pPr>
    </w:p>
    <w:p>
      <w:pPr>
        <w:pStyle w:val="3"/>
        <w:numPr>
          <w:ilvl w:val="1"/>
          <w:numId w:val="3"/>
        </w:numPr>
        <w:bidi w:val="0"/>
        <w:ind w:left="576" w:leftChars="0" w:hanging="576" w:firstLineChars="0"/>
        <w:rPr>
          <w:rFonts w:hint="default" w:ascii="Times New Roman" w:hAnsi="Times New Roman" w:cs="Times New Roman"/>
          <w:b w:val="0"/>
          <w:bCs w:val="0"/>
          <w:i w:val="0"/>
          <w:iCs w:val="0"/>
          <w:lang w:val="en-US" w:eastAsia="sv-SE"/>
        </w:rPr>
      </w:pPr>
      <w:r>
        <w:rPr>
          <w:rFonts w:hint="default" w:ascii="Times New Roman" w:hAnsi="Times New Roman" w:cs="Times New Roman"/>
          <w:b w:val="0"/>
          <w:bCs w:val="0"/>
          <w:i w:val="0"/>
          <w:iCs w:val="0"/>
          <w:lang w:val="en-US" w:eastAsia="sv-SE"/>
        </w:rPr>
        <w:t xml:space="preserve"> PRACH adaptation in spatial domain  </w:t>
      </w:r>
    </w:p>
    <w:p>
      <w:pPr>
        <w:rPr>
          <w:rFonts w:hint="default"/>
          <w:lang w:val="en-US" w:eastAsia="sv-SE"/>
        </w:rPr>
      </w:pPr>
      <w:r>
        <w:rPr>
          <w:rFonts w:hint="default"/>
          <w:lang w:val="en-US" w:eastAsia="sv-SE"/>
        </w:rPr>
        <w:t xml:space="preserve">Due to non-uniform angular distribution of the UEs in the served geographical area, the probability of different beams are being selected can be different. For the PRACH resources, it means that for the ROs associated with the SSB that directs to a crowded angle, more UEs will be sending PRACH preambles on those ROs, for the ROs associated with SSBs that directs to a less crowded angle, fewer UEs will be sending PRACH. In current spec, the number of ROs and preamble that are associated with one SSB is uniformly distributed, which may not be well suited for situation.  </w:t>
      </w:r>
    </w:p>
    <w:p>
      <w:pPr>
        <w:rPr>
          <w:rFonts w:hint="default"/>
          <w:lang w:val="en-US" w:eastAsia="sv-SE"/>
        </w:rPr>
      </w:pPr>
      <w:r>
        <w:rPr>
          <w:rFonts w:hint="default"/>
          <w:lang w:val="en-US" w:eastAsia="sv-SE"/>
        </w:rPr>
        <w:t>Uneven RACH resource allocations can help to alleviate gNB detection complexity by reducing  the number of hypothesis tests which can result in network energy saving. Particularly for CBRA preambles as it requires consistent detection trials for CBRA preambles at every RO.</w:t>
      </w:r>
    </w:p>
    <w:p>
      <w:pPr>
        <w:rPr>
          <w:rFonts w:hint="default"/>
          <w:lang w:val="en-US" w:eastAsia="sv-SE"/>
        </w:rPr>
      </w:pPr>
      <w:r>
        <w:rPr>
          <w:rFonts w:hint="default"/>
          <w:lang w:val="en-US" w:eastAsia="sv-SE"/>
        </w:rPr>
        <w:t>There are also several levels of adaptation can be considered to support PRACH adaptation in spatial domain</w:t>
      </w:r>
    </w:p>
    <w:p>
      <w:pPr>
        <w:numPr>
          <w:ilvl w:val="0"/>
          <w:numId w:val="14"/>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1</w:t>
      </w:r>
      <w:r>
        <w:rPr>
          <w:rFonts w:hint="default"/>
          <w:lang w:val="en-US" w:eastAsia="sv-SE"/>
        </w:rPr>
        <w:t xml:space="preserve">: Adapt the number of SSBs that NW actually monitors corresponding RO, where the NW stops monitoring on ROs that are associated to SSBs that have fewer UEs. For example in Fig. 5, NW could completely stop monitoring ROs associated with SSB #2. </w:t>
      </w:r>
    </w:p>
    <w:p>
      <w:pPr>
        <w:jc w:val="center"/>
      </w:pPr>
      <w:r>
        <w:drawing>
          <wp:inline distT="0" distB="0" distL="114300" distR="114300">
            <wp:extent cx="5609590" cy="1242060"/>
            <wp:effectExtent l="0" t="0" r="3810" b="2540"/>
            <wp:docPr id="1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6"/>
                    <pic:cNvPicPr>
                      <a:picLocks noChangeAspect="1"/>
                    </pic:cNvPicPr>
                  </pic:nvPicPr>
                  <pic:blipFill>
                    <a:blip r:embed="rId9"/>
                    <a:stretch>
                      <a:fillRect/>
                    </a:stretch>
                  </pic:blipFill>
                  <pic:spPr>
                    <a:xfrm>
                      <a:off x="0" y="0"/>
                      <a:ext cx="5609590" cy="1242060"/>
                    </a:xfrm>
                    <a:prstGeom prst="rect">
                      <a:avLst/>
                    </a:prstGeom>
                    <a:noFill/>
                    <a:ln>
                      <a:noFill/>
                    </a:ln>
                  </pic:spPr>
                </pic:pic>
              </a:graphicData>
            </a:graphic>
          </wp:inline>
        </w:drawing>
      </w:r>
    </w:p>
    <w:p>
      <w:pPr>
        <w:jc w:val="center"/>
        <w:rPr>
          <w:rFonts w:hint="default"/>
          <w:lang w:val="en-US" w:eastAsia="sv-SE"/>
        </w:rPr>
      </w:pPr>
      <w:r>
        <w:rPr>
          <w:rFonts w:hint="default"/>
          <w:lang w:val="en-US"/>
        </w:rPr>
        <w:t>Fig.5 Adapt number of SSBs that NW actually monitors corresponding RO</w:t>
      </w:r>
    </w:p>
    <w:p>
      <w:pPr>
        <w:numPr>
          <w:ilvl w:val="0"/>
          <w:numId w:val="14"/>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2</w:t>
      </w:r>
      <w:r>
        <w:rPr>
          <w:rFonts w:hint="default"/>
          <w:lang w:val="en-US" w:eastAsia="sv-SE"/>
        </w:rPr>
        <w:t xml:space="preserve">: Adapt the number of ROs per SSB, where the NW can configure uneven number of ROs associated with each SSB. For example in Fig. 6. the number of ROs associated with SSB #2 is reduced, so that NW could stop monitoring on some ROs for some SSBs. </w:t>
      </w:r>
    </w:p>
    <w:p>
      <w:r>
        <w:drawing>
          <wp:inline distT="0" distB="0" distL="114300" distR="114300">
            <wp:extent cx="5599430" cy="1088390"/>
            <wp:effectExtent l="0" t="0" r="13970" b="3810"/>
            <wp:docPr id="1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7"/>
                    <pic:cNvPicPr>
                      <a:picLocks noChangeAspect="1"/>
                    </pic:cNvPicPr>
                  </pic:nvPicPr>
                  <pic:blipFill>
                    <a:blip r:embed="rId10"/>
                    <a:stretch>
                      <a:fillRect/>
                    </a:stretch>
                  </pic:blipFill>
                  <pic:spPr>
                    <a:xfrm>
                      <a:off x="0" y="0"/>
                      <a:ext cx="5599430" cy="1088390"/>
                    </a:xfrm>
                    <a:prstGeom prst="rect">
                      <a:avLst/>
                    </a:prstGeom>
                    <a:noFill/>
                    <a:ln>
                      <a:noFill/>
                    </a:ln>
                  </pic:spPr>
                </pic:pic>
              </a:graphicData>
            </a:graphic>
          </wp:inline>
        </w:drawing>
      </w:r>
    </w:p>
    <w:p>
      <w:pPr>
        <w:jc w:val="center"/>
        <w:rPr>
          <w:rFonts w:hint="default"/>
          <w:lang w:val="en-US" w:eastAsia="sv-SE"/>
        </w:rPr>
      </w:pPr>
      <w:r>
        <w:rPr>
          <w:rFonts w:hint="default"/>
          <w:lang w:val="en-US"/>
        </w:rPr>
        <w:t>Fig.6 Adapt the number of ROs per SSB</w:t>
      </w:r>
    </w:p>
    <w:p>
      <w:pPr>
        <w:numPr>
          <w:ilvl w:val="0"/>
          <w:numId w:val="14"/>
        </w:numPr>
        <w:ind w:left="420" w:leftChars="0" w:hanging="420" w:firstLineChars="0"/>
        <w:rPr>
          <w:rFonts w:hint="default"/>
          <w:lang w:val="en-US" w:eastAsia="sv-SE"/>
        </w:rPr>
      </w:pPr>
      <w:r>
        <w:rPr>
          <w:rFonts w:hint="default" w:ascii="Times New Roman Bold" w:hAnsi="Times New Roman Bold" w:cs="Times New Roman Bold"/>
          <w:b/>
          <w:bCs/>
          <w:lang w:val="en-US" w:eastAsia="sv-SE"/>
        </w:rPr>
        <w:t>Option 3</w:t>
      </w:r>
      <w:r>
        <w:rPr>
          <w:rFonts w:hint="default"/>
          <w:lang w:val="en-US" w:eastAsia="sv-SE"/>
        </w:rPr>
        <w:t>: Adapt the number of preambles per RO per SSB, where the NW can configure uneven  number of preamble associated with each SSB. For example in Fig. 7</w:t>
      </w:r>
      <w:bookmarkStart w:id="5" w:name="_GoBack"/>
      <w:bookmarkEnd w:id="5"/>
      <w:r>
        <w:rPr>
          <w:rFonts w:hint="default"/>
          <w:lang w:val="en-US" w:eastAsia="sv-SE"/>
        </w:rPr>
        <w:t>, the number of preambles on each RO associated with SSB #2 is reduced, so that the NW hypothesis on this ROs could be reduced to save gNB computation complexity.</w:t>
      </w:r>
    </w:p>
    <w:p>
      <w:r>
        <w:drawing>
          <wp:inline distT="0" distB="0" distL="114300" distR="114300">
            <wp:extent cx="5598160" cy="1082040"/>
            <wp:effectExtent l="0" t="0" r="15240" b="10160"/>
            <wp:docPr id="1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30"/>
                    <pic:cNvPicPr>
                      <a:picLocks noChangeAspect="1"/>
                    </pic:cNvPicPr>
                  </pic:nvPicPr>
                  <pic:blipFill>
                    <a:blip r:embed="rId11"/>
                    <a:stretch>
                      <a:fillRect/>
                    </a:stretch>
                  </pic:blipFill>
                  <pic:spPr>
                    <a:xfrm>
                      <a:off x="0" y="0"/>
                      <a:ext cx="5598160" cy="1082040"/>
                    </a:xfrm>
                    <a:prstGeom prst="rect">
                      <a:avLst/>
                    </a:prstGeom>
                    <a:noFill/>
                    <a:ln>
                      <a:noFill/>
                    </a:ln>
                  </pic:spPr>
                </pic:pic>
              </a:graphicData>
            </a:graphic>
          </wp:inline>
        </w:drawing>
      </w:r>
    </w:p>
    <w:p>
      <w:pPr>
        <w:jc w:val="center"/>
        <w:rPr>
          <w:rFonts w:hint="default"/>
          <w:lang w:val="en-US" w:eastAsia="sv-SE"/>
        </w:rPr>
      </w:pPr>
      <w:r>
        <w:rPr>
          <w:rFonts w:hint="default"/>
          <w:lang w:val="en-US"/>
        </w:rPr>
        <w:t>Fig.7 Adapt the number of preambles per RO per SSB</w:t>
      </w: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10: PRACH adaptation in spatial domain can be supported via the following options: </w:t>
      </w:r>
    </w:p>
    <w:p>
      <w:pPr>
        <w:numPr>
          <w:ilvl w:val="0"/>
          <w:numId w:val="15"/>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1: Adapt the number of SSBs that NW actually monitors corresponding RO </w:t>
      </w:r>
    </w:p>
    <w:p>
      <w:pPr>
        <w:numPr>
          <w:ilvl w:val="0"/>
          <w:numId w:val="15"/>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Adapt uneven number of ROs per SSB</w:t>
      </w:r>
    </w:p>
    <w:p>
      <w:pPr>
        <w:numPr>
          <w:ilvl w:val="0"/>
          <w:numId w:val="15"/>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3: Adapt uneven number of preambles per RO per SSB</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eastAsia="Malgun Gothic" w:cs="Times New Roman"/>
          <w:sz w:val="36"/>
          <w:szCs w:val="36"/>
          <w:lang w:val="en-US" w:eastAsia="zh-CN" w:bidi="ar-SA"/>
        </w:rPr>
        <w:t>Paging adaptation</w:t>
      </w:r>
      <w:r>
        <w:rPr>
          <w:rFonts w:ascii="Times New Roman" w:hAnsi="Times New Roman" w:eastAsia="Malgun Gothic" w:cs="Times New Roman"/>
          <w:sz w:val="36"/>
          <w:szCs w:val="36"/>
          <w:lang w:val="en-US" w:eastAsia="zh-CN" w:bidi="ar-SA"/>
        </w:rPr>
        <w:t xml:space="preserve"> </w:t>
      </w:r>
    </w:p>
    <w:p>
      <w:pPr>
        <w:rPr>
          <w:rFonts w:hint="default"/>
          <w:lang w:val="en-US"/>
        </w:rPr>
      </w:pPr>
      <w:r>
        <w:rPr>
          <w:rFonts w:hint="default"/>
          <w:lang w:val="en-US"/>
        </w:rPr>
        <w:t>In RAN1 #116, the general agreement on study the paging adaptation was made. In this part, we provide our consideration on the potential schemes to provide more compact Paging occasions/frames.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7"/>
      </w:tblGrid>
      <w:tr>
        <w:tc>
          <w:tcPr>
            <w:tcW w:w="9057" w:type="dxa"/>
          </w:tcPr>
          <w:p>
            <w:pPr>
              <w:tabs>
                <w:tab w:val="left" w:pos="1440"/>
              </w:tabs>
              <w:autoSpaceDE/>
              <w:autoSpaceDN/>
              <w:spacing w:after="0" w:afterLines="-2147483648"/>
              <w:ind w:left="1440" w:hanging="1440"/>
              <w:jc w:val="left"/>
              <w:rPr>
                <w:rFonts w:ascii="Times" w:hAnsi="Times" w:eastAsia="Batang" w:cs="Times New Roman"/>
                <w:b/>
                <w:bCs/>
                <w:szCs w:val="24"/>
                <w:highlight w:val="green"/>
              </w:rPr>
            </w:pPr>
            <w:r>
              <w:rPr>
                <w:rFonts w:ascii="Times" w:hAnsi="Times" w:eastAsia="Batang" w:cs="Times New Roman"/>
                <w:b/>
                <w:bCs/>
                <w:szCs w:val="24"/>
                <w:highlight w:val="green"/>
              </w:rPr>
              <w:t>Agreement</w:t>
            </w:r>
          </w:p>
          <w:p>
            <w:pPr>
              <w:spacing w:after="0"/>
              <w:ind w:left="1440" w:hanging="1440"/>
              <w:jc w:val="both"/>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 xml:space="preserve">For adaptation of paging, </w:t>
            </w:r>
          </w:p>
          <w:p>
            <w:pPr>
              <w:numPr>
                <w:ilvl w:val="0"/>
                <w:numId w:val="16"/>
              </w:numPr>
              <w:tabs>
                <w:tab w:val="left" w:pos="800"/>
              </w:tabs>
              <w:spacing w:after="0"/>
              <w:ind w:left="800" w:leftChars="0" w:hanging="440" w:firstLineChars="0"/>
              <w:jc w:val="left"/>
              <w:rPr>
                <w:rFonts w:ascii="Times New Roman" w:hAnsi="Times New Roman" w:eastAsia="Batang" w:cs="Times New Roman"/>
                <w:szCs w:val="24"/>
                <w:lang w:val="en-GB" w:eastAsia="zh-CN" w:bidi="ar-SA"/>
              </w:rPr>
            </w:pPr>
            <w:r>
              <w:rPr>
                <w:rFonts w:ascii="Times New Roman" w:hAnsi="Times New Roman" w:eastAsia="Batang" w:cs="Times New Roman"/>
                <w:szCs w:val="24"/>
                <w:lang w:val="en-GB" w:eastAsia="zh-CN" w:bidi="ar-SA"/>
              </w:rPr>
              <w:t>Study further from RAN1 perspective, techniques for adaptation of paging occasions in time-domain and achievable network energy savings</w:t>
            </w:r>
          </w:p>
          <w:p>
            <w:pPr>
              <w:numPr>
                <w:ilvl w:val="0"/>
                <w:numId w:val="16"/>
              </w:numPr>
              <w:tabs>
                <w:tab w:val="left" w:pos="800"/>
              </w:tabs>
              <w:spacing w:after="0"/>
              <w:ind w:left="800" w:leftChars="0" w:hanging="440" w:firstLineChars="0"/>
              <w:jc w:val="left"/>
              <w:rPr>
                <w:rFonts w:hint="default"/>
                <w:vertAlign w:val="baseline"/>
                <w:lang w:val="en-US"/>
              </w:rPr>
            </w:pPr>
            <w:r>
              <w:rPr>
                <w:rFonts w:ascii="Times New Roman" w:hAnsi="Times New Roman" w:eastAsia="Batang" w:cs="Times New Roman"/>
                <w:szCs w:val="24"/>
                <w:lang w:val="en-GB" w:eastAsia="zh-CN" w:bidi="ar-SA"/>
              </w:rPr>
              <w:t>Note: Specification details for PO/PF determination and paging-related configuration/procedures to be handled by RAN2</w:t>
            </w:r>
          </w:p>
        </w:tc>
      </w:tr>
    </w:tbl>
    <w:p>
      <w:pPr>
        <w:rPr>
          <w:rFonts w:hint="default"/>
          <w:lang w:val="en-US"/>
        </w:rPr>
      </w:pPr>
    </w:p>
    <w:p>
      <w:pPr>
        <w:rPr>
          <w:rFonts w:hint="default"/>
          <w:lang w:val="en-US"/>
        </w:rPr>
      </w:pPr>
      <w:r>
        <w:rPr>
          <w:rFonts w:hint="default"/>
          <w:lang w:val="en-US"/>
        </w:rPr>
        <w:t xml:space="preserve">In legacy NR design, paging configuration is configured in </w:t>
      </w:r>
      <w:r>
        <w:rPr>
          <w:rFonts w:hint="default" w:ascii="Times New Roman Italic" w:hAnsi="Times New Roman Italic" w:cs="Times New Roman Italic"/>
          <w:i/>
          <w:iCs/>
          <w:lang w:val="en-US"/>
        </w:rPr>
        <w:t xml:space="preserve">PCCH-Config </w:t>
      </w:r>
      <w:r>
        <w:rPr>
          <w:rFonts w:hint="default"/>
          <w:lang w:val="en-US"/>
        </w:rPr>
        <w:t>in SIB1.</w:t>
      </w:r>
    </w:p>
    <w:p>
      <w:pPr>
        <w:pStyle w:val="50"/>
      </w:pPr>
      <w:r>
        <w:t xml:space="preserve">PCCH-Config ::=             </w:t>
      </w:r>
      <w:r>
        <w:rPr>
          <w:color w:val="993366"/>
        </w:rPr>
        <w:t>SEQUENCE</w:t>
      </w:r>
      <w:r>
        <w:t xml:space="preserve"> {</w:t>
      </w:r>
    </w:p>
    <w:p>
      <w:pPr>
        <w:pStyle w:val="50"/>
      </w:pPr>
      <w:r>
        <w:t xml:space="preserve">    defaultPagingCycle                  PagingCycle,</w:t>
      </w:r>
    </w:p>
    <w:p>
      <w:pPr>
        <w:pStyle w:val="50"/>
      </w:pPr>
      <w:r>
        <w:t xml:space="preserve">    nAndPagingFrameOffset               </w:t>
      </w:r>
      <w:r>
        <w:rPr>
          <w:color w:val="993366"/>
        </w:rPr>
        <w:t>CHOICE</w:t>
      </w:r>
      <w:r>
        <w:t xml:space="preserve"> {</w:t>
      </w:r>
    </w:p>
    <w:p>
      <w:pPr>
        <w:pStyle w:val="50"/>
      </w:pPr>
      <w:r>
        <w:t xml:space="preserve">        oneT                                </w:t>
      </w:r>
      <w:r>
        <w:rPr>
          <w:color w:val="993366"/>
        </w:rPr>
        <w:t>NULL</w:t>
      </w:r>
      <w:r>
        <w:t>,</w:t>
      </w:r>
    </w:p>
    <w:p>
      <w:pPr>
        <w:pStyle w:val="50"/>
      </w:pPr>
      <w:r>
        <w:t xml:space="preserve">        halfT                               </w:t>
      </w:r>
      <w:r>
        <w:rPr>
          <w:color w:val="993366"/>
        </w:rPr>
        <w:t>INTEGER</w:t>
      </w:r>
      <w:r>
        <w:t xml:space="preserve"> (0..1),</w:t>
      </w:r>
    </w:p>
    <w:p>
      <w:pPr>
        <w:pStyle w:val="50"/>
      </w:pPr>
      <w:r>
        <w:t xml:space="preserve">        quarterT                            </w:t>
      </w:r>
      <w:r>
        <w:rPr>
          <w:color w:val="993366"/>
        </w:rPr>
        <w:t>INTEGER</w:t>
      </w:r>
      <w:r>
        <w:t xml:space="preserve"> (0..3),</w:t>
      </w:r>
    </w:p>
    <w:p>
      <w:pPr>
        <w:pStyle w:val="50"/>
      </w:pPr>
      <w:r>
        <w:t xml:space="preserve">        oneEighthT                          </w:t>
      </w:r>
      <w:r>
        <w:rPr>
          <w:color w:val="993366"/>
        </w:rPr>
        <w:t>INTEGER</w:t>
      </w:r>
      <w:r>
        <w:t xml:space="preserve"> (0..7),</w:t>
      </w:r>
    </w:p>
    <w:p>
      <w:pPr>
        <w:pStyle w:val="50"/>
      </w:pPr>
      <w:r>
        <w:t xml:space="preserve">        oneSixteenthT                       </w:t>
      </w:r>
      <w:r>
        <w:rPr>
          <w:color w:val="993366"/>
        </w:rPr>
        <w:t>INTEGER</w:t>
      </w:r>
      <w:r>
        <w:t xml:space="preserve"> (0..15)</w:t>
      </w:r>
    </w:p>
    <w:p>
      <w:pPr>
        <w:pStyle w:val="50"/>
      </w:pPr>
      <w:r>
        <w:t xml:space="preserve">    },</w:t>
      </w:r>
    </w:p>
    <w:p>
      <w:pPr>
        <w:pStyle w:val="50"/>
      </w:pPr>
      <w:r>
        <w:t xml:space="preserve">    ns                                  </w:t>
      </w:r>
      <w:r>
        <w:rPr>
          <w:color w:val="993366"/>
        </w:rPr>
        <w:t>ENUMERATED</w:t>
      </w:r>
      <w:r>
        <w:t xml:space="preserve"> {four, two, one},</w:t>
      </w:r>
    </w:p>
    <w:p>
      <w:pPr>
        <w:rPr>
          <w:rFonts w:hint="default"/>
          <w:lang w:val="en-US"/>
        </w:rPr>
      </w:pPr>
      <w:r>
        <w:rPr>
          <w:rFonts w:hint="default"/>
          <w:lang w:val="en-US"/>
        </w:rPr>
        <w:t>The PF and PO for paging are determined by the following formulae:</w:t>
      </w:r>
    </w:p>
    <w:p>
      <w:pPr>
        <w:ind w:firstLine="799" w:firstLineChars="0"/>
        <w:rPr>
          <w:rFonts w:hint="default"/>
          <w:lang w:val="en-US"/>
        </w:rPr>
      </w:pPr>
      <w:r>
        <w:rPr>
          <w:rFonts w:hint="default"/>
          <w:lang w:val="en-US"/>
        </w:rPr>
        <w:t>SFN for the PF is determined by:</w:t>
      </w:r>
    </w:p>
    <w:p>
      <w:pPr>
        <w:ind w:left="799" w:leftChars="0" w:firstLine="799" w:firstLineChars="0"/>
        <w:rPr>
          <w:rFonts w:hint="default"/>
          <w:lang w:val="en-US"/>
        </w:rPr>
      </w:pPr>
      <w:r>
        <w:rPr>
          <w:rFonts w:hint="default"/>
          <w:lang w:val="en-US"/>
        </w:rPr>
        <w:t>(SFN + PF_offset) mod T = (T div N)*(UE_ID mod N)</w:t>
      </w:r>
    </w:p>
    <w:p>
      <w:pPr>
        <w:ind w:firstLine="799" w:firstLineChars="0"/>
        <w:rPr>
          <w:rFonts w:hint="default"/>
          <w:lang w:val="en-US"/>
        </w:rPr>
      </w:pPr>
      <w:r>
        <w:rPr>
          <w:rFonts w:hint="default"/>
          <w:lang w:val="en-US"/>
        </w:rPr>
        <w:t>Index (i_s), indicating the index of the PO is determined by:</w:t>
      </w:r>
    </w:p>
    <w:p>
      <w:pPr>
        <w:ind w:left="799" w:leftChars="0" w:firstLine="799" w:firstLineChars="0"/>
        <w:rPr>
          <w:rFonts w:hint="default"/>
          <w:lang w:val="en-US"/>
        </w:rPr>
      </w:pPr>
      <w:r>
        <w:rPr>
          <w:rFonts w:hint="default"/>
          <w:lang w:val="en-US"/>
        </w:rPr>
        <w:t>i_s = floor (UE_ID/N) mod Ns</w:t>
      </w:r>
    </w:p>
    <w:p>
      <w:r>
        <w:rPr>
          <w:rFonts w:hint="default"/>
          <w:lang w:val="en-US"/>
        </w:rPr>
        <w:t>where t</w:t>
      </w:r>
      <w:r>
        <w:t>he following parameters are used for the calculation of PF and i_s above:</w:t>
      </w:r>
    </w:p>
    <w:p>
      <w:pPr>
        <w:ind w:firstLine="799" w:firstLineChars="0"/>
        <w:rPr>
          <w:rFonts w:hint="default"/>
          <w:lang w:val="en-US"/>
        </w:rPr>
      </w:pPr>
      <w:r>
        <w:rPr>
          <w:rFonts w:hint="default"/>
          <w:lang w:val="en-US"/>
        </w:rPr>
        <w:t>T: DRX cycle of the UE.</w:t>
      </w:r>
    </w:p>
    <w:p>
      <w:pPr>
        <w:ind w:firstLine="799" w:firstLineChars="0"/>
        <w:rPr>
          <w:rFonts w:hint="default"/>
          <w:lang w:val="en-US" w:eastAsia="ko-KR"/>
        </w:rPr>
      </w:pPr>
      <w:r>
        <w:rPr>
          <w:rFonts w:hint="default"/>
          <w:lang w:val="en-US"/>
        </w:rPr>
        <w:t xml:space="preserve">N: number of total paging </w:t>
      </w:r>
      <w:r>
        <w:rPr>
          <w:rFonts w:hint="default"/>
          <w:lang w:val="en-US" w:eastAsia="ko-KR"/>
        </w:rPr>
        <w:t>frames</w:t>
      </w:r>
      <w:r>
        <w:rPr>
          <w:rFonts w:hint="default"/>
          <w:lang w:val="en-US"/>
        </w:rPr>
        <w:t xml:space="preserve"> in T</w:t>
      </w:r>
    </w:p>
    <w:p>
      <w:pPr>
        <w:ind w:firstLine="799" w:firstLineChars="0"/>
        <w:rPr>
          <w:rFonts w:hint="default"/>
          <w:lang w:val="en-US" w:eastAsia="zh-CN"/>
        </w:rPr>
      </w:pPr>
      <w:r>
        <w:rPr>
          <w:rFonts w:hint="default"/>
          <w:lang w:val="en-US" w:eastAsia="ko-KR"/>
        </w:rPr>
        <w:t xml:space="preserve">Ns: number of paging </w:t>
      </w:r>
      <w:r>
        <w:rPr>
          <w:rFonts w:hint="default"/>
          <w:lang w:val="en-US"/>
        </w:rPr>
        <w:t xml:space="preserve">occasions </w:t>
      </w:r>
      <w:r>
        <w:rPr>
          <w:rFonts w:hint="default"/>
          <w:lang w:val="en-US" w:eastAsia="ko-KR"/>
        </w:rPr>
        <w:t>for a PF</w:t>
      </w:r>
    </w:p>
    <w:p>
      <w:pPr>
        <w:ind w:firstLine="799" w:firstLineChars="0"/>
        <w:rPr>
          <w:rFonts w:hint="default"/>
          <w:lang w:val="en-US" w:eastAsia="zh-CN"/>
        </w:rPr>
      </w:pPr>
      <w:r>
        <w:rPr>
          <w:rFonts w:hint="default"/>
          <w:lang w:val="en-US" w:eastAsia="zh-CN"/>
        </w:rPr>
        <w:t>PF_offset: offset used for PF determination</w:t>
      </w:r>
    </w:p>
    <w:p>
      <w:pPr>
        <w:ind w:firstLine="799" w:firstLineChars="0"/>
        <w:rPr>
          <w:rFonts w:hint="default"/>
          <w:lang w:val="en-US"/>
        </w:rPr>
      </w:pPr>
      <w:r>
        <w:rPr>
          <w:rFonts w:hint="default"/>
          <w:lang w:val="en-US"/>
        </w:rPr>
        <w:t>UE_ID: 5G-S-TMSI mod 4096, if the UE operates in eDRX;  else: 5G-S-TMSI mod 1024</w:t>
      </w:r>
    </w:p>
    <w:p>
      <w:pPr>
        <w:rPr>
          <w:rFonts w:hint="default"/>
          <w:lang w:val="en-US"/>
        </w:rPr>
      </w:pPr>
      <w:r>
        <w:rPr>
          <w:rFonts w:hint="default"/>
          <w:lang w:val="en-US"/>
        </w:rPr>
        <w:t>Take the following parameters as an example, T = 128 frames default paging cycle, N=T/16, PF_offset = 0, then there are only 8 paging frames per 1280ms, and these 8 paging frames are uniformly distributed within the paging cycle due to the operation of (T div N). The UEs are then sequentially distributed to the PFs according to the UE_ID due to the operation of (UE_ID mod N).</w:t>
      </w:r>
    </w:p>
    <w:p>
      <w:pPr>
        <w:jc w:val="center"/>
      </w:pPr>
      <w:r>
        <w:drawing>
          <wp:inline distT="0" distB="0" distL="114300" distR="114300">
            <wp:extent cx="3633470" cy="944245"/>
            <wp:effectExtent l="0" t="0" r="0" b="20955"/>
            <wp:docPr id="19"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31"/>
                    <pic:cNvPicPr>
                      <a:picLocks noChangeAspect="1"/>
                    </pic:cNvPicPr>
                  </pic:nvPicPr>
                  <pic:blipFill>
                    <a:blip r:embed="rId12"/>
                    <a:stretch>
                      <a:fillRect/>
                    </a:stretch>
                  </pic:blipFill>
                  <pic:spPr>
                    <a:xfrm>
                      <a:off x="0" y="0"/>
                      <a:ext cx="3633470" cy="944245"/>
                    </a:xfrm>
                    <a:prstGeom prst="rect">
                      <a:avLst/>
                    </a:prstGeom>
                    <a:noFill/>
                    <a:ln>
                      <a:noFill/>
                    </a:ln>
                  </pic:spPr>
                </pic:pic>
              </a:graphicData>
            </a:graphic>
          </wp:inline>
        </w:drawing>
      </w:r>
    </w:p>
    <w:p>
      <w:pPr>
        <w:jc w:val="center"/>
        <w:rPr>
          <w:rFonts w:hint="default"/>
          <w:lang w:val="en-US"/>
        </w:rPr>
      </w:pPr>
      <w:r>
        <w:rPr>
          <w:rFonts w:hint="default"/>
          <w:lang w:val="en-US"/>
        </w:rPr>
        <w:t>Fig.8 Legacy PF and UE distribution in a paging cycle</w:t>
      </w:r>
    </w:p>
    <w:p>
      <w:pPr>
        <w:jc w:val="both"/>
        <w:rPr>
          <w:rFonts w:hint="default"/>
          <w:lang w:val="en-US"/>
        </w:rPr>
      </w:pPr>
      <w:r>
        <w:rPr>
          <w:rFonts w:hint="default"/>
          <w:sz w:val="20"/>
          <w:szCs w:val="20"/>
          <w:lang w:val="en-US"/>
        </w:rPr>
        <w:t xml:space="preserve">For Rel-19 NES enhancement, the intention is to group the </w:t>
      </w:r>
      <w:r>
        <w:t>paging resources in a compact manner,</w:t>
      </w:r>
      <w:r>
        <w:rPr>
          <w:rFonts w:hint="default"/>
          <w:lang w:val="en-US"/>
        </w:rPr>
        <w:t xml:space="preserve"> so that network may have more time to sleep within a paging cycle. We propose the following options for further staggering paging resources. </w:t>
      </w:r>
    </w:p>
    <w:p>
      <w:pPr>
        <w:numPr>
          <w:ilvl w:val="0"/>
          <w:numId w:val="17"/>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ind w:left="0" w:leftChars="0" w:firstLine="0" w:firstLineChars="0"/>
        <w:jc w:val="both"/>
        <w:rPr>
          <w:rFonts w:hint="default" w:ascii="Times New Roman" w:hAnsi="Times New Roman" w:cs="Times New Roman"/>
          <w:b w:val="0"/>
          <w:bCs w:val="0"/>
          <w:lang w:val="en-US"/>
        </w:rPr>
      </w:pPr>
      <w:r>
        <w:rPr>
          <w:rFonts w:hint="default" w:ascii="Times New Roman" w:hAnsi="Times New Roman" w:cs="Times New Roman"/>
          <w:b w:val="0"/>
          <w:bCs w:val="0"/>
          <w:lang w:val="en-US"/>
        </w:rPr>
        <w:t>Since the multiple paging frames are evenly distributed in the paging cycle, the simplest way is to configure only on</w:t>
      </w:r>
      <w:r>
        <w:rPr>
          <w:rFonts w:hint="default" w:cs="Times New Roman"/>
          <w:b w:val="0"/>
          <w:bCs w:val="0"/>
          <w:lang w:val="en-US"/>
        </w:rPr>
        <w:t>e</w:t>
      </w:r>
      <w:r>
        <w:rPr>
          <w:rFonts w:hint="default" w:ascii="Times New Roman" w:hAnsi="Times New Roman" w:cs="Times New Roman"/>
          <w:b w:val="0"/>
          <w:bCs w:val="0"/>
          <w:lang w:val="en-US"/>
        </w:rPr>
        <w:t xml:space="preserve"> PF within the paging cycle, i.e. enable N = 1. </w:t>
      </w:r>
    </w:p>
    <w:p>
      <w:pPr>
        <w:ind w:left="0" w:leftChars="0" w:firstLine="0" w:firstLineChars="0"/>
        <w:jc w:val="both"/>
        <w:rPr>
          <w:rFonts w:hint="default"/>
          <w:lang w:val="en-US"/>
        </w:rPr>
      </w:pPr>
      <w:r>
        <w:rPr>
          <w:rFonts w:hint="default"/>
          <w:lang w:val="en-US"/>
        </w:rPr>
        <w:t xml:space="preserve">This requires change to the RRC configuration to allow more values configured for </w:t>
      </w:r>
      <w:r>
        <w:t>nAndPagingFrameOffset</w:t>
      </w:r>
      <w:r>
        <w:rPr>
          <w:rFonts w:hint="default"/>
          <w:lang w:val="en-US"/>
        </w:rPr>
        <w:t xml:space="preserve">, that is at least extend from T/16 to T/32, T/64, T/128, T/256. Then for Paging cycle T=1280ms, N=T/128, we will have only one PF within the cycle. Consequently, to accommodate for the number of UEs to be paged within one paging frame, the number of subframes for paging occasions also need to be increased, i.e. value range of Ns also needs to be increased. </w:t>
      </w:r>
    </w:p>
    <w:p>
      <w:pPr>
        <w:jc w:val="center"/>
      </w:pPr>
      <w:r>
        <w:drawing>
          <wp:inline distT="0" distB="0" distL="114300" distR="114300">
            <wp:extent cx="1962150" cy="1222375"/>
            <wp:effectExtent l="0" t="0" r="19050" b="0"/>
            <wp:docPr id="2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34"/>
                    <pic:cNvPicPr>
                      <a:picLocks noChangeAspect="1"/>
                    </pic:cNvPicPr>
                  </pic:nvPicPr>
                  <pic:blipFill>
                    <a:blip r:embed="rId13"/>
                    <a:stretch>
                      <a:fillRect/>
                    </a:stretch>
                  </pic:blipFill>
                  <pic:spPr>
                    <a:xfrm>
                      <a:off x="0" y="0"/>
                      <a:ext cx="1962150" cy="1222375"/>
                    </a:xfrm>
                    <a:prstGeom prst="rect">
                      <a:avLst/>
                    </a:prstGeom>
                    <a:noFill/>
                    <a:ln>
                      <a:noFill/>
                    </a:ln>
                  </pic:spPr>
                </pic:pic>
              </a:graphicData>
            </a:graphic>
          </wp:inline>
        </w:drawing>
      </w:r>
    </w:p>
    <w:p>
      <w:pPr>
        <w:jc w:val="center"/>
        <w:rPr>
          <w:rFonts w:hint="default"/>
          <w:lang w:val="en-US"/>
        </w:rPr>
      </w:pPr>
      <w:r>
        <w:rPr>
          <w:rFonts w:hint="default"/>
          <w:lang w:val="en-US"/>
        </w:rPr>
        <w:t>Fig.9 Enable configuring only one PF for every paging cycle</w:t>
      </w:r>
    </w:p>
    <w:p>
      <w:pPr>
        <w:jc w:val="both"/>
        <w:rPr>
          <w:rFonts w:hint="default"/>
          <w:lang w:val="en-US"/>
        </w:rPr>
      </w:pPr>
      <w:r>
        <w:rPr>
          <w:rFonts w:hint="default"/>
          <w:lang w:val="en-US"/>
        </w:rPr>
        <w:t xml:space="preserve">With this option, the length of the paging frame would be longer with more monitoring occasions, and possibly larger paging group. </w:t>
      </w:r>
    </w:p>
    <w:p>
      <w:pPr>
        <w:numPr>
          <w:ilvl w:val="0"/>
          <w:numId w:val="17"/>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Another option is to stagger the uniformly distributed PFs into consecutive PFs. Since the uniform distribution of PF is due to the (T div N) operation PF calculation equation, we could concentrate PFs within one paging cycle by changing the equation to (SFN + PF_offset) mod T = UE_ID mod N, while the PO calculation equation remains unchanged. </w:t>
      </w:r>
    </w:p>
    <w:p>
      <w:pPr>
        <w:jc w:val="center"/>
      </w:pPr>
      <w:r>
        <w:drawing>
          <wp:inline distT="0" distB="0" distL="114300" distR="114300">
            <wp:extent cx="2851785" cy="1032510"/>
            <wp:effectExtent l="0" t="0" r="18415" b="8255"/>
            <wp:docPr id="2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35"/>
                    <pic:cNvPicPr>
                      <a:picLocks noChangeAspect="1"/>
                    </pic:cNvPicPr>
                  </pic:nvPicPr>
                  <pic:blipFill>
                    <a:blip r:embed="rId14"/>
                    <a:stretch>
                      <a:fillRect/>
                    </a:stretch>
                  </pic:blipFill>
                  <pic:spPr>
                    <a:xfrm>
                      <a:off x="0" y="0"/>
                      <a:ext cx="2851785" cy="1032510"/>
                    </a:xfrm>
                    <a:prstGeom prst="rect">
                      <a:avLst/>
                    </a:prstGeom>
                    <a:noFill/>
                    <a:ln>
                      <a:noFill/>
                    </a:ln>
                  </pic:spPr>
                </pic:pic>
              </a:graphicData>
            </a:graphic>
          </wp:inline>
        </w:drawing>
      </w:r>
    </w:p>
    <w:p>
      <w:pPr>
        <w:jc w:val="center"/>
        <w:rPr>
          <w:rFonts w:hint="default"/>
          <w:lang w:val="en-US"/>
        </w:rPr>
      </w:pPr>
      <w:r>
        <w:rPr>
          <w:rFonts w:hint="default"/>
          <w:lang w:val="en-US"/>
        </w:rPr>
        <w:t>Fig.10 Staggering distributed PRs into consecutive PFs</w:t>
      </w:r>
    </w:p>
    <w:p>
      <w:pPr>
        <w:jc w:val="left"/>
        <w:rPr>
          <w:rFonts w:hint="default" w:ascii="Times New Roman Bold" w:hAnsi="Times New Roman Bold" w:cs="Times New Roman Bold"/>
          <w:b/>
          <w:bCs/>
          <w:lang w:val="en-US"/>
        </w:rPr>
      </w:pPr>
      <w:r>
        <w:rPr>
          <w:rFonts w:hint="default" w:ascii="Times New Roman" w:hAnsi="Times New Roman" w:cs="Times New Roman"/>
          <w:lang w:val="en-US" w:eastAsia="zh-CN"/>
        </w:rPr>
        <w:t>Note that</w:t>
      </w:r>
      <w:r>
        <w:rPr>
          <w:rFonts w:hint="default" w:cs="Times New Roman"/>
          <w:lang w:val="en-US" w:eastAsia="zh-CN"/>
        </w:rPr>
        <w:t>,</w:t>
      </w:r>
      <w:r>
        <w:rPr>
          <w:rFonts w:hint="default" w:ascii="Times New Roman" w:hAnsi="Times New Roman" w:cs="Times New Roman"/>
          <w:lang w:val="en-US" w:eastAsia="zh-CN"/>
        </w:rPr>
        <w:t xml:space="preserve"> for Option 1 and Option 2, either the RRC configuration parameter or the PF equation is changed, </w:t>
      </w:r>
      <w:r>
        <w:rPr>
          <w:rFonts w:hint="eastAsia" w:eastAsia="Malgun Gothic" w:cs="Times New Roman"/>
          <w:lang w:val="en-US" w:eastAsia="ko-KR"/>
        </w:rPr>
        <w:t xml:space="preserve">and thus </w:t>
      </w:r>
      <w:r>
        <w:rPr>
          <w:rFonts w:hint="default" w:ascii="Times New Roman" w:hAnsi="Times New Roman" w:cs="Times New Roman"/>
          <w:lang w:val="en-US" w:eastAsia="zh-CN"/>
        </w:rPr>
        <w:t xml:space="preserve">they actually changed the paging resource from network perspective. Legacy UEs can not recognize these resource, therefore, separate resources needs to be configured for legacy UEs and new UEs. </w:t>
      </w:r>
    </w:p>
    <w:p>
      <w:pPr>
        <w:numPr>
          <w:ilvl w:val="0"/>
          <w:numId w:val="17"/>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to enable gNB sleeping in PFs without UE mapping </w:t>
      </w:r>
    </w:p>
    <w:p>
      <w:pPr>
        <w:rPr>
          <w:rFonts w:hint="default"/>
          <w:lang w:val="en-US"/>
        </w:rPr>
      </w:pPr>
      <w:r>
        <w:rPr>
          <w:rFonts w:hint="default" w:cs="Times New Roman"/>
          <w:b w:val="0"/>
          <w:bCs w:val="0"/>
          <w:lang w:val="en-US"/>
        </w:rPr>
        <w:t xml:space="preserve">In legacy PF mapping formula, the UEs are sequentially mapped to PFs according to their UE_ID, according to the operation </w:t>
      </w:r>
      <w:r>
        <w:rPr>
          <w:rFonts w:hint="default"/>
          <w:lang w:val="en-US"/>
        </w:rPr>
        <w:t xml:space="preserve">(UE_ID mod N). To allow more time for gNB sleeping, if the UEs could be mapped to only a subset of concentrated PFs, e.g. the first several PFs, it would allow gNB to sleep for the rest PFs. </w:t>
      </w:r>
    </w:p>
    <w:p>
      <w:pPr>
        <w:rPr>
          <w:rFonts w:hint="default"/>
          <w:lang w:val="en-US"/>
        </w:rPr>
      </w:pPr>
      <w:r>
        <w:rPr>
          <w:rFonts w:hint="default"/>
          <w:lang w:val="en-US"/>
        </w:rPr>
        <w:t>Rel-19 NES UEs could be configured with a group_ID to replace UE_ID when determining the PF and PO</w:t>
      </w:r>
      <w:r>
        <w:rPr>
          <w:rFonts w:hint="eastAsia" w:eastAsia="Malgun Gothic"/>
          <w:lang w:val="en-US" w:eastAsia="ko-KR"/>
        </w:rPr>
        <w:t>. Therefore,</w:t>
      </w:r>
      <w:r>
        <w:rPr>
          <w:rFonts w:hint="default"/>
          <w:lang w:val="en-US"/>
        </w:rPr>
        <w:t xml:space="preserve"> the UEs that are configured with the same group_ID will be confined within the same PF</w:t>
      </w:r>
      <w:r>
        <w:rPr>
          <w:rFonts w:hint="eastAsia" w:eastAsia="Malgun Gothic"/>
          <w:lang w:val="en-US" w:eastAsia="ko-KR"/>
        </w:rPr>
        <w:t>. B</w:t>
      </w:r>
      <w:r>
        <w:rPr>
          <w:rFonts w:hint="default"/>
          <w:lang w:val="en-US"/>
        </w:rPr>
        <w:t>y setting group_ID, NW could ensure that all these UEs are mapped to particular PFs instead of spread</w:t>
      </w:r>
      <w:r>
        <w:rPr>
          <w:rFonts w:hint="eastAsia" w:eastAsia="Malgun Gothic"/>
          <w:lang w:val="en-US" w:eastAsia="ko-KR"/>
        </w:rPr>
        <w:t>ing out</w:t>
      </w:r>
      <w:r>
        <w:rPr>
          <w:rFonts w:hint="default"/>
          <w:lang w:val="en-US"/>
        </w:rPr>
        <w:t xml:space="preserve"> all over the paging cycle. </w:t>
      </w:r>
    </w:p>
    <w:p>
      <w:pPr>
        <w:jc w:val="center"/>
      </w:pPr>
      <w:r>
        <w:drawing>
          <wp:inline distT="0" distB="0" distL="114300" distR="114300">
            <wp:extent cx="3301365" cy="1783080"/>
            <wp:effectExtent l="0" t="0" r="635" b="20320"/>
            <wp:docPr id="2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36"/>
                    <pic:cNvPicPr>
                      <a:picLocks noChangeAspect="1"/>
                    </pic:cNvPicPr>
                  </pic:nvPicPr>
                  <pic:blipFill>
                    <a:blip r:embed="rId15"/>
                    <a:stretch>
                      <a:fillRect/>
                    </a:stretch>
                  </pic:blipFill>
                  <pic:spPr>
                    <a:xfrm>
                      <a:off x="0" y="0"/>
                      <a:ext cx="3301365" cy="1783080"/>
                    </a:xfrm>
                    <a:prstGeom prst="rect">
                      <a:avLst/>
                    </a:prstGeom>
                    <a:noFill/>
                    <a:ln>
                      <a:noFill/>
                    </a:ln>
                  </pic:spPr>
                </pic:pic>
              </a:graphicData>
            </a:graphic>
          </wp:inline>
        </w:drawing>
      </w:r>
    </w:p>
    <w:p>
      <w:pPr>
        <w:jc w:val="center"/>
        <w:rPr>
          <w:rFonts w:hint="default"/>
          <w:lang w:val="en-US"/>
        </w:rPr>
      </w:pPr>
      <w:r>
        <w:rPr>
          <w:rFonts w:hint="default"/>
          <w:lang w:val="en-US"/>
        </w:rPr>
        <w:t>Fig.11 Mapping UEs to concentrated PF/POs</w:t>
      </w:r>
    </w:p>
    <w:p>
      <w:pPr>
        <w:jc w:val="left"/>
        <w:rPr>
          <w:rFonts w:hint="default"/>
          <w:lang w:val="en-US"/>
        </w:rPr>
      </w:pPr>
      <w:r>
        <w:rPr>
          <w:rFonts w:hint="default"/>
          <w:lang w:val="en-US"/>
        </w:rPr>
        <w:t xml:space="preserve">By using Option 3, even when legacy UEs and Rel-19 NES-capable UEs share the same paging resource, it also provides gNB opportunity to sleep if gNB finds there are no legacy UEs to page on those PFs that there are fewer UEs mapped.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11: Consider the following options for Paging adaptation </w:t>
      </w:r>
    </w:p>
    <w:p>
      <w:pPr>
        <w:numPr>
          <w:ilvl w:val="0"/>
          <w:numId w:val="17"/>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numPr>
          <w:ilvl w:val="0"/>
          <w:numId w:val="17"/>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numPr>
          <w:ilvl w:val="0"/>
          <w:numId w:val="17"/>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w:t>
      </w:r>
    </w:p>
    <w:p>
      <w:pPr>
        <w:jc w:val="left"/>
        <w:rPr>
          <w:rFonts w:hint="default"/>
          <w:lang w:val="en-US"/>
        </w:rPr>
      </w:pPr>
    </w:p>
    <w:p>
      <w:pPr>
        <w:jc w:val="left"/>
        <w:rPr>
          <w:rFonts w:hint="default" w:cs="Times New Roman"/>
          <w:b w:val="0"/>
          <w:bCs w:val="0"/>
          <w:lang w:val="en-US"/>
        </w:rPr>
      </w:pPr>
      <w:r>
        <w:rPr>
          <w:rFonts w:hint="default" w:ascii="Times New Roman" w:hAnsi="Times New Roman" w:cs="Times New Roman"/>
          <w:b w:val="0"/>
          <w:bCs w:val="0"/>
          <w:lang w:val="en-US"/>
        </w:rPr>
        <w:t xml:space="preserve">Note that in Rel-17, PEI was introduced enable UE power saving in idle/inactive mode. With the adaptation of PFs and POs, the PEI indication may also need to be adapted as well. </w:t>
      </w:r>
      <w:r>
        <w:rPr>
          <w:rFonts w:hint="default" w:cs="Times New Roman"/>
          <w:b w:val="0"/>
          <w:bCs w:val="0"/>
          <w:lang w:val="en-US"/>
        </w:rPr>
        <w:t>The impact of paging resource adaptation on PEI should also be considered.</w:t>
      </w:r>
    </w:p>
    <w:p>
      <w:pPr>
        <w:rPr>
          <w:rFonts w:hint="default"/>
          <w:lang w:val="en-US"/>
        </w:rPr>
      </w:pPr>
      <w:r>
        <w:rPr>
          <w:rFonts w:hint="default" w:ascii="Times New Roman Bold" w:hAnsi="Times New Roman Bold" w:cs="Times New Roman Bold"/>
          <w:b/>
          <w:bCs/>
          <w:lang w:val="en-US"/>
        </w:rPr>
        <w:t xml:space="preserve">Proposal 12: Impact of paging resource adaptation on PEI should also be considered.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In this contribution, we</w:t>
      </w:r>
      <w:r>
        <w:rPr>
          <w:rFonts w:hint="default" w:eastAsia="Times New Roman" w:cs="Times New Roman"/>
          <w:lang w:val="en-US" w:eastAsia="zh-CN"/>
        </w:rPr>
        <w:t xml:space="preserve"> discussed on the signaling and adaptation mechanisms for common SSB, PRACH and Paging for Rel-19 NES enhancements, the following proposal are made: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SSB adaptation</w:t>
      </w:r>
    </w:p>
    <w:p>
      <w:pPr>
        <w:bidi w:val="0"/>
        <w:rPr>
          <w:rFonts w:hint="default"/>
          <w:lang w:val="en-US" w:eastAsia="zh-CN"/>
        </w:rPr>
      </w:pPr>
      <w:r>
        <w:rPr>
          <w:rFonts w:hint="default" w:ascii="Times New Roman Bold" w:hAnsi="Times New Roman Bold" w:cs="Times New Roman Bold"/>
          <w:b/>
          <w:bCs/>
          <w:lang w:val="en-US" w:eastAsia="zh-CN"/>
        </w:rPr>
        <w:t xml:space="preserve">Observation 1: </w:t>
      </w:r>
      <w:r>
        <w:rPr>
          <w:rFonts w:hint="default" w:ascii="Times New Roman" w:hAnsi="Times New Roman" w:cs="Times New Roman"/>
          <w:b/>
          <w:bCs/>
          <w:lang w:val="en-US" w:eastAsia="zh-CN"/>
        </w:rPr>
        <w:t xml:space="preserve">From network perspective, if the SSB allows IDLE/INACTIVE UE camping, but the adaptation is only supported for CONNECTED UEs, the network still cannot transmit these SSBs in a sparser way, thus has no energy saving gain. </w:t>
      </w: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Observation 2: Setting ‘cellBarred’ as barred for SSBs on sync raster could avoid impact to IDLE/INACTIVE UEs, but may increase UE cell search complexity and UE power consumption. </w:t>
      </w:r>
    </w:p>
    <w:p>
      <w:pPr>
        <w:bidi w:val="0"/>
        <w:rPr>
          <w:rFonts w:hint="default" w:ascii="Times New Roman" w:hAnsi="Times New Roman" w:cs="Times New Roman"/>
          <w:b/>
          <w:bCs/>
          <w:lang w:val="en-US" w:eastAsia="zh-CN"/>
        </w:rPr>
      </w:pPr>
      <w:r>
        <w:rPr>
          <w:rFonts w:hint="default" w:ascii="Times New Roman Bold" w:hAnsi="Times New Roman Bold" w:cs="Times New Roman Bold"/>
          <w:b/>
          <w:bCs/>
          <w:lang w:val="en-US" w:eastAsia="zh-CN"/>
        </w:rPr>
        <w:t>Observation 3:</w:t>
      </w:r>
      <w:r>
        <w:rPr>
          <w:rFonts w:hint="default" w:ascii="Times New Roman" w:hAnsi="Times New Roman" w:cs="Times New Roman"/>
          <w:b/>
          <w:bCs/>
          <w:lang w:val="en-US" w:eastAsia="zh-CN"/>
        </w:rPr>
        <w:t xml:space="preserve"> The enhancements to support SSB adaptation for IDLE/INACTIVE UEs include at least allowing only cell reselection to the SSBs supporting the adaptation, which has impact on cell selection and reselection </w:t>
      </w:r>
      <w:r>
        <w:rPr>
          <w:rFonts w:hint="default" w:cs="Times New Roman"/>
          <w:b/>
          <w:bCs/>
          <w:lang w:val="en-US" w:eastAsia="zh-CN"/>
        </w:rPr>
        <w:t xml:space="preserve">criteria and </w:t>
      </w:r>
      <w:r>
        <w:rPr>
          <w:rFonts w:hint="default" w:ascii="Times New Roman" w:hAnsi="Times New Roman" w:cs="Times New Roman"/>
          <w:b/>
          <w:bCs/>
          <w:lang w:val="en-US" w:eastAsia="zh-CN"/>
        </w:rPr>
        <w:t>procedure for IDLE/INACITVE UEs</w:t>
      </w:r>
      <w:r>
        <w:rPr>
          <w:rFonts w:hint="default" w:cs="Times New Roman"/>
          <w:b/>
          <w:bCs/>
          <w:lang w:val="en-US" w:eastAsia="zh-CN"/>
        </w:rPr>
        <w:t>.</w:t>
      </w:r>
    </w:p>
    <w:p>
      <w:pPr>
        <w:bidi w:val="0"/>
        <w:rPr>
          <w:rFonts w:hint="default" w:ascii="Times New Roman" w:hAnsi="Times New Roman" w:cs="Times New Roman"/>
          <w:b/>
          <w:bCs/>
          <w:lang w:val="en-US" w:eastAsia="zh-CN"/>
        </w:rPr>
      </w:pP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1: Support SSB adaptation for CONNECTED UEs only, and support Option B3, adaptation for SSB not on the sync raster. </w:t>
      </w:r>
    </w:p>
    <w:p>
      <w:pPr>
        <w:numPr>
          <w:ilvl w:val="-1"/>
          <w:numId w:val="0"/>
        </w:numPr>
        <w:bidi w:val="0"/>
        <w:spacing w:after="180"/>
        <w:ind w:left="0" w:leftChars="0" w:firstLine="0"/>
        <w:rPr>
          <w:rFonts w:hint="default"/>
          <w:lang w:val="en-US" w:eastAsia="sv-SE"/>
        </w:rPr>
      </w:pPr>
      <w:r>
        <w:rPr>
          <w:rFonts w:hint="default" w:ascii="Times New Roman Bold" w:hAnsi="Times New Roman Bold" w:cs="Times New Roman Bold"/>
          <w:b/>
          <w:bCs/>
          <w:lang w:val="en-US" w:eastAsia="sv-SE"/>
        </w:rPr>
        <w:t>Proposal 2: Support SSB periodicity adaptation, where the supported periodicity values are considered as follows</w:t>
      </w:r>
      <w:r>
        <w:rPr>
          <w:rFonts w:hint="default"/>
          <w:lang w:val="en-US" w:eastAsia="sv-SE"/>
        </w:rPr>
        <w:t xml:space="preserve">: </w:t>
      </w:r>
    </w:p>
    <w:p>
      <w:pPr>
        <w:numPr>
          <w:ilvl w:val="0"/>
          <w:numId w:val="10"/>
        </w:numPr>
        <w:bidi w:val="0"/>
        <w:spacing w:after="180"/>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If SSB adaptation is supported CONNECTED UE’s PCell, no new SSB periodicity values should be allowed. </w:t>
      </w:r>
    </w:p>
    <w:p>
      <w:pPr>
        <w:numPr>
          <w:ilvl w:val="0"/>
          <w:numId w:val="10"/>
        </w:numPr>
        <w:bidi w:val="0"/>
        <w:spacing w:after="180"/>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If SSB adaptation is only supported for CONNECTED UEs and on NCD-SSBs or CD-SSBs not on sync raster on SCell, larger periodicity values may be considered. </w:t>
      </w:r>
    </w:p>
    <w:p>
      <w:pPr>
        <w:numPr>
          <w:ilvl w:val="0"/>
          <w:numId w:val="10"/>
        </w:numPr>
        <w:bidi w:val="0"/>
        <w:spacing w:after="180"/>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Smaller values of the SSB periodicity could be considered to enable faster SCell activation with the condition that the SSB burst structure is not changed. </w:t>
      </w:r>
    </w:p>
    <w:p>
      <w:pPr>
        <w:bidi w:val="0"/>
        <w:rPr>
          <w:rFonts w:hint="default"/>
          <w:b/>
          <w:bCs/>
          <w:i w:val="0"/>
          <w:iCs/>
          <w:szCs w:val="22"/>
          <w:lang w:val="en-US" w:eastAsia="zh-CN"/>
        </w:rPr>
      </w:pPr>
      <w:r>
        <w:rPr>
          <w:rFonts w:hint="default" w:ascii="Times New Roman Bold" w:hAnsi="Times New Roman Bold" w:cs="Times New Roman Bold"/>
          <w:b/>
          <w:bCs/>
          <w:i w:val="0"/>
          <w:iCs/>
          <w:szCs w:val="22"/>
          <w:lang w:val="en-US" w:eastAsia="zh-CN"/>
        </w:rPr>
        <w:t xml:space="preserve">Proposal 3: </w:t>
      </w:r>
      <w:r>
        <w:rPr>
          <w:rFonts w:hint="default"/>
          <w:b/>
          <w:bCs/>
          <w:i w:val="0"/>
          <w:iCs/>
          <w:szCs w:val="22"/>
          <w:lang w:val="en-US" w:eastAsia="zh-CN"/>
        </w:rPr>
        <w:t xml:space="preserve">Considering the impact on UE measurement assumption and performance, do not support non-uniform SSB burst skipping. </w:t>
      </w:r>
    </w:p>
    <w:p>
      <w:pPr>
        <w:bidi w:val="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rPr>
        <w:t xml:space="preserve">Proposal 4: </w:t>
      </w:r>
      <w:r>
        <w:rPr>
          <w:rFonts w:hint="default" w:ascii="Times New Roman Bold" w:hAnsi="Times New Roman Bold" w:cs="Times New Roman Bold"/>
          <w:b/>
          <w:bCs/>
          <w:lang w:val="en-US" w:eastAsia="zh-CN"/>
        </w:rPr>
        <w:t>The time gap between UE receiving the indication of SSB adaptation and UE assuming the SSB periodicity change shall be above certain value to give UE sufficient preparation time to implement new RRM behavior on new SSB periodicity.</w:t>
      </w:r>
    </w:p>
    <w:p>
      <w:pPr>
        <w:bidi w:val="0"/>
        <w:jc w:val="left"/>
        <w:rPr>
          <w:rFonts w:hint="default" w:ascii="Times New Roman Bold" w:hAnsi="Times New Roman Bold" w:cs="Times New Roman Bold"/>
          <w:b/>
          <w:bCs/>
          <w:lang w:val="en-US"/>
        </w:rPr>
      </w:pPr>
    </w:p>
    <w:p>
      <w:pPr>
        <w:bidi w:val="0"/>
        <w:jc w:val="left"/>
        <w:rPr>
          <w:rFonts w:hint="default" w:ascii="Times New Roman Bold" w:hAnsi="Times New Roman Bold" w:cs="Times New Roman Bold"/>
          <w:b/>
          <w:bCs/>
          <w:lang w:val="en-US"/>
        </w:rPr>
      </w:pPr>
    </w:p>
    <w:p>
      <w:pPr>
        <w:bidi w:val="0"/>
        <w:jc w:val="left"/>
        <w:rPr>
          <w:rFonts w:hint="default" w:ascii="Times New Roman Bold" w:hAnsi="Times New Roman Bold" w:cs="Times New Roman Bold"/>
          <w:b/>
          <w:bCs/>
          <w:lang w:val="en-US"/>
        </w:rPr>
      </w:pPr>
      <w:r>
        <w:rPr>
          <w:rFonts w:hint="default" w:ascii="Times New Roman Bold" w:hAnsi="Times New Roman Bold" w:cs="Times New Roman Bold"/>
          <w:b/>
          <w:bCs/>
          <w:lang w:val="en-US"/>
        </w:rPr>
        <w:t>PRACH adaptation</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5: Support non-overlapping PRACH resources in time domain for NES capable UEs and legacy UEs to avoid mapping different SSB indexes to the same RO or FDMed ROs. </w:t>
      </w:r>
    </w:p>
    <w:p>
      <w:pPr>
        <w:rPr>
          <w:rFonts w:hint="default"/>
          <w:b/>
          <w:bCs/>
          <w:lang w:val="en-US"/>
        </w:rPr>
      </w:pPr>
      <w:r>
        <w:rPr>
          <w:rFonts w:hint="default" w:ascii="Times New Roman Bold" w:hAnsi="Times New Roman Bold" w:cs="Times New Roman Bold"/>
          <w:b/>
          <w:bCs/>
          <w:lang w:val="en-US"/>
        </w:rPr>
        <w:t xml:space="preserve">Proposal 6: To configure non-overlapping PRACH resource in time domain, consider </w:t>
      </w:r>
      <w:r>
        <w:rPr>
          <w:rFonts w:hint="default"/>
          <w:b/>
          <w:bCs/>
          <w:lang w:val="en-US"/>
        </w:rPr>
        <w:t>configuration based on scaling PRACH configuration period for legacy UE and additional timing offset.</w:t>
      </w:r>
    </w:p>
    <w:p>
      <w:pPr>
        <w:bidi w:val="0"/>
        <w:rPr>
          <w:rFonts w:hint="default"/>
          <w:b/>
          <w:bCs/>
          <w:lang w:val="en-US"/>
        </w:rPr>
      </w:pPr>
      <w:r>
        <w:rPr>
          <w:rFonts w:hint="default" w:ascii="Times New Roman Bold" w:hAnsi="Times New Roman Bold" w:cs="Times New Roman Bold"/>
          <w:b/>
          <w:bCs/>
          <w:lang w:val="en-US" w:eastAsia="sv-SE"/>
        </w:rPr>
        <w:t xml:space="preserve">Proposal 7: </w:t>
      </w:r>
      <w:r>
        <w:rPr>
          <w:rFonts w:hint="default" w:ascii="Times New Roman Bold" w:hAnsi="Times New Roman Bold" w:cs="Times New Roman Bold"/>
          <w:b/>
          <w:bCs/>
          <w:lang w:val="en-US"/>
        </w:rPr>
        <w:t xml:space="preserve">Adaptation on the configured dense PRACH resources should result in effectively concentrated ROs for the new UE.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8: To avoid additional SSB-to-RO mapping, no adaptation to PRACH resource periodicity (i.e.PRACH configuration period) on the additional PRACH resources after configuration. </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9: For PRACH adaptations, consider the following options: </w:t>
      </w:r>
    </w:p>
    <w:p>
      <w:pPr>
        <w:numPr>
          <w:ilvl w:val="0"/>
          <w:numId w:val="13"/>
        </w:numPr>
        <w:ind w:left="420" w:leftChars="0" w:hanging="420" w:firstLineChars="0"/>
        <w:rPr>
          <w:rFonts w:hint="default"/>
          <w:b/>
          <w:bCs/>
          <w:lang w:val="en-US"/>
        </w:rPr>
      </w:pPr>
      <w:r>
        <w:rPr>
          <w:rFonts w:hint="default"/>
          <w:b/>
          <w:bCs/>
          <w:lang w:val="en-US"/>
        </w:rPr>
        <w:t xml:space="preserve">Option 1: NES-capable UEs are indicated of adaptation on the additional PRACH resources only, it is up to UE to select the additional PRACH resource or legacy PRACH resources. </w:t>
      </w:r>
    </w:p>
    <w:p>
      <w:pPr>
        <w:numPr>
          <w:ilvl w:val="1"/>
          <w:numId w:val="13"/>
        </w:numPr>
        <w:ind w:left="840" w:leftChars="0" w:hanging="420" w:firstLineChars="0"/>
        <w:rPr>
          <w:rFonts w:hint="default"/>
          <w:b/>
          <w:bCs/>
          <w:lang w:val="en-US"/>
        </w:rPr>
      </w:pPr>
      <w:r>
        <w:rPr>
          <w:rFonts w:hint="default"/>
          <w:b/>
          <w:bCs/>
          <w:lang w:val="en-US"/>
        </w:rPr>
        <w:t xml:space="preserve">At least association </w:t>
      </w:r>
      <w:r>
        <w:rPr>
          <w:rFonts w:hint="default" w:ascii="Times New Roman" w:hAnsi="Times New Roman" w:cs="Times New Roman"/>
          <w:b/>
          <w:bCs/>
          <w:lang w:val="en-US"/>
        </w:rPr>
        <w:t xml:space="preserve">period </w:t>
      </w:r>
      <w:r>
        <w:rPr>
          <w:rFonts w:hint="default"/>
          <w:b/>
          <w:bCs/>
          <w:lang w:val="en-US"/>
        </w:rPr>
        <w:t>or association pattern period level adaptation should be considered</w:t>
      </w:r>
    </w:p>
    <w:p>
      <w:pPr>
        <w:numPr>
          <w:ilvl w:val="0"/>
          <w:numId w:val="13"/>
        </w:numPr>
        <w:ind w:left="420" w:leftChars="0" w:hanging="420" w:firstLineChars="0"/>
        <w:rPr>
          <w:rFonts w:hint="default"/>
          <w:b/>
          <w:bCs/>
          <w:lang w:val="en-US"/>
        </w:rPr>
      </w:pPr>
      <w:r>
        <w:rPr>
          <w:rFonts w:hint="default"/>
          <w:b/>
          <w:bCs/>
          <w:lang w:val="en-US"/>
        </w:rPr>
        <w:t>Option 2: NES-capable UEs are indicated to switch between the additional PRACH resources and PRACH resources for legacy UEs, where switching can be based on SSB-to-RO mapping cycle, PRACH association period or PRACH association pattern period</w:t>
      </w:r>
    </w:p>
    <w:p>
      <w:pPr>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Proposal 10: PRACH adaptation in spatial domain can be supported via the following options: </w:t>
      </w:r>
    </w:p>
    <w:p>
      <w:pPr>
        <w:numPr>
          <w:ilvl w:val="0"/>
          <w:numId w:val="15"/>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1: Adapt the number of SSBs that NW actually monitors corresponding RO </w:t>
      </w:r>
    </w:p>
    <w:p>
      <w:pPr>
        <w:numPr>
          <w:ilvl w:val="0"/>
          <w:numId w:val="15"/>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2: Adapt uneven number of ROs per SSB</w:t>
      </w:r>
    </w:p>
    <w:p>
      <w:pPr>
        <w:numPr>
          <w:ilvl w:val="0"/>
          <w:numId w:val="15"/>
        </w:numPr>
        <w:ind w:left="420" w:leftChars="0" w:hanging="420" w:firstLineChars="0"/>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Option 3: Adapt uneven number of preambles per RO per SSB</w:t>
      </w:r>
    </w:p>
    <w:p>
      <w:pPr>
        <w:numPr>
          <w:ilvl w:val="0"/>
          <w:numId w:val="0"/>
        </w:numPr>
        <w:ind w:leftChars="0"/>
        <w:rPr>
          <w:rFonts w:hint="default" w:ascii="Times New Roman Bold" w:hAnsi="Times New Roman Bold" w:cs="Times New Roman Bold"/>
          <w:b/>
          <w:bCs/>
          <w:lang w:val="en-US" w:eastAsia="sv-SE"/>
        </w:rPr>
      </w:pPr>
    </w:p>
    <w:p>
      <w:pPr>
        <w:numPr>
          <w:ilvl w:val="0"/>
          <w:numId w:val="0"/>
        </w:numPr>
        <w:ind w:leftChars="0"/>
        <w:rPr>
          <w:rFonts w:hint="default" w:ascii="Times New Roman Bold" w:hAnsi="Times New Roman Bold" w:cs="Times New Roman Bold"/>
          <w:b/>
          <w:bCs/>
          <w:lang w:val="en-US"/>
        </w:rPr>
      </w:pPr>
      <w:r>
        <w:rPr>
          <w:rFonts w:hint="default" w:ascii="Times New Roman Bold" w:hAnsi="Times New Roman Bold" w:cs="Times New Roman Bold"/>
          <w:b/>
          <w:bCs/>
          <w:lang w:val="en-US" w:eastAsia="sv-SE"/>
        </w:rPr>
        <w:t>Paging adaptation</w:t>
      </w:r>
    </w:p>
    <w:p>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11: Consider the following options for Paging adaptation </w:t>
      </w:r>
    </w:p>
    <w:p>
      <w:pPr>
        <w:numPr>
          <w:ilvl w:val="0"/>
          <w:numId w:val="17"/>
        </w:numPr>
        <w:ind w:left="420" w:leftChars="0" w:hanging="420" w:firstLineChars="0"/>
        <w:jc w:val="left"/>
        <w:rPr>
          <w:rFonts w:hint="default" w:ascii="Times New Roman" w:hAnsi="Times New Roman" w:cs="Times New Roman"/>
          <w:i w:val="0"/>
          <w:iCs/>
          <w:szCs w:val="22"/>
          <w:lang w:val="en-US" w:eastAsia="sv-SE"/>
        </w:rPr>
      </w:pPr>
      <w:r>
        <w:rPr>
          <w:rFonts w:hint="default" w:ascii="Times New Roman Bold" w:hAnsi="Times New Roman Bold" w:cs="Times New Roman Bold"/>
          <w:b/>
          <w:bCs/>
          <w:lang w:val="en-US"/>
        </w:rPr>
        <w:t>Option 1: Enable configuring only one PF within the paging cycle</w:t>
      </w:r>
    </w:p>
    <w:p>
      <w:pPr>
        <w:numPr>
          <w:ilvl w:val="0"/>
          <w:numId w:val="17"/>
        </w:numPr>
        <w:ind w:left="420" w:leftChars="0" w:hanging="420" w:firstLineChars="0"/>
        <w:jc w:val="left"/>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Option 2: Stagger uniformly distributed PFs in one paging cycle into consecutive PFs</w:t>
      </w:r>
    </w:p>
    <w:p>
      <w:pPr>
        <w:numPr>
          <w:ilvl w:val="0"/>
          <w:numId w:val="17"/>
        </w:numPr>
        <w:ind w:left="420" w:leftChars="0" w:hanging="420" w:firstLineChars="0"/>
        <w:jc w:val="left"/>
        <w:rPr>
          <w:rFonts w:hint="default" w:ascii="Times New Roman Bold" w:hAnsi="Times New Roman Bold" w:cs="Times New Roman Bold"/>
          <w:b/>
          <w:bCs/>
          <w:lang w:val="en-US" w:eastAsia="sv-SE"/>
        </w:rPr>
      </w:pPr>
      <w:r>
        <w:rPr>
          <w:rFonts w:hint="default" w:ascii="Times New Roman Bold" w:hAnsi="Times New Roman Bold" w:cs="Times New Roman Bold"/>
          <w:b/>
          <w:bCs/>
          <w:lang w:val="en-US" w:eastAsia="sv-SE"/>
        </w:rPr>
        <w:t xml:space="preserve">Option 3: Map UEs to concentrated PF/POs  </w:t>
      </w:r>
    </w:p>
    <w:p>
      <w:pPr>
        <w:rPr>
          <w:rFonts w:hint="default" w:ascii="Times New Roman Bold" w:hAnsi="Times New Roman Bold" w:cs="Times New Roman Bold"/>
          <w:b/>
          <w:bCs/>
          <w:i w:val="0"/>
          <w:iCs/>
          <w:szCs w:val="22"/>
          <w:lang w:val="en-US" w:eastAsia="zh-CN"/>
        </w:rPr>
      </w:pPr>
      <w:r>
        <w:rPr>
          <w:rFonts w:hint="default" w:ascii="Times New Roman Bold" w:hAnsi="Times New Roman Bold" w:cs="Times New Roman Bold"/>
          <w:b/>
          <w:bCs/>
          <w:lang w:val="en-US"/>
        </w:rPr>
        <w:t xml:space="preserve">Proposal 12: Impact of paging resource adaptation on PEI should also be considered.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pPr>
        <w:numPr>
          <w:ilvl w:val="0"/>
          <w:numId w:val="18"/>
        </w:numPr>
        <w:bidi w:val="0"/>
        <w:rPr>
          <w:rFonts w:hint="default"/>
          <w:lang w:val="en-US" w:eastAsia="zh-CN"/>
        </w:rPr>
      </w:pPr>
      <w:r>
        <w:rPr>
          <w:rFonts w:hint="default"/>
          <w:lang w:val="en-US" w:eastAsia="zh-CN"/>
        </w:rPr>
        <w:t>RP-234065, New WID: Enhancements of network energy savings for NR, Ericsson (moderator), 3GPP TSG RAN Meeting #102, Edinburgh, Scotland, December 11-15, 2023.</w:t>
      </w:r>
    </w:p>
    <w:p>
      <w:pPr>
        <w:numPr>
          <w:ilvl w:val="0"/>
          <w:numId w:val="18"/>
        </w:numPr>
        <w:bidi w:val="0"/>
      </w:pPr>
      <w:r>
        <w:rPr>
          <w:rFonts w:hint="default"/>
          <w:lang w:val="en-US" w:eastAsia="zh-CN"/>
        </w:rPr>
        <w:t>TR38.864, Study on network energy savings for NR, Release 18.</w:t>
      </w:r>
    </w:p>
    <w:sectPr>
      <w:pgSz w:w="11909" w:h="16834"/>
      <w:pgMar w:top="1134" w:right="1134" w:bottom="1134" w:left="19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Arial Bold">
    <w:panose1 w:val="020B0604020202090204"/>
    <w:charset w:val="00"/>
    <w:family w:val="auto"/>
    <w:pitch w:val="default"/>
    <w:sig w:usb0="E0000AFF" w:usb1="00007843" w:usb2="00000001" w:usb3="00000000" w:csb0="400001BF" w:csb1="DFF70000"/>
  </w:font>
  <w:font w:name="Batang">
    <w:altName w:val="Apple SD Gothic Neo"/>
    <w:panose1 w:val="02030600000101010101"/>
    <w:charset w:val="81"/>
    <w:family w:val="roman"/>
    <w:pitch w:val="default"/>
    <w:sig w:usb0="00000000" w:usb1="00000000" w:usb2="00000030" w:usb3="00000000" w:csb0="0008009F" w:csb1="00000000"/>
  </w:font>
  <w:font w:name="Times New Roman Bold">
    <w:panose1 w:val="02020603050405020304"/>
    <w:charset w:val="00"/>
    <w:family w:val="auto"/>
    <w:pitch w:val="default"/>
    <w:sig w:usb0="E0002AEF" w:usb1="C0007841" w:usb2="00000009" w:usb3="00000000" w:csb0="400001FF" w:csb1="FFFF0000"/>
  </w:font>
  <w:font w:name="Times New Roman Italic">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DF539"/>
    <w:multiLevelType w:val="multilevel"/>
    <w:tmpl w:val="ADDDF539"/>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B3B7BA99"/>
    <w:multiLevelType w:val="singleLevel"/>
    <w:tmpl w:val="B3B7BA9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2">
    <w:nsid w:val="CFBF0436"/>
    <w:multiLevelType w:val="multilevel"/>
    <w:tmpl w:val="CFBF0436"/>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CFF7BF24"/>
    <w:multiLevelType w:val="singleLevel"/>
    <w:tmpl w:val="CFF7BF24"/>
    <w:lvl w:ilvl="0" w:tentative="0">
      <w:start w:val="3"/>
      <w:numFmt w:val="decimal"/>
      <w:suff w:val="space"/>
      <w:lvlText w:val="%1."/>
      <w:lvlJc w:val="left"/>
    </w:lvl>
  </w:abstractNum>
  <w:abstractNum w:abstractNumId="4">
    <w:nsid w:val="EFF45439"/>
    <w:multiLevelType w:val="singleLevel"/>
    <w:tmpl w:val="EFF45439"/>
    <w:lvl w:ilvl="0" w:tentative="0">
      <w:start w:val="1"/>
      <w:numFmt w:val="decimal"/>
      <w:suff w:val="space"/>
      <w:lvlText w:val="[%1]"/>
      <w:lvlJc w:val="left"/>
    </w:lvl>
  </w:abstractNum>
  <w:abstractNum w:abstractNumId="5">
    <w:nsid w:val="F8DB5926"/>
    <w:multiLevelType w:val="singleLevel"/>
    <w:tmpl w:val="F8DB5926"/>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FFFFD4AA"/>
    <w:multiLevelType w:val="multilevel"/>
    <w:tmpl w:val="FFFFD4AA"/>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7">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04F60BAF"/>
    <w:multiLevelType w:val="multilevel"/>
    <w:tmpl w:val="04F60B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5D61159"/>
    <w:multiLevelType w:val="multilevel"/>
    <w:tmpl w:val="05D6115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2CF9636F"/>
    <w:multiLevelType w:val="singleLevel"/>
    <w:tmpl w:val="2CF9636F"/>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2">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5647342"/>
    <w:multiLevelType w:val="multilevel"/>
    <w:tmpl w:val="6564734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DEF7F55"/>
    <w:multiLevelType w:val="singleLevel"/>
    <w:tmpl w:val="6DEF7F5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15">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7E36448D"/>
    <w:multiLevelType w:val="singleLevel"/>
    <w:tmpl w:val="7E36448D"/>
    <w:lvl w:ilvl="0" w:tentative="0">
      <w:start w:val="1"/>
      <w:numFmt w:val="decimal"/>
      <w:lvlText w:val="%1."/>
      <w:lvlJc w:val="left"/>
      <w:pPr>
        <w:tabs>
          <w:tab w:val="left" w:pos="425"/>
        </w:tabs>
        <w:ind w:left="425" w:leftChars="0" w:hanging="425" w:firstLineChars="0"/>
      </w:pPr>
      <w:rPr>
        <w:rFonts w:hint="default"/>
      </w:rPr>
    </w:lvl>
  </w:abstractNum>
  <w:abstractNum w:abstractNumId="17">
    <w:nsid w:val="7ED68BD4"/>
    <w:multiLevelType w:val="multilevel"/>
    <w:tmpl w:val="7ED68BD4"/>
    <w:lvl w:ilvl="0" w:tentative="0">
      <w:start w:val="3"/>
      <w:numFmt w:val="decimal"/>
      <w:pStyle w:val="2"/>
      <w:lvlText w:val="%1"/>
      <w:lvlJc w:val="left"/>
      <w:pPr>
        <w:tabs>
          <w:tab w:val="left" w:pos="432"/>
        </w:tabs>
        <w:ind w:left="432" w:hanging="432"/>
      </w:pPr>
      <w:rPr>
        <w:rFonts w:hint="default" w:ascii="宋体" w:hAnsi="宋体" w:eastAsia="宋体" w:cs="宋体"/>
      </w:rPr>
    </w:lvl>
    <w:lvl w:ilvl="1" w:tentative="0">
      <w:start w:val="1"/>
      <w:numFmt w:val="decimal"/>
      <w:pStyle w:val="3"/>
      <w:lvlText w:val="%1.%2"/>
      <w:lvlJc w:val="left"/>
      <w:pPr>
        <w:tabs>
          <w:tab w:val="left" w:pos="576"/>
        </w:tabs>
        <w:ind w:left="576" w:hanging="576"/>
      </w:pPr>
      <w:rPr>
        <w:rFonts w:hint="default" w:ascii="宋体" w:hAnsi="宋体" w:eastAsia="宋体" w:cs="宋体"/>
      </w:rPr>
    </w:lvl>
    <w:lvl w:ilvl="2" w:tentative="0">
      <w:start w:val="1"/>
      <w:numFmt w:val="decimal"/>
      <w:lvlRestart w:val="0"/>
      <w:pStyle w:val="4"/>
      <w:lvlText w:val="%1.%2.%3"/>
      <w:lvlJc w:val="left"/>
      <w:pPr>
        <w:tabs>
          <w:tab w:val="left" w:pos="0"/>
        </w:tabs>
        <w:ind w:left="720" w:hanging="720"/>
      </w:pPr>
      <w:rPr>
        <w:rFonts w:hint="default"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17"/>
  </w:num>
  <w:num w:numId="2">
    <w:abstractNumId w:val="8"/>
  </w:num>
  <w:num w:numId="3">
    <w:abstractNumId w:val="7"/>
  </w:num>
  <w:num w:numId="4">
    <w:abstractNumId w:val="3"/>
  </w:num>
  <w:num w:numId="5">
    <w:abstractNumId w:val="15"/>
  </w:num>
  <w:num w:numId="6">
    <w:abstractNumId w:val="10"/>
  </w:num>
  <w:num w:numId="7">
    <w:abstractNumId w:val="16"/>
  </w:num>
  <w:num w:numId="8">
    <w:abstractNumId w:val="0"/>
  </w:num>
  <w:num w:numId="9">
    <w:abstractNumId w:val="9"/>
  </w:num>
  <w:num w:numId="10">
    <w:abstractNumId w:val="11"/>
  </w:num>
  <w:num w:numId="11">
    <w:abstractNumId w:val="12"/>
  </w:num>
  <w:num w:numId="12">
    <w:abstractNumId w:val="6"/>
  </w:num>
  <w:num w:numId="13">
    <w:abstractNumId w:val="2"/>
  </w:num>
  <w:num w:numId="14">
    <w:abstractNumId w:val="1"/>
  </w:num>
  <w:num w:numId="15">
    <w:abstractNumId w:val="14"/>
  </w:num>
  <w:num w:numId="16">
    <w:abstractNumId w:val="13"/>
  </w:num>
  <w:num w:numId="17">
    <w:abstractNumId w:val="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9"/>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7FC6AF9"/>
    <w:rsid w:val="0DBE51FE"/>
    <w:rsid w:val="0E674F9E"/>
    <w:rsid w:val="0F7939A3"/>
    <w:rsid w:val="12FD98AF"/>
    <w:rsid w:val="167FA8FB"/>
    <w:rsid w:val="16F234CB"/>
    <w:rsid w:val="16F64615"/>
    <w:rsid w:val="17754508"/>
    <w:rsid w:val="177F5C08"/>
    <w:rsid w:val="17B37065"/>
    <w:rsid w:val="17BF423E"/>
    <w:rsid w:val="1AD5EF0C"/>
    <w:rsid w:val="1B58552D"/>
    <w:rsid w:val="1BE917CF"/>
    <w:rsid w:val="1BED3D43"/>
    <w:rsid w:val="1BF1A51D"/>
    <w:rsid w:val="1CD710B2"/>
    <w:rsid w:val="1D683FB7"/>
    <w:rsid w:val="1D7E90B0"/>
    <w:rsid w:val="1D8F9836"/>
    <w:rsid w:val="1DFA6340"/>
    <w:rsid w:val="1DFF6EC0"/>
    <w:rsid w:val="1EA8C724"/>
    <w:rsid w:val="1EB5DD13"/>
    <w:rsid w:val="1ED72561"/>
    <w:rsid w:val="1EDD1C9B"/>
    <w:rsid w:val="1EEBD891"/>
    <w:rsid w:val="1EFEEEA3"/>
    <w:rsid w:val="1F591576"/>
    <w:rsid w:val="1F7F2AB2"/>
    <w:rsid w:val="1F87E1C8"/>
    <w:rsid w:val="1FA64DF9"/>
    <w:rsid w:val="1FACF26E"/>
    <w:rsid w:val="1FBE963B"/>
    <w:rsid w:val="1FBF6F0E"/>
    <w:rsid w:val="1FCF462C"/>
    <w:rsid w:val="1FD72CEB"/>
    <w:rsid w:val="1FDFE669"/>
    <w:rsid w:val="1FE7A4CB"/>
    <w:rsid w:val="1FF5DC31"/>
    <w:rsid w:val="1FFB0274"/>
    <w:rsid w:val="1FFE86D9"/>
    <w:rsid w:val="239F143E"/>
    <w:rsid w:val="23F7DA84"/>
    <w:rsid w:val="26CF4810"/>
    <w:rsid w:val="26FF91BD"/>
    <w:rsid w:val="2739D001"/>
    <w:rsid w:val="27938C60"/>
    <w:rsid w:val="27C54ADD"/>
    <w:rsid w:val="28FB3A62"/>
    <w:rsid w:val="2AFE2CA9"/>
    <w:rsid w:val="2AFFAEB5"/>
    <w:rsid w:val="2BD8EDF3"/>
    <w:rsid w:val="2BFF480C"/>
    <w:rsid w:val="2BFFFFF4"/>
    <w:rsid w:val="2CFF80B2"/>
    <w:rsid w:val="2D9F7D3C"/>
    <w:rsid w:val="2DC66CC5"/>
    <w:rsid w:val="2DF3F66F"/>
    <w:rsid w:val="2DFDEF4F"/>
    <w:rsid w:val="2DFF1358"/>
    <w:rsid w:val="2F3B305C"/>
    <w:rsid w:val="2F7EA45E"/>
    <w:rsid w:val="2F7FE822"/>
    <w:rsid w:val="2FBAC71C"/>
    <w:rsid w:val="2FCD17FE"/>
    <w:rsid w:val="2FDD9AEC"/>
    <w:rsid w:val="2FDE3CF5"/>
    <w:rsid w:val="2FEBA335"/>
    <w:rsid w:val="2FEFC43B"/>
    <w:rsid w:val="2FF7BD03"/>
    <w:rsid w:val="2FFE296A"/>
    <w:rsid w:val="2FFF38B2"/>
    <w:rsid w:val="32DF5FEE"/>
    <w:rsid w:val="33A1780B"/>
    <w:rsid w:val="33D7DF31"/>
    <w:rsid w:val="33DF60F7"/>
    <w:rsid w:val="33FEE5C6"/>
    <w:rsid w:val="34979F28"/>
    <w:rsid w:val="3625C9C7"/>
    <w:rsid w:val="36E71FC6"/>
    <w:rsid w:val="36FAAC8C"/>
    <w:rsid w:val="36FD62CB"/>
    <w:rsid w:val="377DD044"/>
    <w:rsid w:val="37CFE1E7"/>
    <w:rsid w:val="37F15855"/>
    <w:rsid w:val="37F5DFF0"/>
    <w:rsid w:val="37F6DB5E"/>
    <w:rsid w:val="37FB4846"/>
    <w:rsid w:val="37FE8436"/>
    <w:rsid w:val="37FFBC96"/>
    <w:rsid w:val="38ED71FF"/>
    <w:rsid w:val="39599940"/>
    <w:rsid w:val="39793E25"/>
    <w:rsid w:val="397C1970"/>
    <w:rsid w:val="39DFDC60"/>
    <w:rsid w:val="39FAA8B1"/>
    <w:rsid w:val="3A3E30E5"/>
    <w:rsid w:val="3AAFE401"/>
    <w:rsid w:val="3AB51E0A"/>
    <w:rsid w:val="3ABD0261"/>
    <w:rsid w:val="3AD59A74"/>
    <w:rsid w:val="3AE78345"/>
    <w:rsid w:val="3B5A07C9"/>
    <w:rsid w:val="3BBBBBB7"/>
    <w:rsid w:val="3BBCAA3F"/>
    <w:rsid w:val="3BC83D5B"/>
    <w:rsid w:val="3BD70A7B"/>
    <w:rsid w:val="3BDFAE9A"/>
    <w:rsid w:val="3BEF3C2F"/>
    <w:rsid w:val="3BFCDA68"/>
    <w:rsid w:val="3C679A74"/>
    <w:rsid w:val="3CBD3B9E"/>
    <w:rsid w:val="3CBDD602"/>
    <w:rsid w:val="3CCE5D48"/>
    <w:rsid w:val="3D6C6809"/>
    <w:rsid w:val="3D76EFCF"/>
    <w:rsid w:val="3D9CD68A"/>
    <w:rsid w:val="3DB7D722"/>
    <w:rsid w:val="3DDC5071"/>
    <w:rsid w:val="3DDFC8A6"/>
    <w:rsid w:val="3DFEB275"/>
    <w:rsid w:val="3DFF1C6C"/>
    <w:rsid w:val="3DFF320A"/>
    <w:rsid w:val="3DFF842F"/>
    <w:rsid w:val="3DFF906A"/>
    <w:rsid w:val="3DFFC6F5"/>
    <w:rsid w:val="3E39CDDC"/>
    <w:rsid w:val="3E7F8524"/>
    <w:rsid w:val="3E9FD91D"/>
    <w:rsid w:val="3EAFB311"/>
    <w:rsid w:val="3EDB9DF8"/>
    <w:rsid w:val="3EEFC854"/>
    <w:rsid w:val="3EFD52C1"/>
    <w:rsid w:val="3EFF8FCE"/>
    <w:rsid w:val="3EFFD595"/>
    <w:rsid w:val="3F2F90B0"/>
    <w:rsid w:val="3F4D471A"/>
    <w:rsid w:val="3F611987"/>
    <w:rsid w:val="3F6F1446"/>
    <w:rsid w:val="3F7BE574"/>
    <w:rsid w:val="3F7CD38E"/>
    <w:rsid w:val="3F7F49AD"/>
    <w:rsid w:val="3F99D58D"/>
    <w:rsid w:val="3F9E20F3"/>
    <w:rsid w:val="3FAD175A"/>
    <w:rsid w:val="3FBF2F7A"/>
    <w:rsid w:val="3FBFE78E"/>
    <w:rsid w:val="3FC595B3"/>
    <w:rsid w:val="3FCFC00F"/>
    <w:rsid w:val="3FD90DE9"/>
    <w:rsid w:val="3FDB0F3C"/>
    <w:rsid w:val="3FDFC961"/>
    <w:rsid w:val="3FDFDC87"/>
    <w:rsid w:val="3FED3B9E"/>
    <w:rsid w:val="3FEE2E00"/>
    <w:rsid w:val="3FF78505"/>
    <w:rsid w:val="3FFFB6DB"/>
    <w:rsid w:val="3FFFEDD1"/>
    <w:rsid w:val="4335B52F"/>
    <w:rsid w:val="43FF29B0"/>
    <w:rsid w:val="457DD5B8"/>
    <w:rsid w:val="478F00E7"/>
    <w:rsid w:val="47B7B2B0"/>
    <w:rsid w:val="47F71E7F"/>
    <w:rsid w:val="47FFE77F"/>
    <w:rsid w:val="48FFBF54"/>
    <w:rsid w:val="499EA8EB"/>
    <w:rsid w:val="4B574010"/>
    <w:rsid w:val="4BBFCC52"/>
    <w:rsid w:val="4BDF173F"/>
    <w:rsid w:val="4BEF729F"/>
    <w:rsid w:val="4BFB6D7D"/>
    <w:rsid w:val="4BFF1C0F"/>
    <w:rsid w:val="4BFF43CD"/>
    <w:rsid w:val="4CFF43DF"/>
    <w:rsid w:val="4D7714F5"/>
    <w:rsid w:val="4EBB49D9"/>
    <w:rsid w:val="4EBFFD95"/>
    <w:rsid w:val="4EFC03B0"/>
    <w:rsid w:val="4F2E6E6F"/>
    <w:rsid w:val="4F73F38A"/>
    <w:rsid w:val="4F7795BA"/>
    <w:rsid w:val="4F790468"/>
    <w:rsid w:val="4F7D2D1B"/>
    <w:rsid w:val="4FCFB67F"/>
    <w:rsid w:val="4FDD59B8"/>
    <w:rsid w:val="4FFA8F75"/>
    <w:rsid w:val="4FFF7E42"/>
    <w:rsid w:val="517AB350"/>
    <w:rsid w:val="52EFB736"/>
    <w:rsid w:val="53BCD43E"/>
    <w:rsid w:val="53BDDEAC"/>
    <w:rsid w:val="53F44591"/>
    <w:rsid w:val="53F99A15"/>
    <w:rsid w:val="53FFECBF"/>
    <w:rsid w:val="54BF9E32"/>
    <w:rsid w:val="54EFD6A2"/>
    <w:rsid w:val="55355B0A"/>
    <w:rsid w:val="55EE46D5"/>
    <w:rsid w:val="56F3B552"/>
    <w:rsid w:val="56FD4FC2"/>
    <w:rsid w:val="56FF6BFE"/>
    <w:rsid w:val="572F581E"/>
    <w:rsid w:val="578A5A4C"/>
    <w:rsid w:val="57BB4020"/>
    <w:rsid w:val="57F5F8CB"/>
    <w:rsid w:val="57F9434C"/>
    <w:rsid w:val="58DB2FC8"/>
    <w:rsid w:val="58FF9F7B"/>
    <w:rsid w:val="592DB141"/>
    <w:rsid w:val="596DF8F6"/>
    <w:rsid w:val="59ADCE7C"/>
    <w:rsid w:val="59BAFFCD"/>
    <w:rsid w:val="59C6D7CD"/>
    <w:rsid w:val="5A6C914D"/>
    <w:rsid w:val="5ABE3926"/>
    <w:rsid w:val="5AEF8475"/>
    <w:rsid w:val="5AEF87D7"/>
    <w:rsid w:val="5AFBE507"/>
    <w:rsid w:val="5AFC6073"/>
    <w:rsid w:val="5AFF801D"/>
    <w:rsid w:val="5B7F679C"/>
    <w:rsid w:val="5BCD9CB9"/>
    <w:rsid w:val="5BCF52E0"/>
    <w:rsid w:val="5BF97753"/>
    <w:rsid w:val="5BFC4AF8"/>
    <w:rsid w:val="5C67FA28"/>
    <w:rsid w:val="5C7F6D61"/>
    <w:rsid w:val="5CBD15DF"/>
    <w:rsid w:val="5D39A983"/>
    <w:rsid w:val="5D5FF611"/>
    <w:rsid w:val="5D7BDF5D"/>
    <w:rsid w:val="5D9BB497"/>
    <w:rsid w:val="5D9F3B44"/>
    <w:rsid w:val="5DBD15AE"/>
    <w:rsid w:val="5DDD9C54"/>
    <w:rsid w:val="5DEB456D"/>
    <w:rsid w:val="5DED0560"/>
    <w:rsid w:val="5DEE7AD0"/>
    <w:rsid w:val="5DEF6940"/>
    <w:rsid w:val="5DFBF5D8"/>
    <w:rsid w:val="5DFE4B4B"/>
    <w:rsid w:val="5E2DD47F"/>
    <w:rsid w:val="5EBF6341"/>
    <w:rsid w:val="5EDD47F4"/>
    <w:rsid w:val="5EDF16E9"/>
    <w:rsid w:val="5EE79346"/>
    <w:rsid w:val="5EF73BBD"/>
    <w:rsid w:val="5EFD58E5"/>
    <w:rsid w:val="5EFF6ABF"/>
    <w:rsid w:val="5F167CEF"/>
    <w:rsid w:val="5F2BDDD7"/>
    <w:rsid w:val="5F3D0900"/>
    <w:rsid w:val="5F5FDAA4"/>
    <w:rsid w:val="5F6ACE0B"/>
    <w:rsid w:val="5F776E2D"/>
    <w:rsid w:val="5F776FF0"/>
    <w:rsid w:val="5F778CD1"/>
    <w:rsid w:val="5F86B797"/>
    <w:rsid w:val="5FA76ADE"/>
    <w:rsid w:val="5FB7F1A0"/>
    <w:rsid w:val="5FBDC23C"/>
    <w:rsid w:val="5FBF13F1"/>
    <w:rsid w:val="5FBFCA1C"/>
    <w:rsid w:val="5FBFEA9E"/>
    <w:rsid w:val="5FDF6BEC"/>
    <w:rsid w:val="5FF93235"/>
    <w:rsid w:val="5FFB2FD1"/>
    <w:rsid w:val="5FFCD758"/>
    <w:rsid w:val="5FFD7A05"/>
    <w:rsid w:val="5FFE69F9"/>
    <w:rsid w:val="5FFF2D1B"/>
    <w:rsid w:val="5FFFB463"/>
    <w:rsid w:val="61370541"/>
    <w:rsid w:val="6176B1AA"/>
    <w:rsid w:val="6199721E"/>
    <w:rsid w:val="627D9AF7"/>
    <w:rsid w:val="63A42056"/>
    <w:rsid w:val="6533D71B"/>
    <w:rsid w:val="656BD1D9"/>
    <w:rsid w:val="656D0340"/>
    <w:rsid w:val="65DF6360"/>
    <w:rsid w:val="65E75653"/>
    <w:rsid w:val="65E75803"/>
    <w:rsid w:val="65F4A0A7"/>
    <w:rsid w:val="65FAFFE2"/>
    <w:rsid w:val="66BB0D03"/>
    <w:rsid w:val="66BF9F41"/>
    <w:rsid w:val="66DBB7F1"/>
    <w:rsid w:val="677FDC44"/>
    <w:rsid w:val="67B7199A"/>
    <w:rsid w:val="67FF0EDD"/>
    <w:rsid w:val="67FFD6E4"/>
    <w:rsid w:val="684D488A"/>
    <w:rsid w:val="68DF0A78"/>
    <w:rsid w:val="68F700F6"/>
    <w:rsid w:val="68FB00BC"/>
    <w:rsid w:val="695788F4"/>
    <w:rsid w:val="69BB5E77"/>
    <w:rsid w:val="6AEBC67D"/>
    <w:rsid w:val="6B1F5E22"/>
    <w:rsid w:val="6B2F85CC"/>
    <w:rsid w:val="6B6EDAD7"/>
    <w:rsid w:val="6BA7253E"/>
    <w:rsid w:val="6BD5342C"/>
    <w:rsid w:val="6BDE16B9"/>
    <w:rsid w:val="6BED3B44"/>
    <w:rsid w:val="6BF7D5AF"/>
    <w:rsid w:val="6BFF34D0"/>
    <w:rsid w:val="6C7E4808"/>
    <w:rsid w:val="6C9FB842"/>
    <w:rsid w:val="6CD7F273"/>
    <w:rsid w:val="6CEC8A1F"/>
    <w:rsid w:val="6CEE33DA"/>
    <w:rsid w:val="6D36FE50"/>
    <w:rsid w:val="6D7FE0A8"/>
    <w:rsid w:val="6D9E056C"/>
    <w:rsid w:val="6DABFB57"/>
    <w:rsid w:val="6DB73056"/>
    <w:rsid w:val="6DDE3796"/>
    <w:rsid w:val="6DEBEDED"/>
    <w:rsid w:val="6DFE1652"/>
    <w:rsid w:val="6E3B746B"/>
    <w:rsid w:val="6E5B765D"/>
    <w:rsid w:val="6E6B318A"/>
    <w:rsid w:val="6E6F973A"/>
    <w:rsid w:val="6E784AB3"/>
    <w:rsid w:val="6EA7D165"/>
    <w:rsid w:val="6EBFA798"/>
    <w:rsid w:val="6EFB84BC"/>
    <w:rsid w:val="6EFF8F2F"/>
    <w:rsid w:val="6F1F0F06"/>
    <w:rsid w:val="6F1FE594"/>
    <w:rsid w:val="6F6B5CF5"/>
    <w:rsid w:val="6F759620"/>
    <w:rsid w:val="6F7B1C65"/>
    <w:rsid w:val="6F7BDFD1"/>
    <w:rsid w:val="6F7DA596"/>
    <w:rsid w:val="6FBF7E80"/>
    <w:rsid w:val="6FCDEF5F"/>
    <w:rsid w:val="6FD10053"/>
    <w:rsid w:val="6FD21CA6"/>
    <w:rsid w:val="6FDF4E3F"/>
    <w:rsid w:val="6FF65E4C"/>
    <w:rsid w:val="6FFB0957"/>
    <w:rsid w:val="6FFB3E84"/>
    <w:rsid w:val="6FFB9915"/>
    <w:rsid w:val="6FFBEB46"/>
    <w:rsid w:val="6FFC7C18"/>
    <w:rsid w:val="6FFE3AF4"/>
    <w:rsid w:val="6FFEB3C0"/>
    <w:rsid w:val="6FFEEB8C"/>
    <w:rsid w:val="6FFFBC9B"/>
    <w:rsid w:val="6FFFC35D"/>
    <w:rsid w:val="6FFFFAFE"/>
    <w:rsid w:val="713D3F3E"/>
    <w:rsid w:val="717FD47B"/>
    <w:rsid w:val="72E07929"/>
    <w:rsid w:val="72FA7394"/>
    <w:rsid w:val="733FE5B7"/>
    <w:rsid w:val="735F973D"/>
    <w:rsid w:val="737C767D"/>
    <w:rsid w:val="737F664C"/>
    <w:rsid w:val="73BE2158"/>
    <w:rsid w:val="73C6D4CE"/>
    <w:rsid w:val="73D5EBED"/>
    <w:rsid w:val="73D8BCE1"/>
    <w:rsid w:val="73DFFA01"/>
    <w:rsid w:val="73EB8752"/>
    <w:rsid w:val="73EBDE6D"/>
    <w:rsid w:val="73FADFED"/>
    <w:rsid w:val="73FD7C11"/>
    <w:rsid w:val="73FF8627"/>
    <w:rsid w:val="73FFDA0A"/>
    <w:rsid w:val="73FFE61C"/>
    <w:rsid w:val="74B7242A"/>
    <w:rsid w:val="74FC01CD"/>
    <w:rsid w:val="757B51C5"/>
    <w:rsid w:val="757DCAFF"/>
    <w:rsid w:val="759FCB8F"/>
    <w:rsid w:val="75B966B9"/>
    <w:rsid w:val="75B9AB41"/>
    <w:rsid w:val="75BCD856"/>
    <w:rsid w:val="75D99F7E"/>
    <w:rsid w:val="75DBFB72"/>
    <w:rsid w:val="75DF4BC7"/>
    <w:rsid w:val="75EB4490"/>
    <w:rsid w:val="75F66364"/>
    <w:rsid w:val="75FD9053"/>
    <w:rsid w:val="75FF2D60"/>
    <w:rsid w:val="75FFB2C0"/>
    <w:rsid w:val="760245DF"/>
    <w:rsid w:val="761B0255"/>
    <w:rsid w:val="762272ED"/>
    <w:rsid w:val="7659D22A"/>
    <w:rsid w:val="765FC10D"/>
    <w:rsid w:val="767F29B1"/>
    <w:rsid w:val="7698975F"/>
    <w:rsid w:val="76ABCD11"/>
    <w:rsid w:val="76AE200A"/>
    <w:rsid w:val="76B40A45"/>
    <w:rsid w:val="76B7CA2B"/>
    <w:rsid w:val="76DD7202"/>
    <w:rsid w:val="76DF31F2"/>
    <w:rsid w:val="76DF8235"/>
    <w:rsid w:val="76E94852"/>
    <w:rsid w:val="76EF7BC6"/>
    <w:rsid w:val="76F5BDC6"/>
    <w:rsid w:val="76FAC1FA"/>
    <w:rsid w:val="76FB58E2"/>
    <w:rsid w:val="76FFA304"/>
    <w:rsid w:val="773FD625"/>
    <w:rsid w:val="7743D126"/>
    <w:rsid w:val="77572B20"/>
    <w:rsid w:val="775B1D63"/>
    <w:rsid w:val="775F58F1"/>
    <w:rsid w:val="7777BCF1"/>
    <w:rsid w:val="77783D8B"/>
    <w:rsid w:val="777E49D0"/>
    <w:rsid w:val="777F16DA"/>
    <w:rsid w:val="777F4C50"/>
    <w:rsid w:val="778F0AE1"/>
    <w:rsid w:val="779B1C04"/>
    <w:rsid w:val="77BD6C0F"/>
    <w:rsid w:val="77BE8B60"/>
    <w:rsid w:val="77C919DA"/>
    <w:rsid w:val="77DAABCE"/>
    <w:rsid w:val="77DAF369"/>
    <w:rsid w:val="77DCA1FD"/>
    <w:rsid w:val="77DE0C5B"/>
    <w:rsid w:val="77DEE580"/>
    <w:rsid w:val="77DEF9A0"/>
    <w:rsid w:val="77E735B8"/>
    <w:rsid w:val="77EB2018"/>
    <w:rsid w:val="77EB4012"/>
    <w:rsid w:val="77EDCE88"/>
    <w:rsid w:val="77EE48C4"/>
    <w:rsid w:val="77F4AEC6"/>
    <w:rsid w:val="77F76211"/>
    <w:rsid w:val="77F7BCF1"/>
    <w:rsid w:val="77F7FEBC"/>
    <w:rsid w:val="77FE922E"/>
    <w:rsid w:val="77FEDA87"/>
    <w:rsid w:val="77FEE763"/>
    <w:rsid w:val="77FF007E"/>
    <w:rsid w:val="783FA6EE"/>
    <w:rsid w:val="78A3AFFD"/>
    <w:rsid w:val="78D7CF70"/>
    <w:rsid w:val="78EE3BC5"/>
    <w:rsid w:val="795FEDE4"/>
    <w:rsid w:val="798BEC09"/>
    <w:rsid w:val="7999CA58"/>
    <w:rsid w:val="79AF6FF5"/>
    <w:rsid w:val="79B554C1"/>
    <w:rsid w:val="79DBF5DF"/>
    <w:rsid w:val="79DCCFE2"/>
    <w:rsid w:val="79E55861"/>
    <w:rsid w:val="79F71457"/>
    <w:rsid w:val="79FAA623"/>
    <w:rsid w:val="79FFC651"/>
    <w:rsid w:val="7A77EA5C"/>
    <w:rsid w:val="7AAF6CD2"/>
    <w:rsid w:val="7ACDD141"/>
    <w:rsid w:val="7ACEB05F"/>
    <w:rsid w:val="7ADB3DAD"/>
    <w:rsid w:val="7AEB7DAA"/>
    <w:rsid w:val="7AEFC9D3"/>
    <w:rsid w:val="7AF793EA"/>
    <w:rsid w:val="7AF7B2CF"/>
    <w:rsid w:val="7AFB249B"/>
    <w:rsid w:val="7AFD3D54"/>
    <w:rsid w:val="7AFE4330"/>
    <w:rsid w:val="7AFFDE4F"/>
    <w:rsid w:val="7B1E86AA"/>
    <w:rsid w:val="7B1EBB05"/>
    <w:rsid w:val="7B378FE1"/>
    <w:rsid w:val="7B5FB0A2"/>
    <w:rsid w:val="7B7744C3"/>
    <w:rsid w:val="7B7B37D7"/>
    <w:rsid w:val="7B7F6AAC"/>
    <w:rsid w:val="7B7FE135"/>
    <w:rsid w:val="7B8E7DD2"/>
    <w:rsid w:val="7B9EC0B7"/>
    <w:rsid w:val="7B9FF84C"/>
    <w:rsid w:val="7BADF811"/>
    <w:rsid w:val="7BAFDD52"/>
    <w:rsid w:val="7BB72620"/>
    <w:rsid w:val="7BB7E6EB"/>
    <w:rsid w:val="7BC7C63F"/>
    <w:rsid w:val="7BDF3769"/>
    <w:rsid w:val="7BDF3A98"/>
    <w:rsid w:val="7BDF5C5A"/>
    <w:rsid w:val="7BDF86A2"/>
    <w:rsid w:val="7BDFD592"/>
    <w:rsid w:val="7BE32445"/>
    <w:rsid w:val="7BE7D416"/>
    <w:rsid w:val="7BEBFB97"/>
    <w:rsid w:val="7BEE2618"/>
    <w:rsid w:val="7BF72B0B"/>
    <w:rsid w:val="7BF75F79"/>
    <w:rsid w:val="7BF95226"/>
    <w:rsid w:val="7BFB03DA"/>
    <w:rsid w:val="7BFB3216"/>
    <w:rsid w:val="7BFD2876"/>
    <w:rsid w:val="7BFED97E"/>
    <w:rsid w:val="7BFF2703"/>
    <w:rsid w:val="7BFF2DCA"/>
    <w:rsid w:val="7BFFD83C"/>
    <w:rsid w:val="7BFFE739"/>
    <w:rsid w:val="7C0D33A0"/>
    <w:rsid w:val="7C646209"/>
    <w:rsid w:val="7C75CA8E"/>
    <w:rsid w:val="7C919D17"/>
    <w:rsid w:val="7CB4BDE1"/>
    <w:rsid w:val="7CB6F3E0"/>
    <w:rsid w:val="7CCF85FB"/>
    <w:rsid w:val="7CEF2E98"/>
    <w:rsid w:val="7CF7928C"/>
    <w:rsid w:val="7CF91B72"/>
    <w:rsid w:val="7CFAA8D9"/>
    <w:rsid w:val="7CFFB46B"/>
    <w:rsid w:val="7D3E583D"/>
    <w:rsid w:val="7D5DD509"/>
    <w:rsid w:val="7D5E6713"/>
    <w:rsid w:val="7D6FE386"/>
    <w:rsid w:val="7D70C8EA"/>
    <w:rsid w:val="7D7DD08B"/>
    <w:rsid w:val="7D7FBAA4"/>
    <w:rsid w:val="7D7FCA6F"/>
    <w:rsid w:val="7D7FE9AF"/>
    <w:rsid w:val="7D9FC573"/>
    <w:rsid w:val="7DAAED9F"/>
    <w:rsid w:val="7DAF537E"/>
    <w:rsid w:val="7DC9C6E6"/>
    <w:rsid w:val="7DDF98A4"/>
    <w:rsid w:val="7DEF72BD"/>
    <w:rsid w:val="7DF2D993"/>
    <w:rsid w:val="7DF3BDA4"/>
    <w:rsid w:val="7DF723F3"/>
    <w:rsid w:val="7DFAD83E"/>
    <w:rsid w:val="7DFAF7F9"/>
    <w:rsid w:val="7DFB218B"/>
    <w:rsid w:val="7DFE65BB"/>
    <w:rsid w:val="7DFEC013"/>
    <w:rsid w:val="7DFF00FB"/>
    <w:rsid w:val="7DFFBC05"/>
    <w:rsid w:val="7E1FE06C"/>
    <w:rsid w:val="7E2C1B25"/>
    <w:rsid w:val="7E333104"/>
    <w:rsid w:val="7E37F961"/>
    <w:rsid w:val="7E567177"/>
    <w:rsid w:val="7E5F8355"/>
    <w:rsid w:val="7E76F9CD"/>
    <w:rsid w:val="7E778F2E"/>
    <w:rsid w:val="7E7C910A"/>
    <w:rsid w:val="7E7F1E0F"/>
    <w:rsid w:val="7E7F77FB"/>
    <w:rsid w:val="7E7FD011"/>
    <w:rsid w:val="7E97F961"/>
    <w:rsid w:val="7EA12BDC"/>
    <w:rsid w:val="7EA6731F"/>
    <w:rsid w:val="7EA7E675"/>
    <w:rsid w:val="7EA7FFB0"/>
    <w:rsid w:val="7EB62F5C"/>
    <w:rsid w:val="7EB86791"/>
    <w:rsid w:val="7EBA5A85"/>
    <w:rsid w:val="7EBBFF65"/>
    <w:rsid w:val="7EBDC495"/>
    <w:rsid w:val="7EBDCC43"/>
    <w:rsid w:val="7EDFEC23"/>
    <w:rsid w:val="7EE7A62B"/>
    <w:rsid w:val="7EE93B94"/>
    <w:rsid w:val="7EF68BC1"/>
    <w:rsid w:val="7EF7BE90"/>
    <w:rsid w:val="7EF9DE75"/>
    <w:rsid w:val="7EFB50C3"/>
    <w:rsid w:val="7EFD25FA"/>
    <w:rsid w:val="7EFDAD43"/>
    <w:rsid w:val="7EFF03F6"/>
    <w:rsid w:val="7EFF1EED"/>
    <w:rsid w:val="7EFF5DE9"/>
    <w:rsid w:val="7EFF761C"/>
    <w:rsid w:val="7EFFF302"/>
    <w:rsid w:val="7F2F826F"/>
    <w:rsid w:val="7F346187"/>
    <w:rsid w:val="7F37533F"/>
    <w:rsid w:val="7F48EDE7"/>
    <w:rsid w:val="7F4A6031"/>
    <w:rsid w:val="7F57870C"/>
    <w:rsid w:val="7F5E521A"/>
    <w:rsid w:val="7F69ADC3"/>
    <w:rsid w:val="7F6CD427"/>
    <w:rsid w:val="7F73FFD9"/>
    <w:rsid w:val="7F773EEC"/>
    <w:rsid w:val="7F779390"/>
    <w:rsid w:val="7F7BEFF6"/>
    <w:rsid w:val="7F7DC623"/>
    <w:rsid w:val="7F7F0A53"/>
    <w:rsid w:val="7F7F50BA"/>
    <w:rsid w:val="7F7F68EB"/>
    <w:rsid w:val="7F994C92"/>
    <w:rsid w:val="7F9DE047"/>
    <w:rsid w:val="7F9FC1AD"/>
    <w:rsid w:val="7FA7A812"/>
    <w:rsid w:val="7FB16625"/>
    <w:rsid w:val="7FB445AB"/>
    <w:rsid w:val="7FB523B9"/>
    <w:rsid w:val="7FB9336D"/>
    <w:rsid w:val="7FB948CB"/>
    <w:rsid w:val="7FBBE709"/>
    <w:rsid w:val="7FBD63B6"/>
    <w:rsid w:val="7FBEA538"/>
    <w:rsid w:val="7FBECA8B"/>
    <w:rsid w:val="7FBF6312"/>
    <w:rsid w:val="7FBF7EEE"/>
    <w:rsid w:val="7FBFF8AD"/>
    <w:rsid w:val="7FC533DE"/>
    <w:rsid w:val="7FC56791"/>
    <w:rsid w:val="7FCF4170"/>
    <w:rsid w:val="7FCF64C6"/>
    <w:rsid w:val="7FD9D7B6"/>
    <w:rsid w:val="7FDB078B"/>
    <w:rsid w:val="7FDB9132"/>
    <w:rsid w:val="7FDDEB4D"/>
    <w:rsid w:val="7FDE8D17"/>
    <w:rsid w:val="7FDE9144"/>
    <w:rsid w:val="7FDEF5E0"/>
    <w:rsid w:val="7FDF85FB"/>
    <w:rsid w:val="7FDFD9D9"/>
    <w:rsid w:val="7FE1FCF9"/>
    <w:rsid w:val="7FE294F5"/>
    <w:rsid w:val="7FEB13A8"/>
    <w:rsid w:val="7FEB18FF"/>
    <w:rsid w:val="7FEB2E71"/>
    <w:rsid w:val="7FEB906D"/>
    <w:rsid w:val="7FEBE740"/>
    <w:rsid w:val="7FED3AA0"/>
    <w:rsid w:val="7FED7105"/>
    <w:rsid w:val="7FF4C5B9"/>
    <w:rsid w:val="7FF73947"/>
    <w:rsid w:val="7FF74FAF"/>
    <w:rsid w:val="7FF7D403"/>
    <w:rsid w:val="7FF88306"/>
    <w:rsid w:val="7FFA9552"/>
    <w:rsid w:val="7FFB4AC7"/>
    <w:rsid w:val="7FFBE056"/>
    <w:rsid w:val="7FFBEFF7"/>
    <w:rsid w:val="7FFBFB15"/>
    <w:rsid w:val="7FFCC8E5"/>
    <w:rsid w:val="7FFD1DA1"/>
    <w:rsid w:val="7FFD7E10"/>
    <w:rsid w:val="7FFD88AA"/>
    <w:rsid w:val="7FFE90A5"/>
    <w:rsid w:val="7FFEEAA6"/>
    <w:rsid w:val="7FFF250F"/>
    <w:rsid w:val="7FFF487E"/>
    <w:rsid w:val="7FFF4A90"/>
    <w:rsid w:val="7FFFE444"/>
    <w:rsid w:val="7FFFFEB1"/>
    <w:rsid w:val="83E59360"/>
    <w:rsid w:val="83FDB215"/>
    <w:rsid w:val="8CBF3FFF"/>
    <w:rsid w:val="8CF9EAAB"/>
    <w:rsid w:val="8D9F1C4F"/>
    <w:rsid w:val="8DF78FBC"/>
    <w:rsid w:val="8DFF1255"/>
    <w:rsid w:val="8DFFD420"/>
    <w:rsid w:val="8FDFD254"/>
    <w:rsid w:val="8FEFFAE0"/>
    <w:rsid w:val="936F7455"/>
    <w:rsid w:val="94FF11FF"/>
    <w:rsid w:val="955F4313"/>
    <w:rsid w:val="95FB417D"/>
    <w:rsid w:val="9797DF7D"/>
    <w:rsid w:val="97FFBF98"/>
    <w:rsid w:val="9AFB4E60"/>
    <w:rsid w:val="9B294156"/>
    <w:rsid w:val="9B2A2C36"/>
    <w:rsid w:val="9B5FA97E"/>
    <w:rsid w:val="9BDF2FFD"/>
    <w:rsid w:val="9BF12DD7"/>
    <w:rsid w:val="9C7FC703"/>
    <w:rsid w:val="9CEED8AE"/>
    <w:rsid w:val="9D1C44B0"/>
    <w:rsid w:val="9DDD55F2"/>
    <w:rsid w:val="9DDEB802"/>
    <w:rsid w:val="9DEF2BB9"/>
    <w:rsid w:val="9E975E76"/>
    <w:rsid w:val="9EF66036"/>
    <w:rsid w:val="9EFF7D23"/>
    <w:rsid w:val="9EFFD2C1"/>
    <w:rsid w:val="9F3F6BBA"/>
    <w:rsid w:val="9F3FA6BC"/>
    <w:rsid w:val="9F5F8E23"/>
    <w:rsid w:val="9F7B616A"/>
    <w:rsid w:val="9F7CBDDF"/>
    <w:rsid w:val="9F9FB17D"/>
    <w:rsid w:val="9FAFAC11"/>
    <w:rsid w:val="9FB67F2A"/>
    <w:rsid w:val="9FBE17CD"/>
    <w:rsid w:val="9FD5041F"/>
    <w:rsid w:val="9FFF43CE"/>
    <w:rsid w:val="9FFF9276"/>
    <w:rsid w:val="A5D69D04"/>
    <w:rsid w:val="A6F7262E"/>
    <w:rsid w:val="A7D7051C"/>
    <w:rsid w:val="A7F7BB64"/>
    <w:rsid w:val="A7FF4975"/>
    <w:rsid w:val="AB6B38B7"/>
    <w:rsid w:val="ABB6DB26"/>
    <w:rsid w:val="ABFBA41A"/>
    <w:rsid w:val="ABFF7F87"/>
    <w:rsid w:val="AC7376B2"/>
    <w:rsid w:val="AD5F7576"/>
    <w:rsid w:val="ADBD136E"/>
    <w:rsid w:val="ADFFC9A1"/>
    <w:rsid w:val="AF3FE0A9"/>
    <w:rsid w:val="AF7706DD"/>
    <w:rsid w:val="AF77254C"/>
    <w:rsid w:val="AF7B9456"/>
    <w:rsid w:val="AFCF1F82"/>
    <w:rsid w:val="AFDA5302"/>
    <w:rsid w:val="AFFD202E"/>
    <w:rsid w:val="B267941B"/>
    <w:rsid w:val="B2EF65AE"/>
    <w:rsid w:val="B35F0F9B"/>
    <w:rsid w:val="B3BF5673"/>
    <w:rsid w:val="B3FB72EF"/>
    <w:rsid w:val="B4E55ADA"/>
    <w:rsid w:val="B53DADE9"/>
    <w:rsid w:val="B5BAD1AD"/>
    <w:rsid w:val="B5BEC459"/>
    <w:rsid w:val="B5D3C75D"/>
    <w:rsid w:val="B5DB6C91"/>
    <w:rsid w:val="B5DD178B"/>
    <w:rsid w:val="B5DF086F"/>
    <w:rsid w:val="B6AFC210"/>
    <w:rsid w:val="B6D78AB9"/>
    <w:rsid w:val="B6F394A4"/>
    <w:rsid w:val="B76B60E2"/>
    <w:rsid w:val="B7C6EDCF"/>
    <w:rsid w:val="B7CB7B1D"/>
    <w:rsid w:val="B7DAF56C"/>
    <w:rsid w:val="B7DEE547"/>
    <w:rsid w:val="B7FBACDC"/>
    <w:rsid w:val="B7FD03FC"/>
    <w:rsid w:val="B7FE0708"/>
    <w:rsid w:val="B7FE4841"/>
    <w:rsid w:val="B7FE744E"/>
    <w:rsid w:val="B8DC2CB3"/>
    <w:rsid w:val="B9D12C80"/>
    <w:rsid w:val="B9DDF53E"/>
    <w:rsid w:val="B9ED25D0"/>
    <w:rsid w:val="B9F7A3B8"/>
    <w:rsid w:val="BAFC25E0"/>
    <w:rsid w:val="BAFFAFDC"/>
    <w:rsid w:val="BB360D08"/>
    <w:rsid w:val="BB47DE59"/>
    <w:rsid w:val="BB5D3999"/>
    <w:rsid w:val="BB7F3B17"/>
    <w:rsid w:val="BBB76DF4"/>
    <w:rsid w:val="BBBE2AEB"/>
    <w:rsid w:val="BBC595C1"/>
    <w:rsid w:val="BBD72C90"/>
    <w:rsid w:val="BBDB51A7"/>
    <w:rsid w:val="BBDBFEE2"/>
    <w:rsid w:val="BBEF43D6"/>
    <w:rsid w:val="BBFCDA8A"/>
    <w:rsid w:val="BBFCDFDF"/>
    <w:rsid w:val="BBFDC474"/>
    <w:rsid w:val="BC4F5338"/>
    <w:rsid w:val="BC7FEAD6"/>
    <w:rsid w:val="BCFFF29B"/>
    <w:rsid w:val="BDAD0F2E"/>
    <w:rsid w:val="BDB74512"/>
    <w:rsid w:val="BDCC67FF"/>
    <w:rsid w:val="BDD53BB8"/>
    <w:rsid w:val="BDE71836"/>
    <w:rsid w:val="BDF8E5A8"/>
    <w:rsid w:val="BDF9A271"/>
    <w:rsid w:val="BE2EC49F"/>
    <w:rsid w:val="BE3BDBAE"/>
    <w:rsid w:val="BE6B1CBD"/>
    <w:rsid w:val="BE7580C3"/>
    <w:rsid w:val="BE7E8399"/>
    <w:rsid w:val="BE7F9D9C"/>
    <w:rsid w:val="BE7FC33C"/>
    <w:rsid w:val="BEAD0A71"/>
    <w:rsid w:val="BEBFC497"/>
    <w:rsid w:val="BEBFDB68"/>
    <w:rsid w:val="BEDE5F64"/>
    <w:rsid w:val="BEEF251D"/>
    <w:rsid w:val="BEEF3269"/>
    <w:rsid w:val="BEFF58EF"/>
    <w:rsid w:val="BF6FB6B2"/>
    <w:rsid w:val="BF75A9A5"/>
    <w:rsid w:val="BF7BE57E"/>
    <w:rsid w:val="BF7CECDC"/>
    <w:rsid w:val="BF7E6B93"/>
    <w:rsid w:val="BF7F0C0B"/>
    <w:rsid w:val="BF7F6831"/>
    <w:rsid w:val="BF7FB128"/>
    <w:rsid w:val="BF9F1542"/>
    <w:rsid w:val="BF9F58D7"/>
    <w:rsid w:val="BFA77635"/>
    <w:rsid w:val="BFAB60BF"/>
    <w:rsid w:val="BFAD531D"/>
    <w:rsid w:val="BFB7371E"/>
    <w:rsid w:val="BFB9C019"/>
    <w:rsid w:val="BFBDAC19"/>
    <w:rsid w:val="BFBE5BD7"/>
    <w:rsid w:val="BFD6E57A"/>
    <w:rsid w:val="BFEB0AD3"/>
    <w:rsid w:val="BFEB53F7"/>
    <w:rsid w:val="BFEF26BE"/>
    <w:rsid w:val="BFEFBFC7"/>
    <w:rsid w:val="BFF2D1A8"/>
    <w:rsid w:val="BFF33667"/>
    <w:rsid w:val="BFF41435"/>
    <w:rsid w:val="BFF653F4"/>
    <w:rsid w:val="BFF71C7E"/>
    <w:rsid w:val="BFF95543"/>
    <w:rsid w:val="BFFA27EE"/>
    <w:rsid w:val="BFFD4E78"/>
    <w:rsid w:val="BFFD72B0"/>
    <w:rsid w:val="BFFDEEC0"/>
    <w:rsid w:val="BFFEE067"/>
    <w:rsid w:val="BFFFBA01"/>
    <w:rsid w:val="C13D46F6"/>
    <w:rsid w:val="C39FFF79"/>
    <w:rsid w:val="C4F7A977"/>
    <w:rsid w:val="C6B9C59D"/>
    <w:rsid w:val="C6FF1E32"/>
    <w:rsid w:val="C75E2051"/>
    <w:rsid w:val="C7CA8611"/>
    <w:rsid w:val="C7F76CB8"/>
    <w:rsid w:val="C7FF8C09"/>
    <w:rsid w:val="C8BE061E"/>
    <w:rsid w:val="C9F7AD69"/>
    <w:rsid w:val="CAEC67DC"/>
    <w:rsid w:val="CB7FA3CB"/>
    <w:rsid w:val="CB7FF9E3"/>
    <w:rsid w:val="CBA5DD9A"/>
    <w:rsid w:val="CD5D761D"/>
    <w:rsid w:val="CDD7D95E"/>
    <w:rsid w:val="CDDFE49C"/>
    <w:rsid w:val="CE0D2BBE"/>
    <w:rsid w:val="CE0E6FAD"/>
    <w:rsid w:val="CE2FF17F"/>
    <w:rsid w:val="CE7EA83F"/>
    <w:rsid w:val="CECC6066"/>
    <w:rsid w:val="CEEBDD0A"/>
    <w:rsid w:val="CF2ACEB1"/>
    <w:rsid w:val="CF4B0F12"/>
    <w:rsid w:val="CF775517"/>
    <w:rsid w:val="CFACF9BC"/>
    <w:rsid w:val="CFD4183B"/>
    <w:rsid w:val="CFD7F72C"/>
    <w:rsid w:val="CFE7FC4B"/>
    <w:rsid w:val="CFFF5C11"/>
    <w:rsid w:val="CFFF640A"/>
    <w:rsid w:val="CFFF75C8"/>
    <w:rsid w:val="D1FF79E9"/>
    <w:rsid w:val="D2DF0EBC"/>
    <w:rsid w:val="D37BB188"/>
    <w:rsid w:val="D3F5CD87"/>
    <w:rsid w:val="D3FA8346"/>
    <w:rsid w:val="D4EE833E"/>
    <w:rsid w:val="D4F3FD1A"/>
    <w:rsid w:val="D5578B26"/>
    <w:rsid w:val="D57D768F"/>
    <w:rsid w:val="D5DBF5D2"/>
    <w:rsid w:val="D5FE1320"/>
    <w:rsid w:val="D5FF3551"/>
    <w:rsid w:val="D68FC395"/>
    <w:rsid w:val="D6DF94FD"/>
    <w:rsid w:val="D7AF958E"/>
    <w:rsid w:val="D7BF2FC6"/>
    <w:rsid w:val="D7DD78D7"/>
    <w:rsid w:val="D7DF8643"/>
    <w:rsid w:val="D7EAC0F7"/>
    <w:rsid w:val="D7EF23C3"/>
    <w:rsid w:val="D7EFC391"/>
    <w:rsid w:val="D7F7F2AB"/>
    <w:rsid w:val="D7FD586E"/>
    <w:rsid w:val="D7FE0932"/>
    <w:rsid w:val="D8F34E58"/>
    <w:rsid w:val="D95FD199"/>
    <w:rsid w:val="D9BF04F9"/>
    <w:rsid w:val="D9E7511B"/>
    <w:rsid w:val="D9E754ED"/>
    <w:rsid w:val="D9F6EB6F"/>
    <w:rsid w:val="D9FE2277"/>
    <w:rsid w:val="D9FFDE06"/>
    <w:rsid w:val="DA579354"/>
    <w:rsid w:val="DA7F3442"/>
    <w:rsid w:val="DAC7524A"/>
    <w:rsid w:val="DAFBDD48"/>
    <w:rsid w:val="DAFFDFC8"/>
    <w:rsid w:val="DB2F6085"/>
    <w:rsid w:val="DB5C873D"/>
    <w:rsid w:val="DB6F1A21"/>
    <w:rsid w:val="DB749F5A"/>
    <w:rsid w:val="DB78E05B"/>
    <w:rsid w:val="DB7B1CB4"/>
    <w:rsid w:val="DB9A6A83"/>
    <w:rsid w:val="DB9F00E5"/>
    <w:rsid w:val="DB9F4B65"/>
    <w:rsid w:val="DBAECAA0"/>
    <w:rsid w:val="DBB97026"/>
    <w:rsid w:val="DBCCE519"/>
    <w:rsid w:val="DBDB38D7"/>
    <w:rsid w:val="DBDB6DC8"/>
    <w:rsid w:val="DBEEF701"/>
    <w:rsid w:val="DBFF1D17"/>
    <w:rsid w:val="DBFF8E89"/>
    <w:rsid w:val="DBFF9AE7"/>
    <w:rsid w:val="DBFFD7BD"/>
    <w:rsid w:val="DC67DF90"/>
    <w:rsid w:val="DC7D43D7"/>
    <w:rsid w:val="DC91B064"/>
    <w:rsid w:val="DCEA6D7F"/>
    <w:rsid w:val="DCF6F144"/>
    <w:rsid w:val="DCFA8FD8"/>
    <w:rsid w:val="DD665B96"/>
    <w:rsid w:val="DD67001D"/>
    <w:rsid w:val="DD7F54D6"/>
    <w:rsid w:val="DDBFDE32"/>
    <w:rsid w:val="DDFB9388"/>
    <w:rsid w:val="DE3FFB6D"/>
    <w:rsid w:val="DE472184"/>
    <w:rsid w:val="DE768D51"/>
    <w:rsid w:val="DEAB16AC"/>
    <w:rsid w:val="DEB68154"/>
    <w:rsid w:val="DEBF2B78"/>
    <w:rsid w:val="DED78786"/>
    <w:rsid w:val="DEEED69C"/>
    <w:rsid w:val="DEFDFBA4"/>
    <w:rsid w:val="DEFFA625"/>
    <w:rsid w:val="DF1F2D30"/>
    <w:rsid w:val="DF4FFAAA"/>
    <w:rsid w:val="DF67F927"/>
    <w:rsid w:val="DF7915B7"/>
    <w:rsid w:val="DF797530"/>
    <w:rsid w:val="DF7A6A64"/>
    <w:rsid w:val="DF7F31D9"/>
    <w:rsid w:val="DF7FB390"/>
    <w:rsid w:val="DF9AA96F"/>
    <w:rsid w:val="DF9FCAF8"/>
    <w:rsid w:val="DFB73750"/>
    <w:rsid w:val="DFBD77ED"/>
    <w:rsid w:val="DFBFBFE9"/>
    <w:rsid w:val="DFDBD44C"/>
    <w:rsid w:val="DFE387D4"/>
    <w:rsid w:val="DFE4284F"/>
    <w:rsid w:val="DFEB9B3D"/>
    <w:rsid w:val="DFED19E0"/>
    <w:rsid w:val="DFEFB452"/>
    <w:rsid w:val="DFF50829"/>
    <w:rsid w:val="DFF752D7"/>
    <w:rsid w:val="DFF948E9"/>
    <w:rsid w:val="DFFBF5F9"/>
    <w:rsid w:val="DFFE81F4"/>
    <w:rsid w:val="DFFE8885"/>
    <w:rsid w:val="DFFEC56E"/>
    <w:rsid w:val="DFFF17FB"/>
    <w:rsid w:val="DFFF25A5"/>
    <w:rsid w:val="DFFFC836"/>
    <w:rsid w:val="DFFFEFC5"/>
    <w:rsid w:val="E2F926BB"/>
    <w:rsid w:val="E337A866"/>
    <w:rsid w:val="E37C921D"/>
    <w:rsid w:val="E3DF52B1"/>
    <w:rsid w:val="E3DFFB7F"/>
    <w:rsid w:val="E3FF38A0"/>
    <w:rsid w:val="E43FBA99"/>
    <w:rsid w:val="E59FDEBF"/>
    <w:rsid w:val="E5FCD7F3"/>
    <w:rsid w:val="E5FFCA07"/>
    <w:rsid w:val="E5FFEF29"/>
    <w:rsid w:val="E74DC7C3"/>
    <w:rsid w:val="E77BAE1C"/>
    <w:rsid w:val="E7BE7DB3"/>
    <w:rsid w:val="E7D9E382"/>
    <w:rsid w:val="E7F74A5C"/>
    <w:rsid w:val="E7F79FA8"/>
    <w:rsid w:val="E7FA9622"/>
    <w:rsid w:val="E7FDDBF5"/>
    <w:rsid w:val="E8DF86EE"/>
    <w:rsid w:val="E8F7F1F0"/>
    <w:rsid w:val="E97120CE"/>
    <w:rsid w:val="E99F5413"/>
    <w:rsid w:val="E9BF1D36"/>
    <w:rsid w:val="E9FE44BC"/>
    <w:rsid w:val="EA5F4718"/>
    <w:rsid w:val="EA93BB3E"/>
    <w:rsid w:val="EB4FFAFC"/>
    <w:rsid w:val="EB73CECC"/>
    <w:rsid w:val="EB7E2A18"/>
    <w:rsid w:val="EB7F1BCF"/>
    <w:rsid w:val="EBBE190A"/>
    <w:rsid w:val="EBF51BAB"/>
    <w:rsid w:val="EBF7795D"/>
    <w:rsid w:val="EBFD1589"/>
    <w:rsid w:val="EC9B763A"/>
    <w:rsid w:val="ECD4ACF8"/>
    <w:rsid w:val="ECF51DD2"/>
    <w:rsid w:val="ED9EDE5A"/>
    <w:rsid w:val="EDA73382"/>
    <w:rsid w:val="EDBF274B"/>
    <w:rsid w:val="EDDE0704"/>
    <w:rsid w:val="EDE21B0F"/>
    <w:rsid w:val="EDEB55D7"/>
    <w:rsid w:val="EDF58937"/>
    <w:rsid w:val="EDFC28F7"/>
    <w:rsid w:val="EDFE53A6"/>
    <w:rsid w:val="EDFEB9B8"/>
    <w:rsid w:val="EE3B67C5"/>
    <w:rsid w:val="EE6F606D"/>
    <w:rsid w:val="EE7612A2"/>
    <w:rsid w:val="EE95114D"/>
    <w:rsid w:val="EEAF6956"/>
    <w:rsid w:val="EEB7A7DA"/>
    <w:rsid w:val="EEBB6346"/>
    <w:rsid w:val="EEBFDD34"/>
    <w:rsid w:val="EEEFE554"/>
    <w:rsid w:val="EEF3FEBC"/>
    <w:rsid w:val="EEF75386"/>
    <w:rsid w:val="EEFF1112"/>
    <w:rsid w:val="EF1EE17D"/>
    <w:rsid w:val="EF5E1872"/>
    <w:rsid w:val="EF5E5C68"/>
    <w:rsid w:val="EF6D7CCD"/>
    <w:rsid w:val="EF7BEBB5"/>
    <w:rsid w:val="EF7D5968"/>
    <w:rsid w:val="EF7ED8F4"/>
    <w:rsid w:val="EF7F3E34"/>
    <w:rsid w:val="EF9A0829"/>
    <w:rsid w:val="EF9FB113"/>
    <w:rsid w:val="EFAF0D5B"/>
    <w:rsid w:val="EFCF48DA"/>
    <w:rsid w:val="EFD576DA"/>
    <w:rsid w:val="EFDFBEC1"/>
    <w:rsid w:val="EFDFE6A3"/>
    <w:rsid w:val="EFE64A47"/>
    <w:rsid w:val="EFE72690"/>
    <w:rsid w:val="EFE7DB9C"/>
    <w:rsid w:val="EFE929AC"/>
    <w:rsid w:val="EFED98E0"/>
    <w:rsid w:val="EFEF2A30"/>
    <w:rsid w:val="EFF3AE5B"/>
    <w:rsid w:val="EFF7F24E"/>
    <w:rsid w:val="EFFB68E2"/>
    <w:rsid w:val="EFFB9FFE"/>
    <w:rsid w:val="EFFC6378"/>
    <w:rsid w:val="EFFC8DD2"/>
    <w:rsid w:val="EFFDB1CF"/>
    <w:rsid w:val="EFFDCB7A"/>
    <w:rsid w:val="EFFF04E9"/>
    <w:rsid w:val="EFFFB38B"/>
    <w:rsid w:val="EFFFCBC8"/>
    <w:rsid w:val="EFFFEB73"/>
    <w:rsid w:val="F015EB2D"/>
    <w:rsid w:val="F0DFDB71"/>
    <w:rsid w:val="F0FF208C"/>
    <w:rsid w:val="F1CDE2EF"/>
    <w:rsid w:val="F2AF3611"/>
    <w:rsid w:val="F2BEB065"/>
    <w:rsid w:val="F35B05C3"/>
    <w:rsid w:val="F3979036"/>
    <w:rsid w:val="F3BF743E"/>
    <w:rsid w:val="F3CD3966"/>
    <w:rsid w:val="F3FBA869"/>
    <w:rsid w:val="F3FE7A32"/>
    <w:rsid w:val="F3FFD75F"/>
    <w:rsid w:val="F473A4B6"/>
    <w:rsid w:val="F4778063"/>
    <w:rsid w:val="F4B7F2C6"/>
    <w:rsid w:val="F4C36AE0"/>
    <w:rsid w:val="F4C75959"/>
    <w:rsid w:val="F4F9719C"/>
    <w:rsid w:val="F4FF4B60"/>
    <w:rsid w:val="F53F5DAB"/>
    <w:rsid w:val="F57B3BC0"/>
    <w:rsid w:val="F596CD85"/>
    <w:rsid w:val="F5C62EC6"/>
    <w:rsid w:val="F5DA79DD"/>
    <w:rsid w:val="F5DF0321"/>
    <w:rsid w:val="F5EF69D0"/>
    <w:rsid w:val="F5FB034A"/>
    <w:rsid w:val="F67D8C6B"/>
    <w:rsid w:val="F67EDAB6"/>
    <w:rsid w:val="F696BDDF"/>
    <w:rsid w:val="F6BC0EE0"/>
    <w:rsid w:val="F6BFE770"/>
    <w:rsid w:val="F6E97DB8"/>
    <w:rsid w:val="F6EBEF60"/>
    <w:rsid w:val="F6F375BD"/>
    <w:rsid w:val="F6FC6CE4"/>
    <w:rsid w:val="F6FFE955"/>
    <w:rsid w:val="F72F7D30"/>
    <w:rsid w:val="F73CA25A"/>
    <w:rsid w:val="F73F1D98"/>
    <w:rsid w:val="F73F7029"/>
    <w:rsid w:val="F755A15C"/>
    <w:rsid w:val="F7595FA6"/>
    <w:rsid w:val="F75B6D70"/>
    <w:rsid w:val="F75D3F7E"/>
    <w:rsid w:val="F75DC377"/>
    <w:rsid w:val="F76BDDF3"/>
    <w:rsid w:val="F76D6409"/>
    <w:rsid w:val="F76F98FC"/>
    <w:rsid w:val="F76FD604"/>
    <w:rsid w:val="F775B352"/>
    <w:rsid w:val="F77F21CC"/>
    <w:rsid w:val="F77F4D87"/>
    <w:rsid w:val="F7AD3BB9"/>
    <w:rsid w:val="F7AF55CF"/>
    <w:rsid w:val="F7B5FECB"/>
    <w:rsid w:val="F7B7860C"/>
    <w:rsid w:val="F7B8C4F9"/>
    <w:rsid w:val="F7BBEBDC"/>
    <w:rsid w:val="F7BD2855"/>
    <w:rsid w:val="F7CDD0D2"/>
    <w:rsid w:val="F7DD00F0"/>
    <w:rsid w:val="F7DDA7E0"/>
    <w:rsid w:val="F7DDC196"/>
    <w:rsid w:val="F7DEA9BD"/>
    <w:rsid w:val="F7DF7703"/>
    <w:rsid w:val="F7E9DEBA"/>
    <w:rsid w:val="F7EEE66C"/>
    <w:rsid w:val="F7EFFE7D"/>
    <w:rsid w:val="F7F34219"/>
    <w:rsid w:val="F7FF592A"/>
    <w:rsid w:val="F7FFF685"/>
    <w:rsid w:val="F8F70281"/>
    <w:rsid w:val="F8FB43BC"/>
    <w:rsid w:val="F8FF950A"/>
    <w:rsid w:val="F8FFBCEB"/>
    <w:rsid w:val="F97B17A7"/>
    <w:rsid w:val="F9B39373"/>
    <w:rsid w:val="F9D665EE"/>
    <w:rsid w:val="F9DF2339"/>
    <w:rsid w:val="F9EBAE04"/>
    <w:rsid w:val="F9EE87F1"/>
    <w:rsid w:val="F9FBE6B1"/>
    <w:rsid w:val="F9FCBA95"/>
    <w:rsid w:val="F9FEE992"/>
    <w:rsid w:val="F9FF637D"/>
    <w:rsid w:val="F9FF7994"/>
    <w:rsid w:val="F9FFD5E9"/>
    <w:rsid w:val="FABB6B18"/>
    <w:rsid w:val="FABD52A3"/>
    <w:rsid w:val="FABFDF05"/>
    <w:rsid w:val="FADFBD0E"/>
    <w:rsid w:val="FAE11E62"/>
    <w:rsid w:val="FAEAE6F4"/>
    <w:rsid w:val="FAF7F702"/>
    <w:rsid w:val="FAFEC97F"/>
    <w:rsid w:val="FB3EDB51"/>
    <w:rsid w:val="FB3F496D"/>
    <w:rsid w:val="FB56246A"/>
    <w:rsid w:val="FB562937"/>
    <w:rsid w:val="FB5F3939"/>
    <w:rsid w:val="FB66B6BC"/>
    <w:rsid w:val="FB79C85F"/>
    <w:rsid w:val="FB7AD835"/>
    <w:rsid w:val="FB7F652A"/>
    <w:rsid w:val="FB7F870E"/>
    <w:rsid w:val="FBAD4609"/>
    <w:rsid w:val="FBAFECC6"/>
    <w:rsid w:val="FBB7A04C"/>
    <w:rsid w:val="FBBF51B6"/>
    <w:rsid w:val="FBD54724"/>
    <w:rsid w:val="FBDB8B69"/>
    <w:rsid w:val="FBDFB951"/>
    <w:rsid w:val="FBF260FA"/>
    <w:rsid w:val="FBF290BA"/>
    <w:rsid w:val="FBF34DCF"/>
    <w:rsid w:val="FBF9E57A"/>
    <w:rsid w:val="FBFC22FC"/>
    <w:rsid w:val="FBFD0EF4"/>
    <w:rsid w:val="FBFE081A"/>
    <w:rsid w:val="FBFE52DA"/>
    <w:rsid w:val="FBFF10B9"/>
    <w:rsid w:val="FBFF1EF3"/>
    <w:rsid w:val="FBFF945E"/>
    <w:rsid w:val="FC5F032E"/>
    <w:rsid w:val="FC7E0B5C"/>
    <w:rsid w:val="FC8F5739"/>
    <w:rsid w:val="FCB6AD8F"/>
    <w:rsid w:val="FCC6A7CD"/>
    <w:rsid w:val="FCCC2984"/>
    <w:rsid w:val="FCE5BE1F"/>
    <w:rsid w:val="FCF3199A"/>
    <w:rsid w:val="FCF7149B"/>
    <w:rsid w:val="FCFA9D44"/>
    <w:rsid w:val="FCFF9BD5"/>
    <w:rsid w:val="FD37E26E"/>
    <w:rsid w:val="FD3D0E73"/>
    <w:rsid w:val="FD3E638D"/>
    <w:rsid w:val="FD458315"/>
    <w:rsid w:val="FD5F6177"/>
    <w:rsid w:val="FD6749DE"/>
    <w:rsid w:val="FD7AFF16"/>
    <w:rsid w:val="FD7D2198"/>
    <w:rsid w:val="FDA35F2E"/>
    <w:rsid w:val="FDBDCC19"/>
    <w:rsid w:val="FDBEC1F8"/>
    <w:rsid w:val="FDBF54C7"/>
    <w:rsid w:val="FDD7A2B8"/>
    <w:rsid w:val="FDDA5D7E"/>
    <w:rsid w:val="FDDDDFDE"/>
    <w:rsid w:val="FDDDEF04"/>
    <w:rsid w:val="FDDF74CA"/>
    <w:rsid w:val="FDEF87BC"/>
    <w:rsid w:val="FDF9F429"/>
    <w:rsid w:val="FDFA0509"/>
    <w:rsid w:val="FDFBBAF4"/>
    <w:rsid w:val="FDFCADCA"/>
    <w:rsid w:val="FDFD1912"/>
    <w:rsid w:val="FDFE185D"/>
    <w:rsid w:val="FDFF59D2"/>
    <w:rsid w:val="FDFFAABF"/>
    <w:rsid w:val="FDFFC8A9"/>
    <w:rsid w:val="FE2744CB"/>
    <w:rsid w:val="FE3DA8DF"/>
    <w:rsid w:val="FE3F7829"/>
    <w:rsid w:val="FE550DEA"/>
    <w:rsid w:val="FE7DA149"/>
    <w:rsid w:val="FE7FAA33"/>
    <w:rsid w:val="FE9E8FDF"/>
    <w:rsid w:val="FE9F7F65"/>
    <w:rsid w:val="FE9F808E"/>
    <w:rsid w:val="FEAF8328"/>
    <w:rsid w:val="FEBF6FBB"/>
    <w:rsid w:val="FED685C3"/>
    <w:rsid w:val="FEEB145B"/>
    <w:rsid w:val="FEEB55A2"/>
    <w:rsid w:val="FEF32B61"/>
    <w:rsid w:val="FEFE8294"/>
    <w:rsid w:val="FEFF336C"/>
    <w:rsid w:val="FEFF4584"/>
    <w:rsid w:val="FEFF5D85"/>
    <w:rsid w:val="FEFFBF6A"/>
    <w:rsid w:val="FF3B398F"/>
    <w:rsid w:val="FF3D4481"/>
    <w:rsid w:val="FF56C9F8"/>
    <w:rsid w:val="FF5F0765"/>
    <w:rsid w:val="FF5F91E7"/>
    <w:rsid w:val="FF6481E1"/>
    <w:rsid w:val="FF692B21"/>
    <w:rsid w:val="FF6CE2C7"/>
    <w:rsid w:val="FF6F509A"/>
    <w:rsid w:val="FF6F74B3"/>
    <w:rsid w:val="FF6F7B19"/>
    <w:rsid w:val="FF78BE7E"/>
    <w:rsid w:val="FF7A43BB"/>
    <w:rsid w:val="FF7B3FFF"/>
    <w:rsid w:val="FF7B8808"/>
    <w:rsid w:val="FF7D0BA6"/>
    <w:rsid w:val="FF7E264A"/>
    <w:rsid w:val="FF7E7A89"/>
    <w:rsid w:val="FF7E855C"/>
    <w:rsid w:val="FF7E95A2"/>
    <w:rsid w:val="FF7EA1C5"/>
    <w:rsid w:val="FF7FD7E7"/>
    <w:rsid w:val="FF8F5AB4"/>
    <w:rsid w:val="FF98C9DF"/>
    <w:rsid w:val="FF9F7554"/>
    <w:rsid w:val="FFAFA0A1"/>
    <w:rsid w:val="FFB7877B"/>
    <w:rsid w:val="FFB99453"/>
    <w:rsid w:val="FFBA9CCF"/>
    <w:rsid w:val="FFBB616A"/>
    <w:rsid w:val="FFBBA585"/>
    <w:rsid w:val="FFBC70E1"/>
    <w:rsid w:val="FFBD0B92"/>
    <w:rsid w:val="FFBE09CE"/>
    <w:rsid w:val="FFBECB5B"/>
    <w:rsid w:val="FFBF0407"/>
    <w:rsid w:val="FFBF48A7"/>
    <w:rsid w:val="FFBF9834"/>
    <w:rsid w:val="FFBFB342"/>
    <w:rsid w:val="FFC61425"/>
    <w:rsid w:val="FFC7FF38"/>
    <w:rsid w:val="FFCF7064"/>
    <w:rsid w:val="FFD2D2C6"/>
    <w:rsid w:val="FFD7B0C2"/>
    <w:rsid w:val="FFDA9EBE"/>
    <w:rsid w:val="FFDF64EF"/>
    <w:rsid w:val="FFEF559E"/>
    <w:rsid w:val="FFEF6F4B"/>
    <w:rsid w:val="FFEFE73B"/>
    <w:rsid w:val="FFF320FC"/>
    <w:rsid w:val="FFF32E9B"/>
    <w:rsid w:val="FFF3C8EF"/>
    <w:rsid w:val="FFF57FF1"/>
    <w:rsid w:val="FFF69935"/>
    <w:rsid w:val="FFF7A85E"/>
    <w:rsid w:val="FFF7B766"/>
    <w:rsid w:val="FFF7D355"/>
    <w:rsid w:val="FFF7F94A"/>
    <w:rsid w:val="FFF875F6"/>
    <w:rsid w:val="FFFB37F6"/>
    <w:rsid w:val="FFFB42AE"/>
    <w:rsid w:val="FFFB6374"/>
    <w:rsid w:val="FFFB9646"/>
    <w:rsid w:val="FFFBC22C"/>
    <w:rsid w:val="FFFC3DF9"/>
    <w:rsid w:val="FFFD45C5"/>
    <w:rsid w:val="FFFDC82B"/>
    <w:rsid w:val="FFFF0671"/>
    <w:rsid w:val="FFFF0FB6"/>
    <w:rsid w:val="FFFF2FB7"/>
    <w:rsid w:val="FFFF3B9D"/>
    <w:rsid w:val="FFFF5B91"/>
    <w:rsid w:val="FFFF7847"/>
    <w:rsid w:val="FFFF84B2"/>
    <w:rsid w:val="FFFFB6FA"/>
    <w:rsid w:val="FFFFCC4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nhideWhenUsed="0" w:uiPriority="0" w:semiHidden="0" w:name="List 2"/>
    <w:lsdException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6"/>
    <w:qFormat/>
    <w:uiPriority w:val="9"/>
    <w:pPr>
      <w:widowControl w:val="0"/>
      <w:numPr>
        <w:ilvl w:val="0"/>
        <w:numId w:val="1"/>
      </w:numPr>
      <w:spacing w:before="360" w:after="60"/>
      <w:ind w:left="432" w:hanging="432"/>
      <w:outlineLvl w:val="0"/>
    </w:pPr>
    <w:rPr>
      <w:rFonts w:ascii="Arial" w:hAnsi="Arial"/>
      <w:b/>
      <w:bCs/>
      <w:kern w:val="32"/>
      <w:sz w:val="32"/>
      <w:szCs w:val="32"/>
    </w:rPr>
  </w:style>
  <w:style w:type="paragraph" w:styleId="3">
    <w:name w:val="heading 2"/>
    <w:basedOn w:val="2"/>
    <w:next w:val="1"/>
    <w:link w:val="27"/>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8"/>
    <w:qFormat/>
    <w:uiPriority w:val="0"/>
    <w:pPr>
      <w:keepNext/>
      <w:numPr>
        <w:ilvl w:val="2"/>
        <w:numId w:val="1"/>
      </w:numPr>
      <w:tabs>
        <w:tab w:val="left" w:pos="720"/>
      </w:tabs>
      <w:spacing w:before="240" w:after="60"/>
      <w:outlineLvl w:val="2"/>
    </w:pPr>
    <w:rPr>
      <w:rFonts w:ascii="Arial" w:hAnsi="Arial"/>
      <w:b/>
      <w:bCs/>
      <w:szCs w:val="26"/>
    </w:rPr>
  </w:style>
  <w:style w:type="paragraph" w:styleId="5">
    <w:name w:val="heading 4"/>
    <w:basedOn w:val="4"/>
    <w:next w:val="1"/>
    <w:link w:val="29"/>
    <w:qFormat/>
    <w:uiPriority w:val="9"/>
    <w:pPr>
      <w:numPr>
        <w:ilvl w:val="3"/>
        <w:numId w:val="1"/>
      </w:numPr>
      <w:tabs>
        <w:tab w:val="clear" w:pos="0"/>
      </w:tabs>
      <w:outlineLvl w:val="3"/>
    </w:pPr>
    <w:rPr>
      <w:i/>
    </w:rPr>
  </w:style>
  <w:style w:type="paragraph" w:styleId="6">
    <w:name w:val="heading 5"/>
    <w:basedOn w:val="5"/>
    <w:next w:val="1"/>
    <w:link w:val="30"/>
    <w:qFormat/>
    <w:uiPriority w:val="9"/>
    <w:pPr>
      <w:numPr>
        <w:ilvl w:val="4"/>
      </w:numPr>
      <w:ind w:left="864" w:hanging="864"/>
      <w:outlineLvl w:val="4"/>
    </w:pPr>
    <w:rPr>
      <w:bCs w:val="0"/>
      <w:i w:val="0"/>
      <w:iCs/>
      <w:sz w:val="18"/>
    </w:rPr>
  </w:style>
  <w:style w:type="paragraph" w:styleId="7">
    <w:name w:val="heading 6"/>
    <w:basedOn w:val="1"/>
    <w:next w:val="1"/>
    <w:link w:val="31"/>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32"/>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33"/>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qFormat/>
    <w:uiPriority w:val="0"/>
    <w:pPr>
      <w:tabs>
        <w:tab w:val="left" w:pos="1440"/>
      </w:tabs>
      <w:spacing w:after="120"/>
      <w:jc w:val="both"/>
    </w:pPr>
    <w:rPr>
      <w:lang w:eastAsia="zh-CN"/>
    </w:rPr>
  </w:style>
  <w:style w:type="paragraph" w:styleId="15">
    <w:name w:val="annotation text"/>
    <w:basedOn w:val="1"/>
    <w:semiHidden/>
    <w:unhideWhenUsed/>
    <w:uiPriority w:val="99"/>
    <w:pPr>
      <w:jc w:val="left"/>
    </w:pPr>
  </w:style>
  <w:style w:type="character" w:styleId="16">
    <w:name w:val="Emphasis"/>
    <w:qFormat/>
    <w:uiPriority w:val="20"/>
    <w:rPr>
      <w:i/>
      <w:iCs/>
    </w:rPr>
  </w:style>
  <w:style w:type="character" w:styleId="17">
    <w:name w:val="FollowedHyperlink"/>
    <w:unhideWhenUsed/>
    <w:uiPriority w:val="99"/>
    <w:rPr>
      <w:color w:val="954F72"/>
      <w:u w:val="single"/>
    </w:rPr>
  </w:style>
  <w:style w:type="paragraph" w:styleId="18">
    <w:name w:val="footer"/>
    <w:basedOn w:val="1"/>
    <w:link w:val="36"/>
    <w:unhideWhenUsed/>
    <w:uiPriority w:val="99"/>
    <w:pPr>
      <w:tabs>
        <w:tab w:val="center" w:pos="4680"/>
        <w:tab w:val="right" w:pos="9360"/>
      </w:tabs>
    </w:pPr>
  </w:style>
  <w:style w:type="paragraph" w:styleId="19">
    <w:name w:val="header"/>
    <w:basedOn w:val="1"/>
    <w:link w:val="37"/>
    <w:unhideWhenUsed/>
    <w:uiPriority w:val="99"/>
    <w:pPr>
      <w:tabs>
        <w:tab w:val="center" w:pos="4680"/>
        <w:tab w:val="right" w:pos="9360"/>
      </w:tabs>
    </w:pPr>
  </w:style>
  <w:style w:type="character" w:styleId="20">
    <w:name w:val="Hyperlink"/>
    <w:qFormat/>
    <w:uiPriority w:val="99"/>
    <w:rPr>
      <w:color w:val="0000FF"/>
      <w:u w:val="single"/>
    </w:rPr>
  </w:style>
  <w:style w:type="paragraph" w:styleId="21">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2">
    <w:name w:val="List 2"/>
    <w:basedOn w:val="21"/>
    <w:uiPriority w:val="0"/>
    <w:pPr>
      <w:ind w:left="851"/>
    </w:pPr>
  </w:style>
  <w:style w:type="paragraph" w:styleId="23">
    <w:name w:val="List 3"/>
    <w:basedOn w:val="22"/>
    <w:uiPriority w:val="0"/>
    <w:pPr>
      <w:ind w:left="1135"/>
    </w:pPr>
  </w:style>
  <w:style w:type="paragraph" w:styleId="24">
    <w:name w:val="Plain Text"/>
    <w:basedOn w:val="1"/>
    <w:link w:val="38"/>
    <w:unhideWhenUsed/>
    <w:uiPriority w:val="99"/>
    <w:rPr>
      <w:rFonts w:ascii="Arial" w:hAnsi="Arial" w:eastAsia="MS Gothic"/>
      <w:color w:val="000000"/>
      <w:szCs w:val="2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제목 1 Char"/>
    <w:link w:val="2"/>
    <w:uiPriority w:val="9"/>
    <w:rPr>
      <w:rFonts w:ascii="Arial" w:hAnsi="Arial" w:eastAsia="바탕" w:cs="Times New Roman"/>
      <w:b/>
      <w:bCs/>
      <w:kern w:val="32"/>
      <w:sz w:val="32"/>
      <w:szCs w:val="32"/>
      <w:lang w:val="en-GB"/>
    </w:rPr>
  </w:style>
  <w:style w:type="character" w:customStyle="1" w:styleId="27">
    <w:name w:val="제목 2 Char"/>
    <w:link w:val="3"/>
    <w:uiPriority w:val="9"/>
    <w:rPr>
      <w:rFonts w:ascii="Arial" w:hAnsi="Arial" w:eastAsia="바탕" w:cs="Times New Roman"/>
      <w:b/>
      <w:bCs/>
      <w:i/>
      <w:iCs/>
      <w:kern w:val="0"/>
      <w:sz w:val="24"/>
      <w:szCs w:val="28"/>
      <w:lang w:val="en-GB"/>
    </w:rPr>
  </w:style>
  <w:style w:type="character" w:customStyle="1" w:styleId="28">
    <w:name w:val="제목 3 Char"/>
    <w:link w:val="4"/>
    <w:uiPriority w:val="0"/>
    <w:rPr>
      <w:rFonts w:ascii="Arial" w:hAnsi="Arial" w:eastAsia="바탕" w:cs="Times New Roman"/>
      <w:b/>
      <w:bCs/>
      <w:kern w:val="0"/>
      <w:szCs w:val="26"/>
      <w:lang w:val="en-GB"/>
    </w:rPr>
  </w:style>
  <w:style w:type="character" w:customStyle="1" w:styleId="29">
    <w:name w:val="제목 4 Char"/>
    <w:link w:val="5"/>
    <w:uiPriority w:val="9"/>
    <w:rPr>
      <w:rFonts w:ascii="Arial" w:hAnsi="Arial" w:eastAsia="바탕" w:cs="Times New Roman"/>
      <w:b/>
      <w:bCs/>
      <w:i/>
      <w:kern w:val="0"/>
      <w:szCs w:val="26"/>
      <w:lang w:val="en-GB"/>
    </w:rPr>
  </w:style>
  <w:style w:type="character" w:customStyle="1" w:styleId="30">
    <w:name w:val="제목 5 Char"/>
    <w:link w:val="6"/>
    <w:uiPriority w:val="9"/>
    <w:rPr>
      <w:rFonts w:ascii="Arial" w:hAnsi="Arial" w:eastAsia="바탕" w:cs="Times New Roman"/>
      <w:b/>
      <w:iCs/>
      <w:kern w:val="0"/>
      <w:sz w:val="18"/>
      <w:szCs w:val="26"/>
      <w:lang w:val="en-GB"/>
    </w:rPr>
  </w:style>
  <w:style w:type="character" w:customStyle="1" w:styleId="31">
    <w:name w:val="제목 6 Char"/>
    <w:link w:val="7"/>
    <w:uiPriority w:val="9"/>
    <w:rPr>
      <w:rFonts w:ascii="Times New Roman" w:hAnsi="Times New Roman" w:eastAsia="바탕" w:cs="Times New Roman"/>
      <w:b/>
      <w:bCs/>
      <w:i/>
      <w:kern w:val="0"/>
      <w:lang w:val="en-GB"/>
    </w:rPr>
  </w:style>
  <w:style w:type="character" w:customStyle="1" w:styleId="32">
    <w:name w:val="제목 7 Char"/>
    <w:link w:val="8"/>
    <w:uiPriority w:val="9"/>
    <w:rPr>
      <w:rFonts w:ascii="Times New Roman" w:hAnsi="Times New Roman" w:eastAsia="바탕" w:cs="Times New Roman"/>
      <w:kern w:val="0"/>
      <w:sz w:val="24"/>
      <w:szCs w:val="24"/>
      <w:lang w:val="en-GB"/>
    </w:rPr>
  </w:style>
  <w:style w:type="character" w:customStyle="1" w:styleId="33">
    <w:name w:val="제목 8 Char"/>
    <w:link w:val="9"/>
    <w:uiPriority w:val="9"/>
    <w:rPr>
      <w:rFonts w:ascii="Times New Roman" w:hAnsi="Times New Roman" w:eastAsia="바탕" w:cs="Times New Roman"/>
      <w:i/>
      <w:iCs/>
      <w:kern w:val="0"/>
      <w:sz w:val="24"/>
      <w:szCs w:val="24"/>
      <w:lang w:val="en-GB"/>
    </w:rPr>
  </w:style>
  <w:style w:type="character" w:customStyle="1" w:styleId="34">
    <w:name w:val="제목 9 Char"/>
    <w:link w:val="10"/>
    <w:uiPriority w:val="9"/>
    <w:rPr>
      <w:rFonts w:ascii="Arial" w:hAnsi="Arial" w:eastAsia="바탕" w:cs="Times New Roman"/>
      <w:kern w:val="0"/>
      <w:sz w:val="22"/>
      <w:lang w:val="en-GB"/>
    </w:rPr>
  </w:style>
  <w:style w:type="character" w:customStyle="1" w:styleId="35">
    <w:name w:val="풍선 도움말 텍스트 Char"/>
    <w:link w:val="13"/>
    <w:semiHidden/>
    <w:uiPriority w:val="99"/>
    <w:rPr>
      <w:rFonts w:hAnsi="Times"/>
      <w:sz w:val="18"/>
      <w:szCs w:val="18"/>
      <w:lang w:val="en-GB" w:eastAsia="en-US"/>
    </w:rPr>
  </w:style>
  <w:style w:type="character" w:customStyle="1" w:styleId="36">
    <w:name w:val="바닥글 Char"/>
    <w:link w:val="18"/>
    <w:uiPriority w:val="99"/>
    <w:rPr>
      <w:rFonts w:ascii="Times" w:hAnsi="Times" w:eastAsia="바탕"/>
      <w:szCs w:val="24"/>
      <w:lang w:val="en-GB" w:eastAsia="en-US"/>
    </w:rPr>
  </w:style>
  <w:style w:type="character" w:customStyle="1" w:styleId="37">
    <w:name w:val="머리글 Char"/>
    <w:link w:val="19"/>
    <w:uiPriority w:val="99"/>
    <w:rPr>
      <w:rFonts w:ascii="Times" w:hAnsi="Times" w:eastAsia="바탕"/>
      <w:szCs w:val="24"/>
      <w:lang w:val="en-GB" w:eastAsia="en-US"/>
    </w:rPr>
  </w:style>
  <w:style w:type="character" w:customStyle="1" w:styleId="38">
    <w:name w:val="글자만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ascii="Times New Roman" w:hAnsi="Times New Roman" w:eastAsia="Times New Roman"/>
      <w:lang w:val="en-US"/>
    </w:rPr>
  </w:style>
  <w:style w:type="character" w:customStyle="1" w:styleId="40">
    <w:name w:val="Unresolved Mention"/>
    <w:unhideWhenUsed/>
    <w:uiPriority w:val="99"/>
    <w:rPr>
      <w:color w:val="605E5C"/>
      <w:shd w:val="clear" w:color="auto" w:fill="E1DFDD"/>
    </w:rPr>
  </w:style>
  <w:style w:type="paragraph" w:customStyle="1" w:styleId="41">
    <w:name w:val="_Style 38"/>
    <w:semiHidden/>
    <w:uiPriority w:val="99"/>
    <w:rPr>
      <w:rFonts w:ascii="Times" w:hAnsi="Times" w:eastAsia="바탕"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1"/>
    <w:qFormat/>
    <w:uiPriority w:val="0"/>
    <w:pPr>
      <w:spacing w:after="180"/>
      <w:ind w:left="568" w:hanging="284"/>
    </w:pPr>
    <w:rPr>
      <w:rFonts w:eastAsia="宋体"/>
      <w:lang w:val="en-GB" w:eastAsia="en-US"/>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22"/>
    <w:qFormat/>
    <w:uiPriority w:val="0"/>
    <w:pPr>
      <w:ind w:left="851" w:hanging="284"/>
    </w:pPr>
  </w:style>
  <w:style w:type="paragraph" w:customStyle="1" w:styleId="49">
    <w:name w:val="B3"/>
    <w:basedOn w:val="23"/>
    <w:qFormat/>
    <w:uiPriority w:val="0"/>
    <w:pPr>
      <w:ind w:left="1135" w:hanging="284"/>
    </w:pPr>
  </w:style>
  <w:style w:type="paragraph" w:customStyle="1" w:styleId="5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1298</Words>
  <Characters>7405</Characters>
  <Lines>61</Lines>
  <Paragraphs>17</Paragraphs>
  <TotalTime>10</TotalTime>
  <ScaleCrop>false</ScaleCrop>
  <LinksUpToDate>false</LinksUpToDate>
  <CharactersWithSpaces>8686</CharactersWithSpaces>
  <Application>WPS Office_6.6.1.8808_F1E327BC-269C-435d-A152-05C5408002CA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2024-01-10T02:13:00Z</dcterms:created>
  <dc:creator>김윤선/표준연구팀(SR)/Master/삼성전자</dc:creator>
  <cp:lastModifiedBy>Dan Wu</cp:lastModifiedBy>
  <dcterms:modified xsi:type="dcterms:W3CDTF">2024-05-10T16:30:09Z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1033-6.6.1.8808</vt:lpwstr>
  </property>
  <property fmtid="{D5CDD505-2E9C-101B-9397-08002B2CF9AE}" pid="4" name="ICV">
    <vt:lpwstr>34FF4FFD0EC42824E8B83D6683AB56FD_43</vt:lpwstr>
  </property>
</Properties>
</file>