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B1DC" w14:textId="3939B112" w:rsidR="00595876" w:rsidRPr="003C1889" w:rsidRDefault="00595876" w:rsidP="00595876">
      <w:pPr>
        <w:spacing w:line="240" w:lineRule="atLeast"/>
        <w:rPr>
          <w:rFonts w:ascii="Arial" w:hAnsi="Arial" w:cs="Arial"/>
          <w:b/>
          <w:bCs/>
          <w:snapToGrid w:val="0"/>
          <w:sz w:val="24"/>
          <w:lang w:val="en-GB"/>
        </w:rPr>
      </w:pPr>
      <w:r w:rsidRPr="003C1889">
        <w:rPr>
          <w:rFonts w:ascii="Arial" w:hAnsi="Arial" w:cs="Arial"/>
          <w:b/>
          <w:bCs/>
          <w:snapToGrid w:val="0"/>
          <w:sz w:val="24"/>
          <w:lang w:val="en-GB"/>
        </w:rPr>
        <w:t>3GPP TSG RAN WG1 #116</w:t>
      </w:r>
      <w:r w:rsidRPr="000C6905">
        <w:rPr>
          <w:rFonts w:ascii="Arial" w:hAnsi="Arial" w:cs="Arial"/>
          <w:b/>
          <w:bCs/>
          <w:snapToGrid w:val="0"/>
          <w:sz w:val="24"/>
          <w:lang w:val="en-GB"/>
        </w:rPr>
        <w:t>-bis</w:t>
      </w:r>
      <w:r w:rsidRPr="003C1889">
        <w:rPr>
          <w:rFonts w:ascii="Arial" w:hAnsi="Arial" w:cs="Arial"/>
          <w:b/>
          <w:bCs/>
          <w:snapToGrid w:val="0"/>
          <w:sz w:val="24"/>
          <w:lang w:val="en-GB"/>
        </w:rPr>
        <w:t xml:space="preserve"> </w:t>
      </w:r>
      <w:r w:rsidRPr="003C1889">
        <w:rPr>
          <w:rFonts w:ascii="Arial" w:hAnsi="Arial" w:cs="Arial"/>
          <w:b/>
          <w:bCs/>
          <w:snapToGrid w:val="0"/>
          <w:sz w:val="24"/>
          <w:lang w:val="en-GB"/>
        </w:rPr>
        <w:tab/>
        <w:t xml:space="preserve"> </w:t>
      </w:r>
      <w:r w:rsidRPr="003C1889">
        <w:rPr>
          <w:rFonts w:ascii="Arial" w:hAnsi="Arial" w:cs="Arial"/>
          <w:b/>
          <w:bCs/>
          <w:snapToGrid w:val="0"/>
          <w:sz w:val="24"/>
          <w:lang w:val="en-GB"/>
        </w:rPr>
        <w:tab/>
        <w:t xml:space="preserve">  </w:t>
      </w:r>
      <w:r w:rsidRPr="003C1889">
        <w:rPr>
          <w:rFonts w:ascii="Arial" w:hAnsi="Arial" w:cs="Arial"/>
          <w:b/>
          <w:bCs/>
          <w:snapToGrid w:val="0"/>
          <w:sz w:val="24"/>
          <w:lang w:val="en-GB"/>
        </w:rPr>
        <w:tab/>
        <w:t xml:space="preserve">                 R1-240</w:t>
      </w:r>
      <w:r w:rsidR="00432572">
        <w:rPr>
          <w:rFonts w:ascii="Arial" w:hAnsi="Arial" w:cs="Arial"/>
          <w:b/>
          <w:bCs/>
          <w:snapToGrid w:val="0"/>
          <w:sz w:val="24"/>
          <w:lang w:val="en-GB"/>
        </w:rPr>
        <w:t>2631</w:t>
      </w:r>
    </w:p>
    <w:p w14:paraId="73F822E1" w14:textId="77777777" w:rsidR="00595876" w:rsidRPr="000C6905" w:rsidRDefault="00595876" w:rsidP="00595876">
      <w:pPr>
        <w:pBdr>
          <w:bottom w:val="single" w:sz="12" w:space="1" w:color="auto"/>
        </w:pBdr>
        <w:spacing w:line="240" w:lineRule="atLeast"/>
        <w:rPr>
          <w:rFonts w:ascii="Arial" w:hAnsi="Arial" w:cs="Arial"/>
          <w:b/>
          <w:bCs/>
          <w:snapToGrid w:val="0"/>
          <w:sz w:val="24"/>
        </w:rPr>
      </w:pPr>
      <w:r w:rsidRPr="000C6905">
        <w:rPr>
          <w:rFonts w:ascii="Arial" w:hAnsi="Arial" w:cs="Arial"/>
          <w:b/>
          <w:sz w:val="24"/>
        </w:rPr>
        <w:t>Changsha, Hunan Province, China, April 15</w:t>
      </w:r>
      <w:r w:rsidRPr="003C1889">
        <w:rPr>
          <w:rFonts w:ascii="Arial" w:hAnsi="Arial" w:cs="Arial"/>
          <w:b/>
          <w:sz w:val="24"/>
          <w:vertAlign w:val="superscript"/>
        </w:rPr>
        <w:t>th</w:t>
      </w:r>
      <w:r w:rsidRPr="000C6905">
        <w:rPr>
          <w:rFonts w:ascii="Arial" w:hAnsi="Arial" w:cs="Arial"/>
          <w:b/>
          <w:sz w:val="24"/>
        </w:rPr>
        <w:t xml:space="preserve"> – 19</w:t>
      </w:r>
      <w:r w:rsidRPr="003C1889">
        <w:rPr>
          <w:rFonts w:ascii="Arial" w:hAnsi="Arial" w:cs="Arial"/>
          <w:b/>
          <w:sz w:val="24"/>
          <w:vertAlign w:val="superscript"/>
        </w:rPr>
        <w:t>th</w:t>
      </w:r>
      <w:r w:rsidRPr="000C6905">
        <w:rPr>
          <w:rFonts w:ascii="Arial" w:hAnsi="Arial" w:cs="Arial"/>
          <w:b/>
          <w:sz w:val="24"/>
        </w:rPr>
        <w:t>, 2024</w:t>
      </w:r>
    </w:p>
    <w:p w14:paraId="6D879566" w14:textId="603E2A6E" w:rsidR="00F06030" w:rsidRPr="00596295" w:rsidRDefault="00F06030" w:rsidP="002E0A64">
      <w:pPr>
        <w:rPr>
          <w:rFonts w:ascii="Arial" w:hAnsi="Arial" w:cs="Arial"/>
          <w:sz w:val="24"/>
        </w:rPr>
      </w:pPr>
      <w:r w:rsidRPr="00596295">
        <w:rPr>
          <w:rFonts w:ascii="Arial" w:hAnsi="Arial" w:cs="Arial"/>
          <w:b/>
          <w:sz w:val="24"/>
        </w:rPr>
        <w:t>Agenda item:</w:t>
      </w:r>
      <w:r w:rsidRPr="00596295">
        <w:rPr>
          <w:rFonts w:ascii="Arial" w:hAnsi="Arial" w:cs="Arial"/>
          <w:b/>
          <w:sz w:val="24"/>
        </w:rPr>
        <w:tab/>
      </w:r>
      <w:r w:rsidRPr="00596295">
        <w:rPr>
          <w:rFonts w:ascii="Arial" w:hAnsi="Arial" w:cs="Arial"/>
          <w:b/>
          <w:sz w:val="24"/>
        </w:rPr>
        <w:tab/>
      </w:r>
      <w:r w:rsidR="00AB585F" w:rsidRPr="00596295">
        <w:rPr>
          <w:rFonts w:ascii="Arial" w:hAnsi="Arial" w:cs="Arial"/>
          <w:sz w:val="24"/>
        </w:rPr>
        <w:t>9.</w:t>
      </w:r>
      <w:r w:rsidR="005E1811">
        <w:rPr>
          <w:rFonts w:ascii="Arial" w:hAnsi="Arial" w:cs="Arial"/>
          <w:sz w:val="24"/>
        </w:rPr>
        <w:t>1</w:t>
      </w:r>
      <w:r w:rsidR="00483C18" w:rsidRPr="00596295">
        <w:rPr>
          <w:rFonts w:ascii="Arial" w:hAnsi="Arial" w:cs="Arial"/>
          <w:sz w:val="24"/>
        </w:rPr>
        <w:t>.</w:t>
      </w:r>
      <w:r w:rsidR="005E1811">
        <w:rPr>
          <w:rFonts w:ascii="Arial" w:hAnsi="Arial" w:cs="Arial"/>
          <w:sz w:val="24"/>
        </w:rPr>
        <w:t>3.3</w:t>
      </w:r>
    </w:p>
    <w:p w14:paraId="057B5BBA" w14:textId="77777777" w:rsidR="00F06030" w:rsidRPr="00596295" w:rsidRDefault="00F06030" w:rsidP="002E0A64">
      <w:pPr>
        <w:rPr>
          <w:rFonts w:ascii="Arial" w:hAnsi="Arial" w:cs="Arial"/>
          <w:sz w:val="24"/>
        </w:rPr>
      </w:pPr>
      <w:r w:rsidRPr="00596295">
        <w:rPr>
          <w:rFonts w:ascii="Arial" w:hAnsi="Arial" w:cs="Arial"/>
          <w:b/>
          <w:sz w:val="24"/>
        </w:rPr>
        <w:t>Source:</w:t>
      </w:r>
      <w:r w:rsidRPr="00596295">
        <w:rPr>
          <w:rFonts w:ascii="Arial" w:hAnsi="Arial" w:cs="Arial"/>
          <w:b/>
          <w:sz w:val="24"/>
        </w:rPr>
        <w:tab/>
      </w:r>
      <w:r w:rsidRPr="00596295">
        <w:rPr>
          <w:rFonts w:ascii="Arial" w:hAnsi="Arial" w:cs="Arial"/>
          <w:b/>
          <w:sz w:val="24"/>
        </w:rPr>
        <w:tab/>
      </w:r>
      <w:r w:rsidRPr="00596295">
        <w:rPr>
          <w:rFonts w:ascii="Arial" w:hAnsi="Arial" w:cs="Arial"/>
          <w:sz w:val="24"/>
        </w:rPr>
        <w:t>LG Electronics</w:t>
      </w:r>
    </w:p>
    <w:p w14:paraId="687A90CF" w14:textId="4E682C27" w:rsidR="00F06030" w:rsidRPr="00596295" w:rsidRDefault="00F06030" w:rsidP="002E0A64">
      <w:pPr>
        <w:rPr>
          <w:rFonts w:ascii="Arial" w:hAnsi="Arial" w:cs="Arial"/>
          <w:sz w:val="24"/>
        </w:rPr>
      </w:pPr>
      <w:r w:rsidRPr="00596295">
        <w:rPr>
          <w:rFonts w:ascii="Arial" w:hAnsi="Arial" w:cs="Arial"/>
          <w:b/>
          <w:sz w:val="24"/>
        </w:rPr>
        <w:t>Title:</w:t>
      </w:r>
      <w:r w:rsidRPr="00596295">
        <w:rPr>
          <w:rFonts w:ascii="Arial" w:hAnsi="Arial" w:cs="Arial"/>
          <w:b/>
          <w:sz w:val="24"/>
        </w:rPr>
        <w:tab/>
      </w:r>
      <w:r w:rsidRPr="00596295">
        <w:rPr>
          <w:rFonts w:ascii="Arial" w:hAnsi="Arial" w:cs="Arial"/>
          <w:b/>
          <w:sz w:val="24"/>
        </w:rPr>
        <w:tab/>
      </w:r>
      <w:r w:rsidRPr="00596295">
        <w:rPr>
          <w:rFonts w:ascii="Arial" w:hAnsi="Arial" w:cs="Arial"/>
          <w:b/>
          <w:sz w:val="24"/>
        </w:rPr>
        <w:tab/>
      </w:r>
      <w:r w:rsidR="00AE14C1">
        <w:rPr>
          <w:rFonts w:ascii="Arial" w:hAnsi="Arial" w:cs="Arial"/>
          <w:sz w:val="24"/>
        </w:rPr>
        <w:t>Discussion</w:t>
      </w:r>
      <w:r w:rsidR="005E1811" w:rsidRPr="005E1811">
        <w:rPr>
          <w:rFonts w:ascii="Arial" w:hAnsi="Arial" w:cs="Arial"/>
          <w:sz w:val="24"/>
        </w:rPr>
        <w:t xml:space="preserve"> on </w:t>
      </w:r>
      <w:r w:rsidR="00AE14C1">
        <w:rPr>
          <w:rFonts w:ascii="Arial" w:hAnsi="Arial" w:cs="Arial"/>
          <w:sz w:val="24"/>
        </w:rPr>
        <w:t>o</w:t>
      </w:r>
      <w:r w:rsidR="00AE14C1" w:rsidRPr="00AE14C1">
        <w:rPr>
          <w:rFonts w:ascii="Arial" w:hAnsi="Arial" w:cs="Arial"/>
          <w:sz w:val="24"/>
        </w:rPr>
        <w:t>ther aspects of AI/ML model and data</w:t>
      </w:r>
    </w:p>
    <w:p w14:paraId="411255C7" w14:textId="77777777" w:rsidR="00F06030" w:rsidRPr="00596295" w:rsidRDefault="00F06030" w:rsidP="002E0A64">
      <w:pPr>
        <w:pBdr>
          <w:bottom w:val="single" w:sz="12" w:space="1" w:color="auto"/>
        </w:pBdr>
        <w:rPr>
          <w:rFonts w:ascii="Arial" w:hAnsi="Arial" w:cs="Arial"/>
          <w:sz w:val="24"/>
        </w:rPr>
      </w:pPr>
      <w:r w:rsidRPr="00596295">
        <w:rPr>
          <w:rFonts w:ascii="Arial" w:hAnsi="Arial" w:cs="Arial"/>
          <w:b/>
          <w:sz w:val="24"/>
        </w:rPr>
        <w:t>Document for:</w:t>
      </w:r>
      <w:r w:rsidRPr="00596295">
        <w:rPr>
          <w:rFonts w:ascii="Arial" w:hAnsi="Arial" w:cs="Arial"/>
          <w:b/>
          <w:sz w:val="24"/>
        </w:rPr>
        <w:tab/>
      </w:r>
      <w:r w:rsidRPr="00596295">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467D02D0" w:rsidR="000B45E0" w:rsidRPr="00596295" w:rsidRDefault="00AB585F" w:rsidP="00F06030">
      <w:r w:rsidRPr="00596295">
        <w:t xml:space="preserve">In this contribution, we discuss </w:t>
      </w:r>
      <w:r w:rsidR="005E1811">
        <w:t>on the following study objectives described in the WID</w:t>
      </w:r>
      <w:r w:rsidRPr="00596295">
        <w:t>[1].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728FE59B" w14:textId="77777777" w:rsidR="005E1811" w:rsidRDefault="005E1811" w:rsidP="005E1811">
            <w:pPr>
              <w:rPr>
                <w:bCs/>
              </w:rPr>
            </w:pPr>
            <w:r>
              <w:rPr>
                <w:bCs/>
              </w:rPr>
              <w:t>Study objectives with corresponding checkpoints in RAN#105 (Sept ’24):</w:t>
            </w:r>
          </w:p>
          <w:p w14:paraId="65F3B6A2" w14:textId="18CE097E" w:rsidR="005E1811" w:rsidRPr="005E1811" w:rsidRDefault="005E1811" w:rsidP="005E1811">
            <w:pPr>
              <w:widowControl/>
              <w:wordWrap/>
              <w:overflowPunct w:val="0"/>
              <w:adjustRightInd w:val="0"/>
              <w:jc w:val="center"/>
              <w:textAlignment w:val="baseline"/>
              <w:rPr>
                <w:bCs/>
                <w:color w:val="FF0000"/>
              </w:rPr>
            </w:pPr>
            <w:r w:rsidRPr="005E1811">
              <w:rPr>
                <w:bCs/>
                <w:color w:val="FF0000"/>
              </w:rPr>
              <w:t>(omitted)</w:t>
            </w:r>
          </w:p>
          <w:p w14:paraId="51B247D5" w14:textId="77777777" w:rsidR="005E1811" w:rsidRDefault="005E1811" w:rsidP="005E1811">
            <w:pPr>
              <w:widowControl/>
              <w:numPr>
                <w:ilvl w:val="0"/>
                <w:numId w:val="38"/>
              </w:numPr>
              <w:wordWrap/>
              <w:overflowPunct w:val="0"/>
              <w:adjustRightInd w:val="0"/>
              <w:jc w:val="left"/>
              <w:textAlignment w:val="baseline"/>
              <w:rPr>
                <w:bCs/>
              </w:rPr>
            </w:pPr>
            <w:r>
              <w:rPr>
                <w:bCs/>
              </w:rPr>
              <w:t>N</w:t>
            </w:r>
            <w:r w:rsidRPr="0045271D">
              <w:rPr>
                <w:bCs/>
              </w:rPr>
              <w:t xml:space="preserve">ecessity and details of model Identification concept and procedure in the context of LCM [RAN2/RAN1] </w:t>
            </w:r>
          </w:p>
          <w:p w14:paraId="3F7A8E32" w14:textId="77777777" w:rsidR="005E1811" w:rsidRPr="00134864" w:rsidRDefault="005E1811" w:rsidP="005E1811">
            <w:pPr>
              <w:widowControl/>
              <w:numPr>
                <w:ilvl w:val="0"/>
                <w:numId w:val="38"/>
              </w:numPr>
              <w:wordWrap/>
              <w:overflowPunct w:val="0"/>
              <w:adjustRightInd w:val="0"/>
              <w:jc w:val="left"/>
              <w:textAlignment w:val="baseline"/>
              <w:rPr>
                <w:bCs/>
              </w:rPr>
            </w:pPr>
            <w:r>
              <w:rPr>
                <w:bCs/>
              </w:rPr>
              <w:t>CN</w:t>
            </w:r>
            <w:r w:rsidRPr="00134864">
              <w:rPr>
                <w:bCs/>
              </w:rPr>
              <w:t xml:space="preserve">/OAM/OTT collection of UE-sided model training data [RAN2/RAN1]: </w:t>
            </w:r>
          </w:p>
          <w:p w14:paraId="5BADE982" w14:textId="77777777" w:rsidR="005E1811" w:rsidRPr="0045271D" w:rsidRDefault="005E1811" w:rsidP="005E1811">
            <w:pPr>
              <w:widowControl/>
              <w:numPr>
                <w:ilvl w:val="1"/>
                <w:numId w:val="38"/>
              </w:numPr>
              <w:wordWrap/>
              <w:overflowPunct w:val="0"/>
              <w:adjustRightInd w:val="0"/>
              <w:jc w:val="left"/>
              <w:textAlignment w:val="baseline"/>
              <w:rPr>
                <w:bCs/>
              </w:rPr>
            </w:pPr>
            <w:bookmarkStart w:id="0" w:name="_Hlk152950182"/>
            <w:r w:rsidRPr="0045271D">
              <w:rPr>
                <w:bCs/>
              </w:rPr>
              <w:t>For the FS_NR_AIML_Air study use cases, identify the corresponding contents of UE data collection</w:t>
            </w:r>
          </w:p>
          <w:p w14:paraId="39E3F5CC" w14:textId="77777777" w:rsidR="005E1811" w:rsidRPr="00250569" w:rsidRDefault="005E1811" w:rsidP="005E1811">
            <w:pPr>
              <w:widowControl/>
              <w:numPr>
                <w:ilvl w:val="1"/>
                <w:numId w:val="38"/>
              </w:numPr>
              <w:wordWrap/>
              <w:overflowPunct w:val="0"/>
              <w:adjustRightInd w:val="0"/>
              <w:jc w:val="left"/>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0"/>
            <w:r w:rsidRPr="0045271D">
              <w:rPr>
                <w:bCs/>
              </w:rPr>
              <w:t xml:space="preserve"> </w:t>
            </w:r>
          </w:p>
          <w:p w14:paraId="79595737" w14:textId="77777777" w:rsidR="005E1811" w:rsidRDefault="005E1811" w:rsidP="005E1811">
            <w:pPr>
              <w:widowControl/>
              <w:numPr>
                <w:ilvl w:val="0"/>
                <w:numId w:val="38"/>
              </w:numPr>
              <w:wordWrap/>
              <w:overflowPunct w:val="0"/>
              <w:adjustRightInd w:val="0"/>
              <w:jc w:val="left"/>
              <w:textAlignment w:val="baseline"/>
              <w:rPr>
                <w:bCs/>
              </w:rPr>
            </w:pPr>
            <w:r>
              <w:rPr>
                <w:bCs/>
              </w:rPr>
              <w:t xml:space="preserve">Model transfer/delivery [RAN2/RAN1]: </w:t>
            </w:r>
          </w:p>
          <w:p w14:paraId="13BC4B9C" w14:textId="10FF6457" w:rsidR="000B45E0" w:rsidRPr="005E1811" w:rsidRDefault="005E1811" w:rsidP="005E1811">
            <w:pPr>
              <w:widowControl/>
              <w:numPr>
                <w:ilvl w:val="1"/>
                <w:numId w:val="38"/>
              </w:numPr>
              <w:wordWrap/>
              <w:overflowPunct w:val="0"/>
              <w:adjustRightInd w:val="0"/>
              <w:jc w:val="left"/>
              <w:textAlignment w:val="baseline"/>
              <w:rPr>
                <w:bCs/>
              </w:rPr>
            </w:pPr>
            <w:bookmarkStart w:id="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
            <w:r>
              <w:rPr>
                <w:bCs/>
              </w:rPr>
              <w:t xml:space="preserve">FS_NR_AIML_Air study </w:t>
            </w:r>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09E4B7C4" w14:textId="62318613" w:rsidR="00337F4F" w:rsidRPr="00596295" w:rsidRDefault="005E1811" w:rsidP="00337F4F">
      <w:pPr>
        <w:pStyle w:val="2"/>
        <w:rPr>
          <w:rFonts w:eastAsia="맑은 고딕"/>
        </w:rPr>
      </w:pPr>
      <w:r>
        <w:rPr>
          <w:rFonts w:eastAsia="맑은 고딕"/>
        </w:rPr>
        <w:t>Work split between RAN1 and RAN2</w:t>
      </w:r>
    </w:p>
    <w:p w14:paraId="4DE5B22C" w14:textId="6F2B5283" w:rsidR="005E1811" w:rsidRDefault="007C6EFC" w:rsidP="005E1811">
      <w:r w:rsidRPr="00596295">
        <w:t xml:space="preserve">First of all, </w:t>
      </w:r>
      <w:r w:rsidR="005E1811">
        <w:t xml:space="preserve">we should keep in mind that RAN2 is the primary WG for the objectives. The first </w:t>
      </w:r>
      <w:r w:rsidR="00FF3F71">
        <w:t xml:space="preserve">and third </w:t>
      </w:r>
      <w:r w:rsidR="005E1811">
        <w:t>objective</w:t>
      </w:r>
      <w:r w:rsidR="00FF3F71">
        <w:t>s</w:t>
      </w:r>
      <w:r w:rsidR="005E1811">
        <w:t xml:space="preserve"> regarding model identification</w:t>
      </w:r>
      <w:r w:rsidR="00FF3F71">
        <w:t xml:space="preserve"> and model transfer/delivery</w:t>
      </w:r>
      <w:r w:rsidR="005E1811">
        <w:t xml:space="preserve"> w</w:t>
      </w:r>
      <w:r w:rsidR="00FF3F71">
        <w:t>ere</w:t>
      </w:r>
      <w:r w:rsidR="005E1811">
        <w:t xml:space="preserve"> led by RAN1 in Rel-18 but the </w:t>
      </w:r>
      <w:r w:rsidR="00FF3F71">
        <w:t xml:space="preserve">related </w:t>
      </w:r>
      <w:r w:rsidR="005E1811">
        <w:t>discussion was not efficient since th</w:t>
      </w:r>
      <w:r w:rsidR="00FF3F71">
        <w:t>ese</w:t>
      </w:r>
      <w:r w:rsidR="005E1811">
        <w:t xml:space="preserve"> topic</w:t>
      </w:r>
      <w:r w:rsidR="00FF3F71">
        <w:t>s</w:t>
      </w:r>
      <w:r w:rsidR="005E1811">
        <w:t xml:space="preserve"> </w:t>
      </w:r>
      <w:r w:rsidR="00FF3F71">
        <w:t>are</w:t>
      </w:r>
      <w:r w:rsidR="005E1811">
        <w:t xml:space="preserve"> more relevant to RAN2 expertise (e.g. registration, signaling</w:t>
      </w:r>
      <w:r w:rsidR="00FF3F71">
        <w:t>/transmission</w:t>
      </w:r>
      <w:r w:rsidR="005E1811">
        <w:t xml:space="preserve"> between NW entities). </w:t>
      </w:r>
    </w:p>
    <w:p w14:paraId="267288CB" w14:textId="7EDF7278" w:rsidR="00FF3F71" w:rsidRPr="00FF3F71" w:rsidRDefault="00FF3F71" w:rsidP="005E1811">
      <w:pPr>
        <w:rPr>
          <w:b/>
        </w:rPr>
      </w:pPr>
      <w:r w:rsidRPr="00FF3F71">
        <w:rPr>
          <w:b/>
        </w:rPr>
        <w:t xml:space="preserve">Observiation#1. </w:t>
      </w:r>
      <w:r w:rsidR="00E3188E">
        <w:rPr>
          <w:b/>
        </w:rPr>
        <w:t>Studies on m</w:t>
      </w:r>
      <w:r w:rsidRPr="00FF3F71">
        <w:rPr>
          <w:b/>
        </w:rPr>
        <w:t>odel identification</w:t>
      </w:r>
      <w:r>
        <w:rPr>
          <w:b/>
        </w:rPr>
        <w:t xml:space="preserve"> and delivery/transfer</w:t>
      </w:r>
      <w:r w:rsidRPr="00FF3F71">
        <w:rPr>
          <w:b/>
        </w:rPr>
        <w:t xml:space="preserve"> w</w:t>
      </w:r>
      <w:r>
        <w:rPr>
          <w:b/>
        </w:rPr>
        <w:t>ere</w:t>
      </w:r>
      <w:r w:rsidRPr="00FF3F71">
        <w:rPr>
          <w:b/>
        </w:rPr>
        <w:t xml:space="preserve"> led by RAN1 in Rel-18 but </w:t>
      </w:r>
      <w:r>
        <w:rPr>
          <w:b/>
        </w:rPr>
        <w:t xml:space="preserve">decided to </w:t>
      </w:r>
      <w:r w:rsidRPr="00FF3F71">
        <w:rPr>
          <w:b/>
        </w:rPr>
        <w:t>switch to RAN2 in Rel-19 due to discussion inefficiency caused by lack of expertise.</w:t>
      </w:r>
    </w:p>
    <w:p w14:paraId="20669941" w14:textId="067CE37E" w:rsidR="001025A6" w:rsidRDefault="00FF3F71" w:rsidP="005E1811">
      <w:r>
        <w:t>T</w:t>
      </w:r>
      <w:r w:rsidR="005E1811">
        <w:t xml:space="preserve">he second objective is corresponding to </w:t>
      </w:r>
      <w:r>
        <w:t xml:space="preserve">a remaining work in RAN2 in Rel-18. Thus, we see nothing to do in RAN1 except for use-case-specific details on training data collection, i.e. the only first sub-objective is relevant to RAN1. </w:t>
      </w:r>
    </w:p>
    <w:p w14:paraId="3B7C3EDE" w14:textId="002FFF24" w:rsidR="00FF3F71" w:rsidRPr="00FF3F71" w:rsidRDefault="00FF3F71" w:rsidP="00FF3F71">
      <w:pPr>
        <w:rPr>
          <w:b/>
        </w:rPr>
      </w:pPr>
      <w:r w:rsidRPr="00FF3F71">
        <w:rPr>
          <w:b/>
        </w:rPr>
        <w:t>Observiation#</w:t>
      </w:r>
      <w:r>
        <w:rPr>
          <w:b/>
        </w:rPr>
        <w:t>2</w:t>
      </w:r>
      <w:r w:rsidRPr="00FF3F71">
        <w:rPr>
          <w:b/>
        </w:rPr>
        <w:t>. The second objective is corresponding to a remaining work in RAN2</w:t>
      </w:r>
      <w:r>
        <w:rPr>
          <w:b/>
        </w:rPr>
        <w:t xml:space="preserve"> in Rel-18. </w:t>
      </w:r>
    </w:p>
    <w:p w14:paraId="779A9D97" w14:textId="5D375DB4" w:rsidR="00783911" w:rsidRDefault="00783911" w:rsidP="005E1811">
      <w:r w:rsidRPr="00783911">
        <w:rPr>
          <w:rFonts w:hint="eastAsia"/>
        </w:rPr>
        <w:t xml:space="preserve">Based on </w:t>
      </w:r>
      <w:r>
        <w:t>above observations, investigating more signaling/</w:t>
      </w:r>
      <w:r w:rsidR="00E3188E">
        <w:t xml:space="preserve">procedure </w:t>
      </w:r>
      <w:r>
        <w:t>details in RAN1 may result in another repeating debates on work scope that could end up with no meaningful results. Thus, we suggest to define work split of RAN1 and RAN2 clearly before diving into this topic.</w:t>
      </w:r>
    </w:p>
    <w:p w14:paraId="3CFA69EC" w14:textId="74066ED5" w:rsidR="00FF3F71" w:rsidRPr="00783911" w:rsidRDefault="00783911" w:rsidP="005E1811">
      <w:pPr>
        <w:rPr>
          <w:b/>
        </w:rPr>
      </w:pPr>
      <w:r w:rsidRPr="00783911">
        <w:rPr>
          <w:b/>
        </w:rPr>
        <w:lastRenderedPageBreak/>
        <w:t xml:space="preserve">Proposal#1. Work split between RAN1 and RAN2 should be clearly defined on this agenda.    </w:t>
      </w:r>
    </w:p>
    <w:p w14:paraId="5E2DA16B" w14:textId="4DDA0F41" w:rsidR="001025A6" w:rsidRDefault="00783911" w:rsidP="00783911">
      <w:r w:rsidRPr="00783911">
        <w:t xml:space="preserve">In our view, </w:t>
      </w:r>
      <w:r w:rsidR="001C02F3">
        <w:t>further clarification/definition of types/categories should be discussed in RAN2 not in RAN1 such as model identification types (e.g. A/B/C) and model delivery/transfer types (e.g. z1/z2/z3/z4/z5). On this, RAN1 may provide use-case specific details</w:t>
      </w:r>
      <w:r w:rsidR="00595876">
        <w:t xml:space="preserve"> to RAN2</w:t>
      </w:r>
      <w:r w:rsidR="001C02F3">
        <w:t xml:space="preserve"> such as signaling contents</w:t>
      </w:r>
      <w:r w:rsidR="00595876">
        <w:t xml:space="preserve">, estimated payload size, latency requirements, etc. </w:t>
      </w:r>
    </w:p>
    <w:p w14:paraId="68BBCEC8" w14:textId="19927818" w:rsidR="001C02F3" w:rsidRPr="00783911" w:rsidRDefault="001C02F3" w:rsidP="001C02F3">
      <w:pPr>
        <w:rPr>
          <w:b/>
        </w:rPr>
      </w:pPr>
      <w:r w:rsidRPr="00783911">
        <w:rPr>
          <w:b/>
        </w:rPr>
        <w:t>Proposal#</w:t>
      </w:r>
      <w:r>
        <w:rPr>
          <w:b/>
        </w:rPr>
        <w:t>2</w:t>
      </w:r>
      <w:r w:rsidRPr="00783911">
        <w:rPr>
          <w:b/>
        </w:rPr>
        <w:t xml:space="preserve">. </w:t>
      </w:r>
      <w:r>
        <w:rPr>
          <w:b/>
        </w:rPr>
        <w:t>RAN1 should not work on further elaboration on types/categories on model identification and model delivery/transfer.</w:t>
      </w:r>
    </w:p>
    <w:p w14:paraId="3EF91EB8" w14:textId="6DEE729C" w:rsidR="001C02F3" w:rsidRPr="001C02F3" w:rsidRDefault="001C02F3" w:rsidP="00783911">
      <w:r>
        <w:t>Based on discussion in RAN</w:t>
      </w:r>
      <w:r w:rsidR="00E3188E">
        <w:t xml:space="preserve"> plenary</w:t>
      </w:r>
      <w:r>
        <w:t xml:space="preserve"> and guidance from RAN1 chairman, the discussion in RAN1 should be focused on ‘the necessity of model identification’ and ‘the necessity of model transfer’ for the first and third objectives.</w:t>
      </w:r>
    </w:p>
    <w:p w14:paraId="4EABD5F6" w14:textId="77777777" w:rsidR="00783911" w:rsidRPr="001C02F3" w:rsidRDefault="00783911" w:rsidP="00783911">
      <w:pPr>
        <w:rPr>
          <w:b/>
        </w:rPr>
      </w:pPr>
    </w:p>
    <w:p w14:paraId="3AB23457" w14:textId="3F63F795" w:rsidR="00337F4F" w:rsidRPr="00596295" w:rsidRDefault="001C02F3" w:rsidP="007C6EFC">
      <w:pPr>
        <w:pStyle w:val="2"/>
        <w:rPr>
          <w:rFonts w:eastAsia="맑은 고딕"/>
        </w:rPr>
      </w:pPr>
      <w:r>
        <w:rPr>
          <w:rFonts w:eastAsia="맑은 고딕"/>
        </w:rPr>
        <w:t>Model identification</w:t>
      </w:r>
      <w:r w:rsidR="00527D65">
        <w:rPr>
          <w:rFonts w:eastAsia="맑은 고딕"/>
        </w:rPr>
        <w:t xml:space="preserve"> and LCM</w:t>
      </w:r>
    </w:p>
    <w:p w14:paraId="6DD21070" w14:textId="1C4A70BA" w:rsidR="001C02F3" w:rsidRDefault="001C02F3" w:rsidP="007C6EFC">
      <w:r>
        <w:rPr>
          <w:rFonts w:hint="eastAsia"/>
        </w:rPr>
        <w:t xml:space="preserve">On this topic, the following agreements </w:t>
      </w:r>
      <w:r w:rsidR="00AE14C1">
        <w:t xml:space="preserve">and observation </w:t>
      </w:r>
      <w:r>
        <w:rPr>
          <w:rFonts w:hint="eastAsia"/>
        </w:rPr>
        <w:t>were made in RAN1#116.</w:t>
      </w:r>
    </w:p>
    <w:tbl>
      <w:tblPr>
        <w:tblStyle w:val="a6"/>
        <w:tblW w:w="0" w:type="auto"/>
        <w:tblLook w:val="04A0" w:firstRow="1" w:lastRow="0" w:firstColumn="1" w:lastColumn="0" w:noHBand="0" w:noVBand="1"/>
      </w:tblPr>
      <w:tblGrid>
        <w:gridCol w:w="9016"/>
      </w:tblGrid>
      <w:tr w:rsidR="001C02F3" w14:paraId="314FDF1C" w14:textId="77777777" w:rsidTr="001C02F3">
        <w:tc>
          <w:tcPr>
            <w:tcW w:w="9016" w:type="dxa"/>
          </w:tcPr>
          <w:p w14:paraId="2ACC1B8C" w14:textId="77777777" w:rsidR="00AE14C1" w:rsidRPr="00AE14C1" w:rsidRDefault="00AE14C1" w:rsidP="00AE14C1">
            <w:pPr>
              <w:widowControl/>
              <w:wordWrap/>
              <w:autoSpaceDE/>
              <w:autoSpaceDN/>
              <w:jc w:val="left"/>
              <w:rPr>
                <w:rFonts w:ascii="Times" w:eastAsia="DengXian" w:hAnsi="Times"/>
                <w:kern w:val="0"/>
                <w:sz w:val="20"/>
                <w:szCs w:val="24"/>
                <w:highlight w:val="green"/>
                <w:lang w:val="en-GB" w:eastAsia="zh-CN"/>
              </w:rPr>
            </w:pPr>
            <w:r w:rsidRPr="00AE14C1">
              <w:rPr>
                <w:rFonts w:ascii="Times" w:eastAsia="DengXian" w:hAnsi="Times" w:hint="eastAsia"/>
                <w:kern w:val="0"/>
                <w:sz w:val="20"/>
                <w:szCs w:val="24"/>
                <w:highlight w:val="green"/>
                <w:lang w:val="en-GB" w:eastAsia="zh-CN"/>
              </w:rPr>
              <w:t>A</w:t>
            </w:r>
            <w:r w:rsidRPr="00AE14C1">
              <w:rPr>
                <w:rFonts w:ascii="Times" w:eastAsia="DengXian" w:hAnsi="Times"/>
                <w:kern w:val="0"/>
                <w:sz w:val="20"/>
                <w:szCs w:val="24"/>
                <w:highlight w:val="green"/>
                <w:lang w:val="en-GB" w:eastAsia="zh-CN"/>
              </w:rPr>
              <w:t>greement</w:t>
            </w:r>
          </w:p>
          <w:p w14:paraId="73498307" w14:textId="77777777" w:rsidR="00AE14C1" w:rsidRPr="00AE14C1" w:rsidRDefault="00AE14C1" w:rsidP="00AE14C1">
            <w:pPr>
              <w:widowControl/>
              <w:numPr>
                <w:ilvl w:val="0"/>
                <w:numId w:val="41"/>
              </w:numPr>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To facilitate the discussion, RAN1 studies the model identification type A with more details related to use cases.</w:t>
            </w:r>
          </w:p>
          <w:p w14:paraId="66349415" w14:textId="77777777" w:rsidR="00AE14C1" w:rsidRPr="00AE14C1" w:rsidRDefault="00AE14C1" w:rsidP="00AE14C1">
            <w:pPr>
              <w:widowControl/>
              <w:numPr>
                <w:ilvl w:val="0"/>
                <w:numId w:val="41"/>
              </w:numPr>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 xml:space="preserve">To facilitate the discussion, RAN1 studies the following options as starting point for model identification type B with more details related to all use cases </w:t>
            </w:r>
          </w:p>
          <w:p w14:paraId="0A21E33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1: Model identification with data collection related configuration(s) and/or indication(s)</w:t>
            </w:r>
          </w:p>
          <w:p w14:paraId="51176D6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2: Model identification with dataset transfer</w:t>
            </w:r>
          </w:p>
          <w:p w14:paraId="0ACDFFBD"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3: Model identification in model transfer from NW to UE</w:t>
            </w:r>
          </w:p>
          <w:p w14:paraId="1BD8A2EB"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FFS: The boundary of the options</w:t>
            </w:r>
          </w:p>
          <w:p w14:paraId="60EEE01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Note: the names (MI-Opton1, MI-Option 2, MI-Option 3) are used only for discussion purpose</w:t>
            </w:r>
          </w:p>
          <w:p w14:paraId="4718DB6E" w14:textId="77777777" w:rsidR="00AE14C1" w:rsidRPr="00AE14C1" w:rsidRDefault="00AE14C1" w:rsidP="00AE14C1">
            <w:pPr>
              <w:widowControl/>
              <w:numPr>
                <w:ilvl w:val="0"/>
                <w:numId w:val="39"/>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Note: other options are not precluded</w:t>
            </w:r>
          </w:p>
          <w:p w14:paraId="1FA6E075" w14:textId="77777777" w:rsidR="00AE14C1" w:rsidRPr="00AE14C1" w:rsidRDefault="00AE14C1" w:rsidP="00AE14C1">
            <w:pPr>
              <w:widowControl/>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Observation</w:t>
            </w:r>
          </w:p>
          <w:p w14:paraId="5FFDA5A5" w14:textId="77777777" w:rsidR="00AE14C1" w:rsidRPr="00AE14C1" w:rsidRDefault="00AE14C1" w:rsidP="00AE14C1">
            <w:pPr>
              <w:widowControl/>
              <w:wordWrap/>
              <w:autoSpaceDE/>
              <w:autoSpaceDN/>
              <w:jc w:val="left"/>
              <w:rPr>
                <w:rFonts w:ascii="Times" w:eastAsia="바탕" w:hAnsi="Times"/>
                <w:kern w:val="0"/>
                <w:sz w:val="20"/>
                <w:szCs w:val="24"/>
                <w:lang w:val="en-GB" w:eastAsia="en-US"/>
              </w:rPr>
            </w:pPr>
            <w:r w:rsidRPr="00AE14C1">
              <w:rPr>
                <w:rFonts w:ascii="Times" w:eastAsia="바탕" w:hAnsi="Times"/>
                <w:kern w:val="0"/>
                <w:sz w:val="20"/>
                <w:szCs w:val="24"/>
                <w:lang w:val="en-GB" w:eastAsia="en-US"/>
              </w:rPr>
              <w:t>The other options are proposed for model identification type B by companies during the discussion:</w:t>
            </w:r>
          </w:p>
          <w:p w14:paraId="20C88D2D" w14:textId="77777777" w:rsidR="00AE14C1" w:rsidRPr="00AE14C1" w:rsidRDefault="00AE14C1" w:rsidP="00AE14C1">
            <w:pPr>
              <w:widowControl/>
              <w:numPr>
                <w:ilvl w:val="0"/>
                <w:numId w:val="40"/>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4. Model identification via standardization of reference models. (for CSI compression)</w:t>
            </w:r>
          </w:p>
          <w:p w14:paraId="48DCAFD8" w14:textId="77777777" w:rsidR="00AE14C1" w:rsidRPr="00AE14C1" w:rsidRDefault="00AE14C1" w:rsidP="00AE14C1">
            <w:pPr>
              <w:widowControl/>
              <w:numPr>
                <w:ilvl w:val="0"/>
                <w:numId w:val="40"/>
              </w:numPr>
              <w:wordWrap/>
              <w:autoSpaceDE/>
              <w:autoSpaceDN/>
              <w:spacing w:before="60" w:after="120" w:line="276" w:lineRule="auto"/>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MI-Option 5. Model identification via model monitoring</w:t>
            </w:r>
          </w:p>
          <w:p w14:paraId="5552C9A9" w14:textId="77777777" w:rsidR="00AE14C1" w:rsidRPr="00AE14C1" w:rsidRDefault="00AE14C1" w:rsidP="00AE14C1">
            <w:pPr>
              <w:widowControl/>
              <w:wordWrap/>
              <w:autoSpaceDE/>
              <w:autoSpaceDN/>
              <w:jc w:val="left"/>
              <w:rPr>
                <w:rFonts w:ascii="Times" w:eastAsia="DengXian" w:hAnsi="Times"/>
                <w:iCs/>
                <w:kern w:val="0"/>
                <w:sz w:val="20"/>
                <w:szCs w:val="24"/>
                <w:highlight w:val="green"/>
                <w:lang w:val="en-GB" w:eastAsia="zh-CN"/>
              </w:rPr>
            </w:pPr>
            <w:r w:rsidRPr="00AE14C1">
              <w:rPr>
                <w:rFonts w:ascii="Times" w:eastAsia="DengXian" w:hAnsi="Times" w:hint="eastAsia"/>
                <w:iCs/>
                <w:kern w:val="0"/>
                <w:sz w:val="20"/>
                <w:szCs w:val="24"/>
                <w:highlight w:val="green"/>
                <w:lang w:val="en-GB" w:eastAsia="zh-CN"/>
              </w:rPr>
              <w:t>A</w:t>
            </w:r>
            <w:r w:rsidRPr="00AE14C1">
              <w:rPr>
                <w:rFonts w:ascii="Times" w:eastAsia="DengXian" w:hAnsi="Times"/>
                <w:iCs/>
                <w:kern w:val="0"/>
                <w:sz w:val="20"/>
                <w:szCs w:val="24"/>
                <w:highlight w:val="green"/>
                <w:lang w:val="en-GB" w:eastAsia="zh-CN"/>
              </w:rPr>
              <w:t>greement</w:t>
            </w:r>
          </w:p>
          <w:p w14:paraId="640F2A37" w14:textId="77777777" w:rsidR="00AE14C1" w:rsidRPr="00AE14C1" w:rsidRDefault="00AE14C1" w:rsidP="00AE14C1">
            <w:pPr>
              <w:widowControl/>
              <w:numPr>
                <w:ilvl w:val="0"/>
                <w:numId w:val="42"/>
              </w:numPr>
              <w:wordWrap/>
              <w:autoSpaceDE/>
              <w:autoSpaceDN/>
              <w:ind w:left="284" w:hanging="284"/>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Regarding MI-Option 1 (Model identification with data collection related configuration(s) and/or indication(s)) of model identification type B, RAN1 further study the following aspects:</w:t>
            </w:r>
          </w:p>
          <w:p w14:paraId="34D3674F"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 xml:space="preserve">Relationship between model ID and data collection related configuration(s) and/or indication(s) </w:t>
            </w:r>
          </w:p>
          <w:p w14:paraId="2D2F07AF"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 xml:space="preserve">Information transmitted from NW to UE (if any) </w:t>
            </w:r>
          </w:p>
          <w:p w14:paraId="00469115"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Information transmitted from UE to NW (if any)</w:t>
            </w:r>
          </w:p>
          <w:p w14:paraId="2E387133"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The associated procedure</w:t>
            </w:r>
          </w:p>
          <w:p w14:paraId="465B8F90" w14:textId="77777777" w:rsidR="00AE14C1" w:rsidRPr="00AE14C1" w:rsidRDefault="00AE14C1" w:rsidP="00AE14C1">
            <w:pPr>
              <w:widowControl/>
              <w:numPr>
                <w:ilvl w:val="0"/>
                <w:numId w:val="42"/>
              </w:numPr>
              <w:wordWrap/>
              <w:autoSpaceDE/>
              <w:autoSpaceDN/>
              <w:contextualSpacing/>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 xml:space="preserve">Usage/Applicable use case(s) of MI-Option 1 </w:t>
            </w:r>
          </w:p>
          <w:p w14:paraId="419F6DF7" w14:textId="77777777" w:rsidR="00AE14C1" w:rsidRPr="00AE14C1" w:rsidRDefault="00AE14C1" w:rsidP="00AE14C1">
            <w:pPr>
              <w:widowControl/>
              <w:wordWrap/>
              <w:autoSpaceDE/>
              <w:autoSpaceDN/>
              <w:jc w:val="left"/>
              <w:rPr>
                <w:rFonts w:ascii="Times" w:eastAsia="바탕" w:hAnsi="Times"/>
                <w:kern w:val="0"/>
                <w:sz w:val="20"/>
                <w:szCs w:val="24"/>
                <w:lang w:val="en-GB" w:eastAsia="x-none"/>
              </w:rPr>
            </w:pPr>
            <w:r w:rsidRPr="00AE14C1">
              <w:rPr>
                <w:rFonts w:ascii="Times" w:eastAsia="바탕" w:hAnsi="Times"/>
                <w:kern w:val="0"/>
                <w:sz w:val="20"/>
                <w:szCs w:val="24"/>
                <w:lang w:val="en-GB" w:eastAsia="x-none"/>
              </w:rPr>
              <w:t>Note: whether MI-Option 1 is needed or not is a separate discussion</w:t>
            </w:r>
          </w:p>
          <w:p w14:paraId="2E669ADD" w14:textId="324561F7" w:rsidR="001C02F3" w:rsidRPr="00AE14C1" w:rsidRDefault="001C02F3" w:rsidP="007C6EFC">
            <w:pPr>
              <w:rPr>
                <w:lang w:val="en-GB"/>
              </w:rPr>
            </w:pPr>
          </w:p>
        </w:tc>
      </w:tr>
    </w:tbl>
    <w:p w14:paraId="57B25519" w14:textId="77777777" w:rsidR="001C02F3" w:rsidRDefault="001C02F3" w:rsidP="007C6EFC"/>
    <w:p w14:paraId="1F8CCB02" w14:textId="3B1B5BFC" w:rsidR="001C02F3" w:rsidRDefault="001C02F3" w:rsidP="007C6EFC">
      <w:r>
        <w:rPr>
          <w:rFonts w:hint="eastAsia"/>
        </w:rPr>
        <w:t>During the discussion, some companies think that model ID may not be</w:t>
      </w:r>
      <w:r w:rsidR="00527D65">
        <w:rPr>
          <w:rFonts w:hint="eastAsia"/>
        </w:rPr>
        <w:t xml:space="preserve"> </w:t>
      </w:r>
      <w:r w:rsidR="00527D65">
        <w:t xml:space="preserve">assigned </w:t>
      </w:r>
      <w:r w:rsidR="00527D65">
        <w:rPr>
          <w:rFonts w:hint="eastAsia"/>
        </w:rPr>
        <w:t>for model identification</w:t>
      </w:r>
      <w:r w:rsidR="00527D65">
        <w:t xml:space="preserve"> and other ID such as dataset ID or consistency ID can be used instead of the model ID.</w:t>
      </w:r>
      <w:r w:rsidR="00AE14C1">
        <w:t xml:space="preserve"> As clarified during offline discussion in RAN1#116, model identification is for assigning model ID, thus the model ID is what ‘must’ be assigned during model identification. For approaches that do not require model ID, they </w:t>
      </w:r>
      <w:r w:rsidR="00527D65">
        <w:t xml:space="preserve">do not belong to ‘model identification’. Rather, they belong to functionality identification, </w:t>
      </w:r>
      <w:r w:rsidR="00AE14C1">
        <w:t xml:space="preserve">e.g. functionality identification </w:t>
      </w:r>
      <w:r w:rsidR="00527D65">
        <w:t>with dataset or consistency identification. Thus, we propose to clarify this point to align companies’ understanding.</w:t>
      </w:r>
    </w:p>
    <w:p w14:paraId="7CE33637" w14:textId="1C352F4A" w:rsidR="00527D65" w:rsidRPr="00527D65" w:rsidRDefault="00527D65" w:rsidP="007C6EFC">
      <w:pPr>
        <w:rPr>
          <w:b/>
        </w:rPr>
      </w:pPr>
      <w:r w:rsidRPr="00527D65">
        <w:rPr>
          <w:b/>
        </w:rPr>
        <w:lastRenderedPageBreak/>
        <w:t>Proposal#3. Clarify that any LCM that does not require assigning model ID belong</w:t>
      </w:r>
      <w:r>
        <w:rPr>
          <w:b/>
        </w:rPr>
        <w:t>s</w:t>
      </w:r>
      <w:r w:rsidRPr="00527D65">
        <w:rPr>
          <w:b/>
        </w:rPr>
        <w:t xml:space="preserve"> to functionality-based LCM.</w:t>
      </w:r>
    </w:p>
    <w:p w14:paraId="13719DDF" w14:textId="77777777" w:rsidR="00527D65" w:rsidRDefault="00527D65" w:rsidP="007C6EFC"/>
    <w:p w14:paraId="131BFAC9" w14:textId="4CF63FAD" w:rsidR="00622DCE" w:rsidRDefault="00622DCE" w:rsidP="007C6EFC">
      <w:r>
        <w:rPr>
          <w:rFonts w:hint="eastAsia"/>
        </w:rPr>
        <w:t xml:space="preserve">On </w:t>
      </w:r>
      <w:r>
        <w:t xml:space="preserve">the necessity of model identification and LCM, our view is that they are necessary for model transfer (if supported) and two-sided model cases (if supported). For one-sided model cases, model should not be visible in specification to give </w:t>
      </w:r>
      <w:r w:rsidR="00D41101">
        <w:t xml:space="preserve">more freedom for </w:t>
      </w:r>
      <w:r>
        <w:t>model</w:t>
      </w:r>
      <w:r w:rsidR="00D41101">
        <w:t xml:space="preserve"> </w:t>
      </w:r>
      <w:r>
        <w:t xml:space="preserve">implementation. </w:t>
      </w:r>
      <w:r w:rsidR="00D41101">
        <w:t xml:space="preserve">For </w:t>
      </w:r>
      <w:r>
        <w:t xml:space="preserve">scenario/site-specific models, </w:t>
      </w:r>
      <w:r w:rsidR="00D41101">
        <w:t xml:space="preserve">specification enhancement can be considered </w:t>
      </w:r>
      <w:r>
        <w:t>under functionality-based LCM framework</w:t>
      </w:r>
      <w:r w:rsidR="00D41101">
        <w:t>, e.g. NW to provide information/indicator for UE to get a hint for the scenario/site, dataset identification, or consistency indication, etc</w:t>
      </w:r>
      <w:r>
        <w:t>.</w:t>
      </w:r>
    </w:p>
    <w:p w14:paraId="04D64C97" w14:textId="3AE0EBD0" w:rsidR="00622DCE" w:rsidRPr="0078345F" w:rsidRDefault="00622DCE" w:rsidP="00622DCE">
      <w:pPr>
        <w:rPr>
          <w:b/>
        </w:rPr>
      </w:pPr>
      <w:r w:rsidRPr="0078345F">
        <w:rPr>
          <w:b/>
        </w:rPr>
        <w:t>Proposal#4. On the necessity of model identification and model-based LCM, conclude that</w:t>
      </w:r>
    </w:p>
    <w:p w14:paraId="392E28D3" w14:textId="3A1CA620" w:rsidR="00622DCE" w:rsidRPr="0078345F" w:rsidRDefault="00622DCE" w:rsidP="0078345F">
      <w:pPr>
        <w:pStyle w:val="a7"/>
        <w:numPr>
          <w:ilvl w:val="0"/>
          <w:numId w:val="38"/>
        </w:numPr>
        <w:ind w:leftChars="0"/>
        <w:rPr>
          <w:b/>
        </w:rPr>
      </w:pPr>
      <w:r w:rsidRPr="0078345F">
        <w:rPr>
          <w:b/>
        </w:rPr>
        <w:t>they are necessary for model transfer (if supported) and two-sided model cases (if supported).</w:t>
      </w:r>
    </w:p>
    <w:p w14:paraId="5B331381" w14:textId="7F0EE059" w:rsidR="00622DCE" w:rsidRDefault="00622DCE" w:rsidP="0078345F">
      <w:pPr>
        <w:pStyle w:val="a7"/>
        <w:numPr>
          <w:ilvl w:val="0"/>
          <w:numId w:val="38"/>
        </w:numPr>
        <w:ind w:leftChars="0"/>
        <w:rPr>
          <w:b/>
        </w:rPr>
      </w:pPr>
      <w:r w:rsidRPr="0078345F">
        <w:rPr>
          <w:b/>
        </w:rPr>
        <w:t xml:space="preserve">they are not necessary for one-sided model cases. </w:t>
      </w:r>
    </w:p>
    <w:p w14:paraId="6C5E4F8E" w14:textId="218A0AAD" w:rsidR="00D41101" w:rsidRPr="0078345F" w:rsidRDefault="00D41101" w:rsidP="0078345F">
      <w:pPr>
        <w:pStyle w:val="a7"/>
        <w:numPr>
          <w:ilvl w:val="1"/>
          <w:numId w:val="38"/>
        </w:numPr>
        <w:ind w:leftChars="0"/>
        <w:rPr>
          <w:b/>
        </w:rPr>
      </w:pPr>
      <w:r>
        <w:rPr>
          <w:b/>
        </w:rPr>
        <w:t>for one-sided model cases, other means to provide information/indication for scenario/site-specific models can be considered under functionality-based LCM framework.</w:t>
      </w:r>
    </w:p>
    <w:p w14:paraId="125AE138" w14:textId="77777777" w:rsidR="00622DCE" w:rsidRPr="00D41101" w:rsidRDefault="00622DCE" w:rsidP="007C6EFC"/>
    <w:p w14:paraId="6E7FFC68" w14:textId="0D3CC05C" w:rsidR="00527D65" w:rsidRDefault="00527D65" w:rsidP="00527D65">
      <w:pPr>
        <w:pStyle w:val="2"/>
        <w:rPr>
          <w:rFonts w:eastAsia="맑은 고딕"/>
        </w:rPr>
      </w:pPr>
      <w:r w:rsidRPr="00527D65">
        <w:rPr>
          <w:rFonts w:eastAsia="맑은 고딕"/>
        </w:rPr>
        <w:t>UE-sided model training data</w:t>
      </w:r>
      <w:r>
        <w:rPr>
          <w:rFonts w:eastAsia="맑은 고딕"/>
        </w:rPr>
        <w:t xml:space="preserve"> collection</w:t>
      </w:r>
    </w:p>
    <w:p w14:paraId="22400641" w14:textId="371F6FC1" w:rsidR="00527D65" w:rsidRDefault="00527D65" w:rsidP="00527D65">
      <w:r>
        <w:rPr>
          <w:rFonts w:hint="eastAsia"/>
        </w:rPr>
        <w:t xml:space="preserve">As </w:t>
      </w:r>
      <w:r>
        <w:t>observed</w:t>
      </w:r>
      <w:r>
        <w:rPr>
          <w:rFonts w:hint="eastAsia"/>
        </w:rPr>
        <w:t xml:space="preserve"> </w:t>
      </w:r>
      <w:r w:rsidR="00AE14C1">
        <w:t>in previous section</w:t>
      </w:r>
      <w:r>
        <w:t>, this topic corresponds to a remaining work from RAN2. RAN1 may progress on the first sub-objective (yellow-highlighted):</w:t>
      </w:r>
    </w:p>
    <w:p w14:paraId="31EA0827" w14:textId="77777777" w:rsidR="00527D65" w:rsidRPr="00134864" w:rsidRDefault="00527D65" w:rsidP="00527D65">
      <w:pPr>
        <w:widowControl/>
        <w:numPr>
          <w:ilvl w:val="0"/>
          <w:numId w:val="38"/>
        </w:numPr>
        <w:wordWrap/>
        <w:overflowPunct w:val="0"/>
        <w:adjustRightInd w:val="0"/>
        <w:spacing w:after="0" w:line="240" w:lineRule="auto"/>
        <w:jc w:val="left"/>
        <w:textAlignment w:val="baseline"/>
        <w:rPr>
          <w:bCs/>
        </w:rPr>
      </w:pPr>
      <w:r>
        <w:rPr>
          <w:bCs/>
        </w:rPr>
        <w:t>CN</w:t>
      </w:r>
      <w:r w:rsidRPr="00134864">
        <w:rPr>
          <w:bCs/>
        </w:rPr>
        <w:t xml:space="preserve">/OAM/OTT collection of UE-sided model training data [RAN2/RAN1]: </w:t>
      </w:r>
    </w:p>
    <w:p w14:paraId="7A478985" w14:textId="77777777" w:rsidR="00527D65" w:rsidRPr="00527D65" w:rsidRDefault="00527D65" w:rsidP="00527D65">
      <w:pPr>
        <w:widowControl/>
        <w:numPr>
          <w:ilvl w:val="1"/>
          <w:numId w:val="38"/>
        </w:numPr>
        <w:wordWrap/>
        <w:overflowPunct w:val="0"/>
        <w:adjustRightInd w:val="0"/>
        <w:spacing w:after="0" w:line="240" w:lineRule="auto"/>
        <w:jc w:val="left"/>
        <w:textAlignment w:val="baseline"/>
        <w:rPr>
          <w:bCs/>
          <w:highlight w:val="yellow"/>
        </w:rPr>
      </w:pPr>
      <w:r w:rsidRPr="00527D65">
        <w:rPr>
          <w:bCs/>
          <w:highlight w:val="yellow"/>
        </w:rPr>
        <w:t>For the FS_NR_AIML_Air study use cases, identify the corresponding contents of UE data collection</w:t>
      </w:r>
    </w:p>
    <w:p w14:paraId="2573ACDA" w14:textId="77777777" w:rsidR="00527D65" w:rsidRPr="00250569" w:rsidRDefault="00527D65" w:rsidP="00527D65">
      <w:pPr>
        <w:widowControl/>
        <w:numPr>
          <w:ilvl w:val="1"/>
          <w:numId w:val="38"/>
        </w:numPr>
        <w:wordWrap/>
        <w:overflowPunct w:val="0"/>
        <w:adjustRightInd w:val="0"/>
        <w:spacing w:after="0" w:line="240" w:lineRule="auto"/>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71750913" w14:textId="572C11F8" w:rsidR="00527D65" w:rsidRDefault="00527D65" w:rsidP="00527D65">
      <w:r>
        <w:rPr>
          <w:rFonts w:hint="eastAsia"/>
        </w:rPr>
        <w:t>T</w:t>
      </w:r>
      <w:r>
        <w:t>h</w:t>
      </w:r>
      <w:r>
        <w:rPr>
          <w:rFonts w:hint="eastAsia"/>
        </w:rPr>
        <w:t xml:space="preserve">e </w:t>
      </w:r>
      <w:r>
        <w:t xml:space="preserve">sub-objective, however, is somehow already </w:t>
      </w:r>
      <w:r w:rsidR="00875BC9">
        <w:t>being discussed in each sub-agenda, i.e. BM/Positioning/CSI, thus we see no need on having separate discussion on this agenda.</w:t>
      </w:r>
    </w:p>
    <w:p w14:paraId="30E83453" w14:textId="45DE320B" w:rsidR="00875BC9" w:rsidRPr="00875BC9" w:rsidRDefault="00875BC9" w:rsidP="00527D65">
      <w:pPr>
        <w:rPr>
          <w:b/>
        </w:rPr>
      </w:pPr>
      <w:r w:rsidRPr="00875BC9">
        <w:rPr>
          <w:b/>
        </w:rPr>
        <w:t>Proposal#</w:t>
      </w:r>
      <w:r w:rsidR="00FC7D1A">
        <w:rPr>
          <w:b/>
        </w:rPr>
        <w:t>5</w:t>
      </w:r>
      <w:r w:rsidRPr="00875BC9">
        <w:rPr>
          <w:b/>
        </w:rPr>
        <w:t>. RAN1 to discuss contents for UE-sided model training data collection in each sub-use-case agenda.</w:t>
      </w:r>
      <w:r>
        <w:rPr>
          <w:b/>
        </w:rPr>
        <w:t xml:space="preserve"> Thus, no need to discuss in this agenda.</w:t>
      </w:r>
    </w:p>
    <w:p w14:paraId="1B9495A7" w14:textId="77777777" w:rsidR="00527D65" w:rsidRPr="00527D65" w:rsidRDefault="00527D65" w:rsidP="00527D65"/>
    <w:p w14:paraId="0D930BD8" w14:textId="1DFD5653" w:rsidR="00527D65" w:rsidRPr="00596295" w:rsidRDefault="00527D65" w:rsidP="00527D65">
      <w:pPr>
        <w:pStyle w:val="2"/>
        <w:rPr>
          <w:rFonts w:eastAsia="맑은 고딕"/>
        </w:rPr>
      </w:pPr>
      <w:r>
        <w:rPr>
          <w:rFonts w:eastAsia="맑은 고딕"/>
        </w:rPr>
        <w:t>Model delivery/transfer</w:t>
      </w:r>
    </w:p>
    <w:p w14:paraId="78FC975E" w14:textId="02CF426F" w:rsidR="00646CDC" w:rsidRDefault="00AE14C1" w:rsidP="00646CDC">
      <w:r w:rsidRPr="00AE14C1">
        <w:rPr>
          <w:rFonts w:hint="eastAsia"/>
          <w:lang w:val="en-GB"/>
        </w:rPr>
        <w:t xml:space="preserve">As proposed </w:t>
      </w:r>
      <w:r>
        <w:t xml:space="preserve">in previous section, </w:t>
      </w:r>
      <w:r w:rsidRPr="00AE14C1">
        <w:t>RAN1 should not work on further ela</w:t>
      </w:r>
      <w:r w:rsidR="00C60F51">
        <w:t xml:space="preserve">boration on types/categories on </w:t>
      </w:r>
      <w:r w:rsidRPr="00AE14C1">
        <w:t>model delivery/transfer.</w:t>
      </w:r>
      <w:r w:rsidR="00C60F51">
        <w:t xml:space="preserve"> In RAN1#116, it was concluded that </w:t>
      </w:r>
      <w:r w:rsidR="00C60F51" w:rsidRPr="00C60F51">
        <w:t>the model transfer/delivery Case</w:t>
      </w:r>
      <w:r w:rsidR="00C60F51">
        <w:t xml:space="preserve"> z5 is deprioritized for Rel-19 from RAN1 perspective and FL proposed to discuss pros/cons analysis of each model </w:t>
      </w:r>
      <w:r w:rsidR="00C60F51" w:rsidRPr="00C60F51">
        <w:t>transfer/delivery</w:t>
      </w:r>
      <w:r w:rsidR="004C27C6">
        <w:t xml:space="preserve"> cases. In our view, given that the analysis was already done in Rel-18 as captured below, it would be more valuable to discuss how to address key challenges of model transfer such as offline cross-vendor collaboration, model storage requirements, and proprietary design disclosure issues by proponent companies. </w:t>
      </w:r>
    </w:p>
    <w:tbl>
      <w:tblPr>
        <w:tblStyle w:val="a6"/>
        <w:tblW w:w="0" w:type="auto"/>
        <w:tblLook w:val="04A0" w:firstRow="1" w:lastRow="0" w:firstColumn="1" w:lastColumn="0" w:noHBand="0" w:noVBand="1"/>
      </w:tblPr>
      <w:tblGrid>
        <w:gridCol w:w="9016"/>
      </w:tblGrid>
      <w:tr w:rsidR="004C27C6" w14:paraId="085F12DC" w14:textId="77777777" w:rsidTr="004C27C6">
        <w:tc>
          <w:tcPr>
            <w:tcW w:w="9016" w:type="dxa"/>
          </w:tcPr>
          <w:p w14:paraId="17833616" w14:textId="77777777" w:rsidR="004C27C6" w:rsidRPr="004C27C6" w:rsidRDefault="004C27C6" w:rsidP="004C27C6">
            <w:pPr>
              <w:widowControl/>
              <w:wordWrap/>
              <w:autoSpaceDE/>
              <w:autoSpaceDN/>
              <w:spacing w:before="60" w:after="120" w:line="276" w:lineRule="auto"/>
              <w:rPr>
                <w:b/>
                <w:bCs/>
                <w:iCs/>
                <w:sz w:val="20"/>
                <w:szCs w:val="24"/>
                <w:highlight w:val="green"/>
                <w:lang w:eastAsia="en-US"/>
              </w:rPr>
            </w:pPr>
            <w:r w:rsidRPr="004C27C6">
              <w:rPr>
                <w:b/>
                <w:bCs/>
                <w:iCs/>
                <w:sz w:val="20"/>
                <w:szCs w:val="24"/>
                <w:highlight w:val="green"/>
                <w:lang w:eastAsia="en-US"/>
              </w:rPr>
              <w:t>Agreement</w:t>
            </w:r>
          </w:p>
          <w:p w14:paraId="1FBEB36D" w14:textId="77777777" w:rsidR="004C27C6" w:rsidRPr="004C27C6" w:rsidRDefault="004C27C6" w:rsidP="004C27C6">
            <w:pPr>
              <w:widowControl/>
              <w:wordWrap/>
              <w:autoSpaceDE/>
              <w:autoSpaceDN/>
              <w:spacing w:before="60" w:after="120" w:line="276" w:lineRule="auto"/>
              <w:rPr>
                <w:sz w:val="20"/>
                <w:szCs w:val="24"/>
                <w:lang w:eastAsia="en-US"/>
              </w:rPr>
            </w:pPr>
            <w:r w:rsidRPr="004C27C6">
              <w:rPr>
                <w:sz w:val="20"/>
                <w:szCs w:val="24"/>
                <w:lang w:eastAsia="en-US"/>
              </w:rPr>
              <w:lastRenderedPageBreak/>
              <w:t>For model delivery/transfer to UE (for UE-side models and UE-part of two-sided models):</w:t>
            </w:r>
          </w:p>
          <w:p w14:paraId="71F6105F"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zh-CN"/>
              </w:rPr>
              <w:t xml:space="preserve">Model delivery/transfer to UE, </w:t>
            </w:r>
            <w:r w:rsidRPr="004C27C6">
              <w:rPr>
                <w:rFonts w:cs="Times"/>
                <w:sz w:val="20"/>
                <w:highlight w:val="yellow"/>
                <w:lang w:eastAsia="zh-CN"/>
              </w:rPr>
              <w:t>if feasible,</w:t>
            </w:r>
            <w:r w:rsidRPr="004C27C6">
              <w:rPr>
                <w:rFonts w:cs="Times"/>
                <w:sz w:val="20"/>
                <w:lang w:eastAsia="zh-CN"/>
              </w:rPr>
              <w:t xml:space="preserve"> may be beneficial to handle scenario/configuration specific (including site-specific configuration/channel conditions) models (i.e., when a single model cannot generalize well to multiple scenarios/configurations/sites), to reduce the device storage requirement.</w:t>
            </w:r>
          </w:p>
          <w:p w14:paraId="07DEFA10"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02BDA82"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network side, Case y (w/ network-side training) and Case z2 may incur the burden of </w:t>
            </w:r>
            <w:r w:rsidRPr="004C27C6">
              <w:rPr>
                <w:rFonts w:cs="Times"/>
                <w:sz w:val="20"/>
                <w:highlight w:val="yellow"/>
                <w:lang w:eastAsia="en-US"/>
              </w:rPr>
              <w:t>offline cross-vendor collaboration</w:t>
            </w:r>
            <w:r w:rsidRPr="004C27C6">
              <w:rPr>
                <w:rFonts w:cs="Times"/>
                <w:sz w:val="20"/>
                <w:lang w:eastAsia="en-US"/>
              </w:rPr>
              <w:t xml:space="preserve"> such as sending a model to the UE-side and/or compiling a model.</w:t>
            </w:r>
          </w:p>
          <w:p w14:paraId="7D6A6485"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UE side/neutral site, Case z1 and Case z3 may incur </w:t>
            </w:r>
            <w:r w:rsidRPr="004C27C6">
              <w:rPr>
                <w:rFonts w:cs="Times"/>
                <w:sz w:val="20"/>
                <w:highlight w:val="yellow"/>
                <w:lang w:eastAsia="en-US"/>
              </w:rPr>
              <w:t>the burden of offline cross-vendor collaboration</w:t>
            </w:r>
            <w:r w:rsidRPr="004C27C6">
              <w:rPr>
                <w:rFonts w:cs="Times"/>
                <w:sz w:val="20"/>
                <w:lang w:eastAsia="en-US"/>
              </w:rPr>
              <w:t xml:space="preserve"> to send the trained model from the UE-side to the network, compared to Case y (w/ UE-side training) which does not have such burden.</w:t>
            </w:r>
          </w:p>
          <w:p w14:paraId="759F4477" w14:textId="77777777" w:rsidR="004C27C6" w:rsidRPr="004C27C6" w:rsidRDefault="004C27C6" w:rsidP="004C27C6">
            <w:pPr>
              <w:widowControl/>
              <w:numPr>
                <w:ilvl w:val="0"/>
                <w:numId w:val="31"/>
              </w:numPr>
              <w:wordWrap/>
              <w:autoSpaceDE/>
              <w:autoSpaceDN/>
              <w:spacing w:before="60" w:line="276" w:lineRule="auto"/>
              <w:rPr>
                <w:rFonts w:cs="Times"/>
                <w:sz w:val="20"/>
                <w:highlight w:val="yellow"/>
                <w:lang w:eastAsia="en-US"/>
              </w:rPr>
            </w:pPr>
            <w:r w:rsidRPr="004C27C6">
              <w:rPr>
                <w:rFonts w:cs="Times"/>
                <w:sz w:val="20"/>
                <w:highlight w:val="yellow"/>
                <w:lang w:eastAsia="en-US"/>
              </w:rPr>
              <w:t>Model storage at the 3gpp network, compared to storing the model outside the 3gpp network, may come with 3gpp network side burden on model maintenance/storage.</w:t>
            </w:r>
          </w:p>
          <w:p w14:paraId="319DA8BC" w14:textId="1EBB17C0"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highlight w:val="yellow"/>
                <w:lang w:eastAsia="en-US"/>
              </w:rPr>
              <w:t>Proprietary design disclosure concern may arise from model training and/or model storage at the network side compared to other cases (such as case y with UE side training) which does not have such issue.</w:t>
            </w:r>
          </w:p>
        </w:tc>
      </w:tr>
    </w:tbl>
    <w:p w14:paraId="43C40126" w14:textId="77777777" w:rsidR="004C27C6" w:rsidRPr="004C27C6" w:rsidRDefault="004C27C6" w:rsidP="00646CDC"/>
    <w:p w14:paraId="45706273" w14:textId="7832B24D" w:rsidR="004C27C6" w:rsidRPr="00875BC9" w:rsidRDefault="004C27C6" w:rsidP="004C27C6">
      <w:pPr>
        <w:rPr>
          <w:b/>
        </w:rPr>
      </w:pPr>
      <w:r w:rsidRPr="00875BC9">
        <w:rPr>
          <w:b/>
        </w:rPr>
        <w:t>Proposal#</w:t>
      </w:r>
      <w:r w:rsidR="00FC7D1A">
        <w:rPr>
          <w:b/>
        </w:rPr>
        <w:t>6</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instead of further comparing pros/cons of </w:t>
      </w:r>
      <w:r w:rsidR="00595876">
        <w:rPr>
          <w:b/>
        </w:rPr>
        <w:t xml:space="preserve">different </w:t>
      </w:r>
      <w:r>
        <w:rPr>
          <w:b/>
        </w:rPr>
        <w:t xml:space="preserve">model transfer cases. </w:t>
      </w:r>
    </w:p>
    <w:p w14:paraId="1B920DF1" w14:textId="77777777" w:rsidR="00AE14C1" w:rsidRPr="00596295" w:rsidRDefault="00AE14C1" w:rsidP="00646CDC">
      <w:pPr>
        <w:rPr>
          <w:b/>
          <w:lang w:val="en-GB"/>
        </w:rPr>
      </w:pPr>
    </w:p>
    <w:p w14:paraId="031F5830" w14:textId="77777777" w:rsidR="00F06030" w:rsidRPr="00596295" w:rsidRDefault="00F06030" w:rsidP="00F06030">
      <w:pPr>
        <w:pStyle w:val="1"/>
      </w:pPr>
      <w:r w:rsidRPr="00596295">
        <w:t>Conclusion</w:t>
      </w:r>
    </w:p>
    <w:p w14:paraId="6486E2E8" w14:textId="2191A591" w:rsidR="004B6DF1" w:rsidRDefault="004B6DF1" w:rsidP="00F06030">
      <w:r w:rsidRPr="00596295">
        <w:t xml:space="preserve">In this contribution, </w:t>
      </w:r>
      <w:r w:rsidR="00025632" w:rsidRPr="00596295">
        <w:t>the following proposals</w:t>
      </w:r>
      <w:r w:rsidR="004C27C6">
        <w:t xml:space="preserve"> and observations</w:t>
      </w:r>
      <w:r w:rsidR="00025632" w:rsidRPr="00596295">
        <w:t xml:space="preserve"> are provided.</w:t>
      </w:r>
    </w:p>
    <w:p w14:paraId="262F486F" w14:textId="77777777" w:rsidR="00595876" w:rsidRPr="00FF3F71" w:rsidRDefault="00595876" w:rsidP="00595876">
      <w:pPr>
        <w:rPr>
          <w:b/>
        </w:rPr>
      </w:pPr>
      <w:r w:rsidRPr="00FF3F71">
        <w:rPr>
          <w:b/>
        </w:rPr>
        <w:t xml:space="preserve">Observiation#1. </w:t>
      </w:r>
      <w:r>
        <w:rPr>
          <w:b/>
        </w:rPr>
        <w:t>Studies on m</w:t>
      </w:r>
      <w:r w:rsidRPr="00FF3F71">
        <w:rPr>
          <w:b/>
        </w:rPr>
        <w:t>odel identification</w:t>
      </w:r>
      <w:r>
        <w:rPr>
          <w:b/>
        </w:rPr>
        <w:t xml:space="preserve"> and delivery/transfer</w:t>
      </w:r>
      <w:r w:rsidRPr="00FF3F71">
        <w:rPr>
          <w:b/>
        </w:rPr>
        <w:t xml:space="preserve"> w</w:t>
      </w:r>
      <w:r>
        <w:rPr>
          <w:b/>
        </w:rPr>
        <w:t>ere</w:t>
      </w:r>
      <w:r w:rsidRPr="00FF3F71">
        <w:rPr>
          <w:b/>
        </w:rPr>
        <w:t xml:space="preserve"> led by RAN1 in Rel-18 but </w:t>
      </w:r>
      <w:r>
        <w:rPr>
          <w:b/>
        </w:rPr>
        <w:t xml:space="preserve">decided to </w:t>
      </w:r>
      <w:r w:rsidRPr="00FF3F71">
        <w:rPr>
          <w:b/>
        </w:rPr>
        <w:t>switch to RAN2 in Rel-19 due to discussion inefficiency caused by lack of expertise.</w:t>
      </w:r>
    </w:p>
    <w:p w14:paraId="6D765396" w14:textId="77777777" w:rsidR="00595876" w:rsidRPr="00FF3F71" w:rsidRDefault="00595876" w:rsidP="00595876">
      <w:pPr>
        <w:rPr>
          <w:b/>
        </w:rPr>
      </w:pPr>
      <w:r w:rsidRPr="00FF3F71">
        <w:rPr>
          <w:b/>
        </w:rPr>
        <w:t>Observiation#</w:t>
      </w:r>
      <w:r>
        <w:rPr>
          <w:b/>
        </w:rPr>
        <w:t>2</w:t>
      </w:r>
      <w:r w:rsidRPr="00FF3F71">
        <w:rPr>
          <w:b/>
        </w:rPr>
        <w:t>. The second objective is corresponding to a remaining work in RAN2</w:t>
      </w:r>
      <w:r>
        <w:rPr>
          <w:b/>
        </w:rPr>
        <w:t xml:space="preserve"> in Rel-18. </w:t>
      </w:r>
    </w:p>
    <w:p w14:paraId="05F86B0B" w14:textId="77777777" w:rsidR="00595876" w:rsidRPr="00595876" w:rsidRDefault="00595876" w:rsidP="00F06030"/>
    <w:p w14:paraId="60BFAABC" w14:textId="77777777" w:rsidR="00595876" w:rsidRPr="00783911" w:rsidRDefault="00595876" w:rsidP="00595876">
      <w:pPr>
        <w:rPr>
          <w:b/>
        </w:rPr>
      </w:pPr>
      <w:r w:rsidRPr="00783911">
        <w:rPr>
          <w:b/>
        </w:rPr>
        <w:t xml:space="preserve">Proposal#1. Work split between RAN1 and RAN2 should be clearly defined on this agenda.    </w:t>
      </w:r>
    </w:p>
    <w:p w14:paraId="5D68920C" w14:textId="77777777" w:rsidR="00595876" w:rsidRPr="00783911" w:rsidRDefault="00595876" w:rsidP="00595876">
      <w:pPr>
        <w:rPr>
          <w:b/>
        </w:rPr>
      </w:pPr>
      <w:r w:rsidRPr="00783911">
        <w:rPr>
          <w:b/>
        </w:rPr>
        <w:t>Proposal#</w:t>
      </w:r>
      <w:r>
        <w:rPr>
          <w:b/>
        </w:rPr>
        <w:t>2</w:t>
      </w:r>
      <w:r w:rsidRPr="00783911">
        <w:rPr>
          <w:b/>
        </w:rPr>
        <w:t xml:space="preserve">. </w:t>
      </w:r>
      <w:r>
        <w:rPr>
          <w:b/>
        </w:rPr>
        <w:t>RAN1 should not work on further elaboration on types/categories on model identification and model delivery/transfer.</w:t>
      </w:r>
    </w:p>
    <w:p w14:paraId="6AFC236E" w14:textId="77777777" w:rsidR="00595876" w:rsidRDefault="00595876" w:rsidP="00595876">
      <w:pPr>
        <w:rPr>
          <w:b/>
        </w:rPr>
      </w:pPr>
      <w:r w:rsidRPr="00527D65">
        <w:rPr>
          <w:b/>
        </w:rPr>
        <w:t>Proposal#3. Clarify that any LCM that does not require assigning model ID belong</w:t>
      </w:r>
      <w:r>
        <w:rPr>
          <w:b/>
        </w:rPr>
        <w:t>s</w:t>
      </w:r>
      <w:r w:rsidRPr="00527D65">
        <w:rPr>
          <w:b/>
        </w:rPr>
        <w:t xml:space="preserve"> to functionality-based LCM.</w:t>
      </w:r>
    </w:p>
    <w:p w14:paraId="78A7162B" w14:textId="77777777" w:rsidR="00FC7D1A" w:rsidRPr="003C1889" w:rsidRDefault="00FC7D1A" w:rsidP="00FC7D1A">
      <w:pPr>
        <w:rPr>
          <w:b/>
        </w:rPr>
      </w:pPr>
      <w:r w:rsidRPr="003C1889">
        <w:rPr>
          <w:rFonts w:hint="eastAsia"/>
          <w:b/>
        </w:rPr>
        <w:t xml:space="preserve">Proposal#4. On the </w:t>
      </w:r>
      <w:r w:rsidRPr="003C1889">
        <w:rPr>
          <w:b/>
        </w:rPr>
        <w:t>necessity</w:t>
      </w:r>
      <w:r w:rsidRPr="003C1889">
        <w:rPr>
          <w:rFonts w:hint="eastAsia"/>
          <w:b/>
        </w:rPr>
        <w:t xml:space="preserve"> </w:t>
      </w:r>
      <w:r w:rsidRPr="003C1889">
        <w:rPr>
          <w:b/>
        </w:rPr>
        <w:t>of model identification and model-based LCM,</w:t>
      </w:r>
      <w:r w:rsidRPr="003C1889">
        <w:rPr>
          <w:rFonts w:hint="eastAsia"/>
          <w:b/>
        </w:rPr>
        <w:t xml:space="preserve"> conclude that</w:t>
      </w:r>
    </w:p>
    <w:p w14:paraId="3D0A5AFE" w14:textId="77777777" w:rsidR="00FC7D1A" w:rsidRPr="003C1889" w:rsidRDefault="00FC7D1A" w:rsidP="00FC7D1A">
      <w:pPr>
        <w:pStyle w:val="a7"/>
        <w:numPr>
          <w:ilvl w:val="0"/>
          <w:numId w:val="38"/>
        </w:numPr>
        <w:ind w:leftChars="0"/>
        <w:rPr>
          <w:b/>
        </w:rPr>
      </w:pPr>
      <w:r w:rsidRPr="003C1889">
        <w:rPr>
          <w:b/>
        </w:rPr>
        <w:t>t</w:t>
      </w:r>
      <w:r w:rsidRPr="003C1889">
        <w:rPr>
          <w:rFonts w:hint="eastAsia"/>
          <w:b/>
        </w:rPr>
        <w:t xml:space="preserve">hey </w:t>
      </w:r>
      <w:r w:rsidRPr="003C1889">
        <w:rPr>
          <w:b/>
        </w:rPr>
        <w:t>are necessary for model transfer (if supported) and two-sided model cases (if supported).</w:t>
      </w:r>
    </w:p>
    <w:p w14:paraId="5151A75A" w14:textId="77777777" w:rsidR="00FC7D1A" w:rsidRDefault="00FC7D1A" w:rsidP="00FC7D1A">
      <w:pPr>
        <w:pStyle w:val="a7"/>
        <w:numPr>
          <w:ilvl w:val="0"/>
          <w:numId w:val="38"/>
        </w:numPr>
        <w:ind w:leftChars="0"/>
        <w:rPr>
          <w:b/>
        </w:rPr>
      </w:pPr>
      <w:r w:rsidRPr="003C1889">
        <w:rPr>
          <w:b/>
        </w:rPr>
        <w:t xml:space="preserve">they are not necessary for one-sided model cases. </w:t>
      </w:r>
    </w:p>
    <w:p w14:paraId="63A55421" w14:textId="77777777" w:rsidR="003019F4" w:rsidRDefault="00FC7D1A" w:rsidP="00EB664E">
      <w:pPr>
        <w:pStyle w:val="a7"/>
        <w:numPr>
          <w:ilvl w:val="1"/>
          <w:numId w:val="38"/>
        </w:numPr>
        <w:ind w:leftChars="0"/>
        <w:rPr>
          <w:b/>
        </w:rPr>
      </w:pPr>
      <w:r w:rsidRPr="00FC7D1A">
        <w:rPr>
          <w:b/>
        </w:rPr>
        <w:lastRenderedPageBreak/>
        <w:t>for one-sided model cases, other means to provide information/indication for scenario/site-specific models can be considered under functionality-based LCM framework.</w:t>
      </w:r>
      <w:bookmarkStart w:id="2" w:name="_GoBack"/>
      <w:bookmarkEnd w:id="2"/>
    </w:p>
    <w:p w14:paraId="3FB0C24F" w14:textId="589956F2" w:rsidR="00595876" w:rsidRPr="00875BC9" w:rsidRDefault="00595876" w:rsidP="00595876">
      <w:pPr>
        <w:rPr>
          <w:b/>
        </w:rPr>
      </w:pPr>
      <w:r w:rsidRPr="00875BC9">
        <w:rPr>
          <w:b/>
        </w:rPr>
        <w:t>Proposal#</w:t>
      </w:r>
      <w:r w:rsidR="00FC7D1A">
        <w:rPr>
          <w:b/>
        </w:rPr>
        <w:t>5</w:t>
      </w:r>
      <w:r w:rsidRPr="00875BC9">
        <w:rPr>
          <w:b/>
        </w:rPr>
        <w:t>. RAN1 to discuss contents for UE-sided model training data collection in each sub-use-case agenda.</w:t>
      </w:r>
      <w:r>
        <w:rPr>
          <w:b/>
        </w:rPr>
        <w:t xml:space="preserve"> Thus, no need to discuss in this agenda.</w:t>
      </w:r>
    </w:p>
    <w:p w14:paraId="5CCA2C40" w14:textId="0DA95D68" w:rsidR="00595876" w:rsidRPr="00875BC9" w:rsidRDefault="00595876" w:rsidP="00595876">
      <w:pPr>
        <w:rPr>
          <w:b/>
        </w:rPr>
      </w:pPr>
      <w:r w:rsidRPr="00875BC9">
        <w:rPr>
          <w:b/>
        </w:rPr>
        <w:t>Proposal#</w:t>
      </w:r>
      <w:r w:rsidR="00FC7D1A">
        <w:rPr>
          <w:b/>
        </w:rPr>
        <w:t>6</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instead of further comparing pros/cons of different model transfer cases. </w:t>
      </w:r>
    </w:p>
    <w:p w14:paraId="0C302BC3" w14:textId="77777777" w:rsidR="004B6A8C" w:rsidRPr="00596295" w:rsidRDefault="004B6A8C" w:rsidP="00F06030"/>
    <w:p w14:paraId="71D24626" w14:textId="77777777" w:rsidR="00F06030" w:rsidRPr="00596295" w:rsidRDefault="00F06030" w:rsidP="00265AA6">
      <w:pPr>
        <w:pStyle w:val="1"/>
      </w:pPr>
      <w:r w:rsidRPr="00596295">
        <w:rPr>
          <w:rFonts w:hint="eastAsia"/>
        </w:rPr>
        <w:t>Reference</w:t>
      </w:r>
    </w:p>
    <w:p w14:paraId="5C96AE45" w14:textId="7ADDE022" w:rsidR="003B46DF" w:rsidRPr="005E1811" w:rsidRDefault="004A0F43">
      <w:r w:rsidRPr="00596295">
        <w:rPr>
          <w:rFonts w:hint="eastAsia"/>
        </w:rPr>
        <w:t xml:space="preserve">[1] </w:t>
      </w:r>
      <w:r w:rsidR="00595876" w:rsidRPr="00595876">
        <w:t>RP-240774</w:t>
      </w:r>
      <w:r w:rsidR="007C6EFC" w:rsidRPr="00596295">
        <w:t>, “</w:t>
      </w:r>
      <w:r w:rsidR="00595876" w:rsidRPr="00595876">
        <w:t xml:space="preserve">Revised WID </w:t>
      </w:r>
      <w:r w:rsidR="005E1811" w:rsidRPr="005E1811">
        <w:t>on Artificial Intelligence (AI)/Machine Learning (ML) for NR Air Interface</w:t>
      </w:r>
      <w:r w:rsidR="007C6EFC" w:rsidRPr="00596295">
        <w:t xml:space="preserve">”, </w:t>
      </w:r>
      <w:r w:rsidR="005E1811" w:rsidRPr="005E1811">
        <w:t>Qualcomm</w:t>
      </w:r>
    </w:p>
    <w:sectPr w:rsidR="003B46DF" w:rsidRPr="005E18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95F9C" w14:textId="77777777" w:rsidR="00F22996" w:rsidRDefault="00F22996" w:rsidP="00A730F4">
      <w:pPr>
        <w:spacing w:after="0" w:line="240" w:lineRule="auto"/>
      </w:pPr>
      <w:r>
        <w:separator/>
      </w:r>
    </w:p>
  </w:endnote>
  <w:endnote w:type="continuationSeparator" w:id="0">
    <w:p w14:paraId="2D7FF718" w14:textId="77777777" w:rsidR="00F22996" w:rsidRDefault="00F22996"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B82CA" w14:textId="77777777" w:rsidR="00F22996" w:rsidRDefault="00F22996" w:rsidP="00A730F4">
      <w:pPr>
        <w:spacing w:after="0" w:line="240" w:lineRule="auto"/>
      </w:pPr>
      <w:r>
        <w:separator/>
      </w:r>
    </w:p>
  </w:footnote>
  <w:footnote w:type="continuationSeparator" w:id="0">
    <w:p w14:paraId="5CB39B8A" w14:textId="77777777" w:rsidR="00F22996" w:rsidRDefault="00F22996"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1">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1">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6">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5"/>
  </w:num>
  <w:num w:numId="4">
    <w:abstractNumId w:val="28"/>
  </w:num>
  <w:num w:numId="5">
    <w:abstractNumId w:val="33"/>
  </w:num>
  <w:num w:numId="6">
    <w:abstractNumId w:val="3"/>
  </w:num>
  <w:num w:numId="7">
    <w:abstractNumId w:val="3"/>
  </w:num>
  <w:num w:numId="8">
    <w:abstractNumId w:val="3"/>
  </w:num>
  <w:num w:numId="9">
    <w:abstractNumId w:val="23"/>
  </w:num>
  <w:num w:numId="10">
    <w:abstractNumId w:val="4"/>
  </w:num>
  <w:num w:numId="11">
    <w:abstractNumId w:val="13"/>
  </w:num>
  <w:num w:numId="12">
    <w:abstractNumId w:val="1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1"/>
  </w:num>
  <w:num w:numId="16">
    <w:abstractNumId w:val="17"/>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1"/>
  </w:num>
  <w:num w:numId="21">
    <w:abstractNumId w:val="30"/>
  </w:num>
  <w:num w:numId="22">
    <w:abstractNumId w:val="5"/>
  </w:num>
  <w:num w:numId="23">
    <w:abstractNumId w:val="36"/>
  </w:num>
  <w:num w:numId="24">
    <w:abstractNumId w:val="14"/>
  </w:num>
  <w:num w:numId="25">
    <w:abstractNumId w:val="32"/>
  </w:num>
  <w:num w:numId="26">
    <w:abstractNumId w:val="12"/>
  </w:num>
  <w:num w:numId="27">
    <w:abstractNumId w:val="26"/>
  </w:num>
  <w:num w:numId="28">
    <w:abstractNumId w:val="18"/>
  </w:num>
  <w:num w:numId="29">
    <w:abstractNumId w:val="15"/>
  </w:num>
  <w:num w:numId="30">
    <w:abstractNumId w:val="18"/>
  </w:num>
  <w:num w:numId="31">
    <w:abstractNumId w:val="7"/>
  </w:num>
  <w:num w:numId="32">
    <w:abstractNumId w:val="22"/>
  </w:num>
  <w:num w:numId="33">
    <w:abstractNumId w:val="35"/>
  </w:num>
  <w:num w:numId="34">
    <w:abstractNumId w:val="8"/>
  </w:num>
  <w:num w:numId="35">
    <w:abstractNumId w:val="29"/>
  </w:num>
  <w:num w:numId="36">
    <w:abstractNumId w:val="24"/>
  </w:num>
  <w:num w:numId="37">
    <w:abstractNumId w:val="19"/>
  </w:num>
  <w:num w:numId="38">
    <w:abstractNumId w:val="21"/>
  </w:num>
  <w:num w:numId="39">
    <w:abstractNumId w:val="0"/>
  </w:num>
  <w:num w:numId="40">
    <w:abstractNumId w:val="1"/>
  </w:num>
  <w:num w:numId="41">
    <w:abstractNumId w:val="2"/>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65EDC"/>
    <w:rsid w:val="00066902"/>
    <w:rsid w:val="00067FC9"/>
    <w:rsid w:val="0007162D"/>
    <w:rsid w:val="00081784"/>
    <w:rsid w:val="000A30F4"/>
    <w:rsid w:val="000B2003"/>
    <w:rsid w:val="000B45E0"/>
    <w:rsid w:val="000C000D"/>
    <w:rsid w:val="000D0DF7"/>
    <w:rsid w:val="000F631D"/>
    <w:rsid w:val="000F7191"/>
    <w:rsid w:val="001025A6"/>
    <w:rsid w:val="00120299"/>
    <w:rsid w:val="001361E1"/>
    <w:rsid w:val="00152B83"/>
    <w:rsid w:val="001708EE"/>
    <w:rsid w:val="00173D6C"/>
    <w:rsid w:val="001753D5"/>
    <w:rsid w:val="00182AAB"/>
    <w:rsid w:val="00195C54"/>
    <w:rsid w:val="001A4221"/>
    <w:rsid w:val="001B5CD1"/>
    <w:rsid w:val="001C02F3"/>
    <w:rsid w:val="001C28E0"/>
    <w:rsid w:val="001F421C"/>
    <w:rsid w:val="001F74EE"/>
    <w:rsid w:val="00213B95"/>
    <w:rsid w:val="00233452"/>
    <w:rsid w:val="00235237"/>
    <w:rsid w:val="00236510"/>
    <w:rsid w:val="002379CB"/>
    <w:rsid w:val="00245C8D"/>
    <w:rsid w:val="0024739D"/>
    <w:rsid w:val="002630D2"/>
    <w:rsid w:val="00265AA6"/>
    <w:rsid w:val="002678D9"/>
    <w:rsid w:val="00267A67"/>
    <w:rsid w:val="002819A2"/>
    <w:rsid w:val="002847A2"/>
    <w:rsid w:val="00291872"/>
    <w:rsid w:val="002B2000"/>
    <w:rsid w:val="002B39E6"/>
    <w:rsid w:val="002B79D1"/>
    <w:rsid w:val="002C5191"/>
    <w:rsid w:val="002D0622"/>
    <w:rsid w:val="002D17E5"/>
    <w:rsid w:val="002D301A"/>
    <w:rsid w:val="002E0A64"/>
    <w:rsid w:val="002E397F"/>
    <w:rsid w:val="002F1225"/>
    <w:rsid w:val="002F1580"/>
    <w:rsid w:val="00301420"/>
    <w:rsid w:val="003019F4"/>
    <w:rsid w:val="0030393E"/>
    <w:rsid w:val="00304002"/>
    <w:rsid w:val="00316518"/>
    <w:rsid w:val="0032297C"/>
    <w:rsid w:val="00327DED"/>
    <w:rsid w:val="00330537"/>
    <w:rsid w:val="00337F4F"/>
    <w:rsid w:val="00342689"/>
    <w:rsid w:val="00364977"/>
    <w:rsid w:val="00382639"/>
    <w:rsid w:val="003869BD"/>
    <w:rsid w:val="00387D41"/>
    <w:rsid w:val="003A781C"/>
    <w:rsid w:val="003A7D88"/>
    <w:rsid w:val="003B46DF"/>
    <w:rsid w:val="003B58B2"/>
    <w:rsid w:val="003C1F50"/>
    <w:rsid w:val="003C2C8E"/>
    <w:rsid w:val="003D7FAD"/>
    <w:rsid w:val="003F5DDB"/>
    <w:rsid w:val="004037CB"/>
    <w:rsid w:val="00410BE6"/>
    <w:rsid w:val="00417D36"/>
    <w:rsid w:val="004200CA"/>
    <w:rsid w:val="0042227C"/>
    <w:rsid w:val="004229AA"/>
    <w:rsid w:val="00432572"/>
    <w:rsid w:val="00442987"/>
    <w:rsid w:val="00452459"/>
    <w:rsid w:val="004537B7"/>
    <w:rsid w:val="004667AE"/>
    <w:rsid w:val="00470B23"/>
    <w:rsid w:val="004716F6"/>
    <w:rsid w:val="00481B2F"/>
    <w:rsid w:val="00483C18"/>
    <w:rsid w:val="004939D5"/>
    <w:rsid w:val="00496961"/>
    <w:rsid w:val="004A0F43"/>
    <w:rsid w:val="004A7AAE"/>
    <w:rsid w:val="004B5D18"/>
    <w:rsid w:val="004B69D3"/>
    <w:rsid w:val="004B6A8C"/>
    <w:rsid w:val="004B6DF1"/>
    <w:rsid w:val="004C27C6"/>
    <w:rsid w:val="004C2D9D"/>
    <w:rsid w:val="004C7FAD"/>
    <w:rsid w:val="004E3EE6"/>
    <w:rsid w:val="00501458"/>
    <w:rsid w:val="005058F4"/>
    <w:rsid w:val="005217B3"/>
    <w:rsid w:val="00521E91"/>
    <w:rsid w:val="00527D65"/>
    <w:rsid w:val="00534F0B"/>
    <w:rsid w:val="00555BF3"/>
    <w:rsid w:val="00566848"/>
    <w:rsid w:val="005711E9"/>
    <w:rsid w:val="005765CA"/>
    <w:rsid w:val="0057732B"/>
    <w:rsid w:val="00581539"/>
    <w:rsid w:val="00585BD5"/>
    <w:rsid w:val="00591E83"/>
    <w:rsid w:val="005942A9"/>
    <w:rsid w:val="00595876"/>
    <w:rsid w:val="00596295"/>
    <w:rsid w:val="005969FD"/>
    <w:rsid w:val="005A527D"/>
    <w:rsid w:val="005B0725"/>
    <w:rsid w:val="005B6AE5"/>
    <w:rsid w:val="005E1811"/>
    <w:rsid w:val="005F20DD"/>
    <w:rsid w:val="00606CEC"/>
    <w:rsid w:val="00607117"/>
    <w:rsid w:val="006117AC"/>
    <w:rsid w:val="00612C8E"/>
    <w:rsid w:val="00614C2D"/>
    <w:rsid w:val="00622DCE"/>
    <w:rsid w:val="00646CDC"/>
    <w:rsid w:val="00653178"/>
    <w:rsid w:val="0066686B"/>
    <w:rsid w:val="00667638"/>
    <w:rsid w:val="006711E2"/>
    <w:rsid w:val="00674EB5"/>
    <w:rsid w:val="0067587A"/>
    <w:rsid w:val="00675899"/>
    <w:rsid w:val="00676701"/>
    <w:rsid w:val="0068042E"/>
    <w:rsid w:val="00682673"/>
    <w:rsid w:val="006A2B14"/>
    <w:rsid w:val="006A2E5D"/>
    <w:rsid w:val="006B67D5"/>
    <w:rsid w:val="006C25A5"/>
    <w:rsid w:val="006C3C72"/>
    <w:rsid w:val="006D00DD"/>
    <w:rsid w:val="006E4CF8"/>
    <w:rsid w:val="006F123E"/>
    <w:rsid w:val="006F2DA4"/>
    <w:rsid w:val="006F64CC"/>
    <w:rsid w:val="00711E37"/>
    <w:rsid w:val="00725D3B"/>
    <w:rsid w:val="00726F11"/>
    <w:rsid w:val="00740825"/>
    <w:rsid w:val="007523CB"/>
    <w:rsid w:val="007620EE"/>
    <w:rsid w:val="0078345F"/>
    <w:rsid w:val="00783911"/>
    <w:rsid w:val="00783BAE"/>
    <w:rsid w:val="00791128"/>
    <w:rsid w:val="007A47B7"/>
    <w:rsid w:val="007C4CF4"/>
    <w:rsid w:val="007C6EFC"/>
    <w:rsid w:val="007D1EA2"/>
    <w:rsid w:val="007F4142"/>
    <w:rsid w:val="008037A6"/>
    <w:rsid w:val="00803882"/>
    <w:rsid w:val="008054B1"/>
    <w:rsid w:val="00812525"/>
    <w:rsid w:val="008145D7"/>
    <w:rsid w:val="00817FDD"/>
    <w:rsid w:val="00833CD8"/>
    <w:rsid w:val="00836A41"/>
    <w:rsid w:val="00845441"/>
    <w:rsid w:val="00857732"/>
    <w:rsid w:val="008657A4"/>
    <w:rsid w:val="00875BB2"/>
    <w:rsid w:val="00875BC9"/>
    <w:rsid w:val="008863D0"/>
    <w:rsid w:val="00886E67"/>
    <w:rsid w:val="00897325"/>
    <w:rsid w:val="008A2D29"/>
    <w:rsid w:val="008C31D9"/>
    <w:rsid w:val="008C3651"/>
    <w:rsid w:val="008C4A7F"/>
    <w:rsid w:val="008D153C"/>
    <w:rsid w:val="008D4393"/>
    <w:rsid w:val="008E0485"/>
    <w:rsid w:val="00900470"/>
    <w:rsid w:val="009144FE"/>
    <w:rsid w:val="00927A5F"/>
    <w:rsid w:val="00931945"/>
    <w:rsid w:val="009447FB"/>
    <w:rsid w:val="00971E47"/>
    <w:rsid w:val="00976D2C"/>
    <w:rsid w:val="00987E51"/>
    <w:rsid w:val="00996413"/>
    <w:rsid w:val="009A00AD"/>
    <w:rsid w:val="009A39F6"/>
    <w:rsid w:val="009A578A"/>
    <w:rsid w:val="009B2B5F"/>
    <w:rsid w:val="009B563C"/>
    <w:rsid w:val="009B65F7"/>
    <w:rsid w:val="009C0134"/>
    <w:rsid w:val="009C47FF"/>
    <w:rsid w:val="009C65AC"/>
    <w:rsid w:val="009E3479"/>
    <w:rsid w:val="009E5F9E"/>
    <w:rsid w:val="009E609E"/>
    <w:rsid w:val="009F43F7"/>
    <w:rsid w:val="009F70C7"/>
    <w:rsid w:val="00A014A1"/>
    <w:rsid w:val="00A07740"/>
    <w:rsid w:val="00A11FFB"/>
    <w:rsid w:val="00A34E00"/>
    <w:rsid w:val="00A34E10"/>
    <w:rsid w:val="00A35756"/>
    <w:rsid w:val="00A509DF"/>
    <w:rsid w:val="00A63591"/>
    <w:rsid w:val="00A63879"/>
    <w:rsid w:val="00A71C33"/>
    <w:rsid w:val="00A730F4"/>
    <w:rsid w:val="00A7409C"/>
    <w:rsid w:val="00AA5235"/>
    <w:rsid w:val="00AB585F"/>
    <w:rsid w:val="00AC0FDD"/>
    <w:rsid w:val="00AE14C1"/>
    <w:rsid w:val="00AE6B99"/>
    <w:rsid w:val="00B0256F"/>
    <w:rsid w:val="00B142D1"/>
    <w:rsid w:val="00B25AFE"/>
    <w:rsid w:val="00B26101"/>
    <w:rsid w:val="00B27185"/>
    <w:rsid w:val="00B46917"/>
    <w:rsid w:val="00B50352"/>
    <w:rsid w:val="00B56632"/>
    <w:rsid w:val="00B62CF2"/>
    <w:rsid w:val="00B67830"/>
    <w:rsid w:val="00B751D6"/>
    <w:rsid w:val="00B75321"/>
    <w:rsid w:val="00B92B0C"/>
    <w:rsid w:val="00B94D8D"/>
    <w:rsid w:val="00BA0F31"/>
    <w:rsid w:val="00BB66D5"/>
    <w:rsid w:val="00BC5533"/>
    <w:rsid w:val="00BD16BF"/>
    <w:rsid w:val="00C0138D"/>
    <w:rsid w:val="00C16062"/>
    <w:rsid w:val="00C2580B"/>
    <w:rsid w:val="00C34285"/>
    <w:rsid w:val="00C36365"/>
    <w:rsid w:val="00C60F51"/>
    <w:rsid w:val="00C66592"/>
    <w:rsid w:val="00C75A01"/>
    <w:rsid w:val="00C842AC"/>
    <w:rsid w:val="00C8449A"/>
    <w:rsid w:val="00C95BFA"/>
    <w:rsid w:val="00CA684B"/>
    <w:rsid w:val="00CA7DD4"/>
    <w:rsid w:val="00CB502D"/>
    <w:rsid w:val="00CB5F83"/>
    <w:rsid w:val="00CC2022"/>
    <w:rsid w:val="00CD2CD0"/>
    <w:rsid w:val="00CF0281"/>
    <w:rsid w:val="00D0055E"/>
    <w:rsid w:val="00D0315C"/>
    <w:rsid w:val="00D12CC1"/>
    <w:rsid w:val="00D20A76"/>
    <w:rsid w:val="00D365BE"/>
    <w:rsid w:val="00D41101"/>
    <w:rsid w:val="00D430F8"/>
    <w:rsid w:val="00D56DA8"/>
    <w:rsid w:val="00D621E6"/>
    <w:rsid w:val="00D63BEE"/>
    <w:rsid w:val="00D71CF0"/>
    <w:rsid w:val="00D7294E"/>
    <w:rsid w:val="00D7432A"/>
    <w:rsid w:val="00D950B4"/>
    <w:rsid w:val="00D959A6"/>
    <w:rsid w:val="00DA0CAD"/>
    <w:rsid w:val="00DB39C3"/>
    <w:rsid w:val="00DB4582"/>
    <w:rsid w:val="00DB4E25"/>
    <w:rsid w:val="00DC1964"/>
    <w:rsid w:val="00DE76BD"/>
    <w:rsid w:val="00DF336C"/>
    <w:rsid w:val="00E071A0"/>
    <w:rsid w:val="00E155C0"/>
    <w:rsid w:val="00E16FEF"/>
    <w:rsid w:val="00E17AFE"/>
    <w:rsid w:val="00E3188E"/>
    <w:rsid w:val="00E414CF"/>
    <w:rsid w:val="00E4670D"/>
    <w:rsid w:val="00E46F1D"/>
    <w:rsid w:val="00E50EAE"/>
    <w:rsid w:val="00E55644"/>
    <w:rsid w:val="00E64BC4"/>
    <w:rsid w:val="00E709D7"/>
    <w:rsid w:val="00E74A9D"/>
    <w:rsid w:val="00EA057F"/>
    <w:rsid w:val="00EA2EB0"/>
    <w:rsid w:val="00EA3188"/>
    <w:rsid w:val="00EB43F7"/>
    <w:rsid w:val="00EB664E"/>
    <w:rsid w:val="00EC2E49"/>
    <w:rsid w:val="00EC40FE"/>
    <w:rsid w:val="00EC7D36"/>
    <w:rsid w:val="00ED667D"/>
    <w:rsid w:val="00EE0EA9"/>
    <w:rsid w:val="00EF1322"/>
    <w:rsid w:val="00EF1E08"/>
    <w:rsid w:val="00EF36C2"/>
    <w:rsid w:val="00F0049F"/>
    <w:rsid w:val="00F00A9A"/>
    <w:rsid w:val="00F06030"/>
    <w:rsid w:val="00F0692F"/>
    <w:rsid w:val="00F13469"/>
    <w:rsid w:val="00F20CDD"/>
    <w:rsid w:val="00F22996"/>
    <w:rsid w:val="00F42BC6"/>
    <w:rsid w:val="00F67054"/>
    <w:rsid w:val="00F73992"/>
    <w:rsid w:val="00FA2380"/>
    <w:rsid w:val="00FB348E"/>
    <w:rsid w:val="00FC3CCC"/>
    <w:rsid w:val="00FC706B"/>
    <w:rsid w:val="00FC7D1A"/>
    <w:rsid w:val="00FD58FA"/>
    <w:rsid w:val="00FD7451"/>
    <w:rsid w:val="00FE6F6C"/>
    <w:rsid w:val="00FF3F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D141-2E0B-405C-8F23-10493735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1714</Words>
  <Characters>9771</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7</cp:revision>
  <dcterms:created xsi:type="dcterms:W3CDTF">2024-04-05T01:54:00Z</dcterms:created>
  <dcterms:modified xsi:type="dcterms:W3CDTF">2024-04-05T04:00:00Z</dcterms:modified>
</cp:coreProperties>
</file>