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075CAE9"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DB1CBF">
        <w:rPr>
          <w:rFonts w:eastAsia="宋体" w:hint="eastAsia"/>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w:t>
      </w:r>
      <w:r w:rsidR="00E10739">
        <w:rPr>
          <w:rFonts w:eastAsia="宋体"/>
          <w:sz w:val="22"/>
          <w:lang w:eastAsia="zh-CN"/>
        </w:rPr>
        <w:t>1</w:t>
      </w:r>
      <w:r w:rsidR="00B92A2F">
        <w:rPr>
          <w:rFonts w:eastAsia="宋体" w:hint="eastAsia"/>
          <w:sz w:val="22"/>
          <w:lang w:eastAsia="zh-CN"/>
        </w:rPr>
        <w:t>1234</w:t>
      </w:r>
    </w:p>
    <w:p w14:paraId="6ED628F2" w14:textId="11ADB8AE" w:rsidR="003D3369" w:rsidRDefault="00E10739" w:rsidP="003D3369">
      <w:pPr>
        <w:pStyle w:val="Header"/>
        <w:tabs>
          <w:tab w:val="left" w:pos="1800"/>
        </w:tabs>
        <w:ind w:left="1800" w:hanging="1800"/>
        <w:rPr>
          <w:rFonts w:eastAsia="宋体"/>
          <w:sz w:val="22"/>
          <w:lang w:eastAsia="zh-CN"/>
        </w:rPr>
      </w:pPr>
      <w:r>
        <w:rPr>
          <w:rFonts w:eastAsia="宋体" w:hint="eastAsia"/>
          <w:sz w:val="22"/>
          <w:lang w:eastAsia="zh-CN"/>
        </w:rPr>
        <w:t>Chicago</w:t>
      </w:r>
      <w:r w:rsidR="00625CC1">
        <w:rPr>
          <w:rFonts w:eastAsia="宋体"/>
          <w:sz w:val="22"/>
          <w:lang w:eastAsia="zh-CN"/>
        </w:rPr>
        <w:t>,</w:t>
      </w:r>
      <w:r w:rsidR="003D3369" w:rsidRPr="00240590">
        <w:rPr>
          <w:rFonts w:eastAsia="宋体"/>
          <w:sz w:val="22"/>
          <w:lang w:eastAsia="zh-CN"/>
        </w:rPr>
        <w:t xml:space="preserve"> </w:t>
      </w:r>
      <w:r>
        <w:rPr>
          <w:rFonts w:eastAsia="宋体" w:hint="eastAsia"/>
          <w:sz w:val="22"/>
          <w:lang w:eastAsia="zh-CN"/>
        </w:rPr>
        <w:t>USA</w:t>
      </w:r>
      <w:r w:rsidR="003E699F">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Pr>
          <w:rFonts w:eastAsia="宋体"/>
          <w:sz w:val="22"/>
          <w:lang w:eastAsia="zh-CN"/>
        </w:rPr>
        <w:t>13</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3E699F">
        <w:rPr>
          <w:rFonts w:eastAsia="宋体"/>
          <w:sz w:val="22"/>
          <w:lang w:eastAsia="zh-CN"/>
        </w:rPr>
        <w:t>1</w:t>
      </w:r>
      <w:r>
        <w:rPr>
          <w:rFonts w:eastAsia="宋体"/>
          <w:sz w:val="22"/>
          <w:lang w:eastAsia="zh-CN"/>
        </w:rPr>
        <w:t>7</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CC25A3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3E699F">
        <w:rPr>
          <w:sz w:val="22"/>
        </w:rPr>
        <w:t xml:space="preserve">Reply </w:t>
      </w:r>
      <w:r w:rsidR="007B04CD">
        <w:rPr>
          <w:sz w:val="22"/>
        </w:rPr>
        <w:t xml:space="preserve">LS on </w:t>
      </w:r>
      <w:r w:rsidR="003E699F">
        <w:rPr>
          <w:sz w:val="22"/>
        </w:rPr>
        <w:t>beam application time for LTM</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C2DC160" w14:textId="5A7E655C" w:rsidR="003E699F" w:rsidRDefault="00CF735F" w:rsidP="00CF735F">
      <w:pPr>
        <w:pStyle w:val="00Text"/>
      </w:pPr>
      <w:bookmarkStart w:id="0" w:name="_Hlk30969022"/>
      <w:r>
        <w:t>RAN</w:t>
      </w:r>
      <w:r w:rsidR="00E45825">
        <w:t>4</w:t>
      </w:r>
      <w:r>
        <w:t xml:space="preserve"> sent </w:t>
      </w:r>
      <w:r w:rsidR="003E699F">
        <w:t xml:space="preserve">Reply </w:t>
      </w:r>
      <w:r>
        <w:t xml:space="preserve">LS [1] to </w:t>
      </w:r>
      <w:r w:rsidR="003E699F">
        <w:t xml:space="preserve">clarify that there is no RAN2 spec impact with regard to beam application time and also ask RAN1 and RAN4 to decide the value of the beam application time. </w:t>
      </w:r>
    </w:p>
    <w:bookmarkEnd w:id="0"/>
    <w:p w14:paraId="6EB79FBC" w14:textId="3B357932" w:rsidR="002328B0" w:rsidRDefault="00910351" w:rsidP="005529D6">
      <w:pPr>
        <w:pStyle w:val="01"/>
        <w:numPr>
          <w:ilvl w:val="0"/>
          <w:numId w:val="1"/>
        </w:numPr>
        <w:ind w:left="562" w:hanging="562"/>
      </w:pPr>
      <w:r>
        <w:t>Discussion</w:t>
      </w:r>
    </w:p>
    <w:p w14:paraId="33A6FE7C" w14:textId="55E5ADB3" w:rsidR="00910351" w:rsidRDefault="00910351" w:rsidP="001D0E54">
      <w:pPr>
        <w:pStyle w:val="00Text"/>
      </w:pPr>
      <w:r>
        <w:t xml:space="preserve">In </w:t>
      </w:r>
      <w:r w:rsidR="00B2251A">
        <w:rPr>
          <w:rFonts w:hint="eastAsia"/>
        </w:rPr>
        <w:t>Reply</w:t>
      </w:r>
      <w:r w:rsidR="00B2251A">
        <w:t xml:space="preserve"> </w:t>
      </w:r>
      <w:r>
        <w:t>LS [1], RAN</w:t>
      </w:r>
      <w:r w:rsidR="00E45825">
        <w:t>4</w:t>
      </w:r>
      <w:r>
        <w:t xml:space="preserve"> </w:t>
      </w:r>
      <w:r w:rsidR="00DB4FB7">
        <w:t>explain their views on beam application time</w:t>
      </w:r>
      <w:r>
        <w:t>:</w:t>
      </w:r>
    </w:p>
    <w:tbl>
      <w:tblPr>
        <w:tblStyle w:val="TableGrid"/>
        <w:tblW w:w="0" w:type="auto"/>
        <w:tblLook w:val="04A0" w:firstRow="1" w:lastRow="0" w:firstColumn="1" w:lastColumn="0" w:noHBand="0" w:noVBand="1"/>
      </w:tblPr>
      <w:tblGrid>
        <w:gridCol w:w="9062"/>
      </w:tblGrid>
      <w:tr w:rsidR="00910351" w14:paraId="62657F26" w14:textId="77777777" w:rsidTr="00910351">
        <w:tc>
          <w:tcPr>
            <w:tcW w:w="9062" w:type="dxa"/>
          </w:tcPr>
          <w:p w14:paraId="08AFFC0F" w14:textId="012C845D" w:rsidR="00910351" w:rsidRDefault="00E45825" w:rsidP="00910351">
            <w:pPr>
              <w:pStyle w:val="00Text"/>
              <w:rPr>
                <w:lang w:val="en-GB"/>
              </w:rPr>
            </w:pPr>
            <w:r w:rsidRPr="00E45825">
              <w:rPr>
                <w:lang w:val="en-GB"/>
              </w:rPr>
              <w:t>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bl>
    <w:p w14:paraId="521D7C2B" w14:textId="04FEEA64" w:rsidR="007677AF" w:rsidRDefault="007677AF" w:rsidP="00DB4FB7">
      <w:pPr>
        <w:pStyle w:val="00Text"/>
      </w:pPr>
      <w:r>
        <w:t>As RAN4 explained, the current cell switch delay defined in RAN4 can already cover the TCI state application time and there is no need to include additional beam application time. Thus, in RAN1 specification, there is no need to define beam application time for LTM TCI state.</w:t>
      </w:r>
    </w:p>
    <w:p w14:paraId="13566375" w14:textId="77777777" w:rsidR="007677AF" w:rsidRDefault="007677AF" w:rsidP="007677AF">
      <w:pPr>
        <w:pStyle w:val="00Text"/>
        <w:rPr>
          <w:b/>
          <w:bCs/>
          <w:i/>
          <w:iCs/>
        </w:rPr>
      </w:pPr>
      <w:r w:rsidRPr="00252541">
        <w:rPr>
          <w:b/>
          <w:bCs/>
          <w:i/>
          <w:iCs/>
        </w:rPr>
        <w:t xml:space="preserve">Proposal 1: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LTM TCI state.</w:t>
      </w:r>
    </w:p>
    <w:p w14:paraId="17CE62DD" w14:textId="0DC33E25" w:rsidR="00DB4FB7" w:rsidRDefault="007677AF" w:rsidP="00DB4FB7">
      <w:pPr>
        <w:pStyle w:val="00Text"/>
      </w:pPr>
      <w:r w:rsidRPr="007677AF">
        <w:rPr>
          <w:i/>
          <w:iCs/>
        </w:rPr>
        <w:t xml:space="preserve">Furthermore, to </w:t>
      </w:r>
      <w:r w:rsidR="00DB4FB7" w:rsidRPr="007677AF">
        <w:t xml:space="preserve">consider </w:t>
      </w:r>
      <w:r>
        <w:t>when the TCI state shall be applied during LTM handover</w:t>
      </w:r>
      <w:r w:rsidR="00DB4FB7" w:rsidRPr="007677AF">
        <w:t>, we shall first consider the whole procedure of LTM mobility latency</w:t>
      </w:r>
      <w:r w:rsidR="00DB4FB7">
        <w:t>. The TCI state(s) indicated in cell switch command are applied on the first DL/UL reception/transmission in the target cell. The components of LTM mobility latency are:</w:t>
      </w:r>
    </w:p>
    <w:p w14:paraId="63B36B29" w14:textId="77777777" w:rsidR="00DB4FB7" w:rsidRDefault="00DB4FB7" w:rsidP="00DB4FB7">
      <w:pPr>
        <w:pStyle w:val="00Text"/>
        <w:jc w:val="center"/>
      </w:pPr>
      <w:r>
        <w:rPr>
          <w:noProof/>
        </w:rPr>
        <w:drawing>
          <wp:inline distT="0" distB="0" distL="0" distR="0" wp14:anchorId="308CA163" wp14:editId="72F61059">
            <wp:extent cx="5760720" cy="1556871"/>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0720" cy="1556871"/>
                    </a:xfrm>
                    <a:prstGeom prst="rect">
                      <a:avLst/>
                    </a:prstGeom>
                    <a:noFill/>
                  </pic:spPr>
                </pic:pic>
              </a:graphicData>
            </a:graphic>
          </wp:inline>
        </w:drawing>
      </w:r>
    </w:p>
    <w:p w14:paraId="7522EA8B" w14:textId="6CC6D621" w:rsidR="00DB4FB7" w:rsidRPr="00480032" w:rsidRDefault="00DB4FB7" w:rsidP="00DB4FB7">
      <w:pPr>
        <w:pStyle w:val="00Text"/>
        <w:jc w:val="center"/>
        <w:rPr>
          <w:b/>
          <w:bCs/>
        </w:rPr>
      </w:pPr>
      <w:r w:rsidRPr="00480032">
        <w:rPr>
          <w:b/>
          <w:bCs/>
        </w:rPr>
        <w:t>LTM latency components</w:t>
      </w:r>
    </w:p>
    <w:p w14:paraId="578CD0DA" w14:textId="77777777" w:rsidR="00DB4FB7" w:rsidRDefault="00DB4FB7" w:rsidP="00DB4FB7">
      <w:pPr>
        <w:pStyle w:val="00Text"/>
      </w:pPr>
      <w:r>
        <w:t>As shown in the figure, the indicated TCI state(s) shall be applied to the first DL reception and UL transmission in the new target cell.  We might meet various scenarios for the latency between the first DL/UL reception/transmission and the LTM cell switch command:</w:t>
      </w:r>
    </w:p>
    <w:p w14:paraId="50352CDC" w14:textId="77777777" w:rsidR="00DB4FB7" w:rsidRDefault="00DB4FB7" w:rsidP="00DB4FB7">
      <w:pPr>
        <w:pStyle w:val="00Text"/>
        <w:numPr>
          <w:ilvl w:val="0"/>
          <w:numId w:val="44"/>
        </w:numPr>
      </w:pPr>
      <w:r>
        <w:t>Case 1: the UE achieves DL and UL synchronization to the target cell before the cell switch command. Thus, the latency between the cell switch command and the first data in new cell is T</w:t>
      </w:r>
      <w:r w:rsidRPr="00987350">
        <w:rPr>
          <w:vertAlign w:val="subscript"/>
        </w:rPr>
        <w:t>cmd</w:t>
      </w:r>
      <w:r>
        <w:t>+T</w:t>
      </w:r>
      <w:r w:rsidRPr="00987350">
        <w:rPr>
          <w:vertAlign w:val="subscript"/>
        </w:rPr>
        <w:t>processing,2</w:t>
      </w:r>
      <w:r>
        <w:t>, which includes the time for processing the LTM cell switch MAC CE command and time for UE processing after cell switch command, which may include the L2/L3 reconfiguration, RF tuning, baseband retuning, security check, etc.</w:t>
      </w:r>
    </w:p>
    <w:p w14:paraId="2306E2D1" w14:textId="77777777" w:rsidR="00DB4FB7" w:rsidRDefault="00DB4FB7" w:rsidP="00DB4FB7">
      <w:pPr>
        <w:pStyle w:val="00Text"/>
        <w:numPr>
          <w:ilvl w:val="0"/>
          <w:numId w:val="44"/>
        </w:numPr>
      </w:pPr>
      <w:r>
        <w:t>Case 2: the UE achieves DL synchronization of the target cell before the cell switch command. The latency between cell switch command and the first data is T</w:t>
      </w:r>
      <w:r w:rsidRPr="00987350">
        <w:rPr>
          <w:vertAlign w:val="subscript"/>
        </w:rPr>
        <w:t>cmd</w:t>
      </w:r>
      <w:r>
        <w:t>+T</w:t>
      </w:r>
      <w:r w:rsidRPr="00987350">
        <w:rPr>
          <w:vertAlign w:val="subscript"/>
        </w:rPr>
        <w:t>processing,2</w:t>
      </w:r>
      <w:r>
        <w:t>+</w:t>
      </w:r>
      <w:r w:rsidRPr="003E7039">
        <w:t xml:space="preserve"> </w:t>
      </w:r>
      <w:r>
        <w:t>T</w:t>
      </w:r>
      <w:r>
        <w:rPr>
          <w:vertAlign w:val="subscript"/>
        </w:rPr>
        <w:t>search</w:t>
      </w:r>
      <w:r>
        <w:t>+</w:t>
      </w:r>
      <w:r w:rsidRPr="003E7039">
        <w:t xml:space="preserve"> </w:t>
      </w:r>
      <w:r>
        <w:t>T</w:t>
      </w:r>
      <w:r>
        <w:rPr>
          <w:vertAlign w:val="subscript"/>
        </w:rPr>
        <w:t>Δ</w:t>
      </w:r>
      <w:r>
        <w:t xml:space="preserve"> +T</w:t>
      </w:r>
      <w:r>
        <w:rPr>
          <w:vertAlign w:val="subscript"/>
        </w:rPr>
        <w:t>margin</w:t>
      </w:r>
      <w:r>
        <w:t>.</w:t>
      </w:r>
    </w:p>
    <w:p w14:paraId="5A383F2B" w14:textId="77777777" w:rsidR="00DB4FB7" w:rsidRPr="00987350" w:rsidRDefault="00DB4FB7" w:rsidP="00DB4FB7">
      <w:pPr>
        <w:pStyle w:val="00Text"/>
        <w:numPr>
          <w:ilvl w:val="0"/>
          <w:numId w:val="44"/>
        </w:numPr>
      </w:pPr>
      <w:r>
        <w:lastRenderedPageBreak/>
        <w:t>Case 3: the UE needs to conduct both DL synchronization and UL synchronization of the target cell. The latency between the cell switch command and the first data in the new cell would be: T</w:t>
      </w:r>
      <w:r w:rsidRPr="00987350">
        <w:rPr>
          <w:vertAlign w:val="subscript"/>
        </w:rPr>
        <w:t>cmd</w:t>
      </w:r>
      <w:r>
        <w:t>+T</w:t>
      </w:r>
      <w:r w:rsidRPr="00987350">
        <w:rPr>
          <w:vertAlign w:val="subscript"/>
        </w:rPr>
        <w:t>processing,2</w:t>
      </w:r>
      <w:r>
        <w:t>+ DL synchronization time + UL synchronization time.</w:t>
      </w:r>
    </w:p>
    <w:p w14:paraId="4241549F" w14:textId="20251D65" w:rsidR="00DB4FB7" w:rsidRDefault="00DB4FB7" w:rsidP="00DB4FB7">
      <w:pPr>
        <w:pStyle w:val="00Text"/>
      </w:pPr>
      <w:r>
        <w:t xml:space="preserve">In either of those scenarios, the TCI state indicated in the MAC CE cell switch command shall be applied to the first data in the new cell. </w:t>
      </w:r>
      <w:r w:rsidR="00250275">
        <w:t>Therefore, d</w:t>
      </w:r>
      <w:r>
        <w:t>efining a</w:t>
      </w:r>
      <w:r w:rsidR="00250275">
        <w:t>n</w:t>
      </w:r>
      <w:r>
        <w:t xml:space="preserve"> application time </w:t>
      </w:r>
      <w:r w:rsidR="00250275">
        <w:t>is not</w:t>
      </w:r>
      <w:r>
        <w:t xml:space="preserve"> needed</w:t>
      </w:r>
      <w:r w:rsidR="00250275">
        <w:t>.</w:t>
      </w:r>
      <w:r>
        <w:t xml:space="preserve"> </w:t>
      </w:r>
      <w:r w:rsidR="00250275">
        <w:t>T</w:t>
      </w:r>
      <w:r>
        <w:t>he latency in either scenarios would be sufficient for beam application.</w:t>
      </w:r>
      <w:r w:rsidR="00250275">
        <w:t xml:space="preserve"> And the indicated TCI state(s) shall be applied starting from the first slot where the first DL or UL transmission happens in the new cell.</w:t>
      </w:r>
    </w:p>
    <w:p w14:paraId="7002796D" w14:textId="31A6ECE2" w:rsidR="00250275" w:rsidRPr="00252541" w:rsidRDefault="00250275" w:rsidP="001D0E54">
      <w:pPr>
        <w:pStyle w:val="00Text"/>
        <w:rPr>
          <w:b/>
          <w:bCs/>
          <w:i/>
          <w:iCs/>
        </w:rPr>
      </w:pPr>
      <w:r>
        <w:rPr>
          <w:b/>
          <w:bCs/>
          <w:i/>
          <w:iCs/>
        </w:rPr>
        <w:t xml:space="preserve">Proposal 2: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3882022D" w14:textId="77777777" w:rsidR="00071427" w:rsidRDefault="00071427" w:rsidP="00071427">
      <w:pPr>
        <w:pStyle w:val="01"/>
        <w:numPr>
          <w:ilvl w:val="0"/>
          <w:numId w:val="1"/>
        </w:numPr>
        <w:ind w:left="562" w:hanging="562"/>
      </w:pPr>
      <w:r>
        <w:t>Conclusions</w:t>
      </w:r>
    </w:p>
    <w:p w14:paraId="3763984B" w14:textId="11F5F026"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w:t>
      </w:r>
      <w:r w:rsidR="009D1684">
        <w:rPr>
          <w:b w:val="0"/>
          <w:bCs w:val="0"/>
          <w:i w:val="0"/>
          <w:iCs w:val="0"/>
        </w:rPr>
        <w:t xml:space="preserve">on </w:t>
      </w:r>
      <w:r w:rsidR="000462FC">
        <w:rPr>
          <w:rFonts w:hint="eastAsia"/>
          <w:b w:val="0"/>
          <w:bCs w:val="0"/>
          <w:i w:val="0"/>
          <w:iCs w:val="0"/>
        </w:rPr>
        <w:t>deciding</w:t>
      </w:r>
      <w:r w:rsidR="000462FC">
        <w:rPr>
          <w:b w:val="0"/>
          <w:bCs w:val="0"/>
          <w:i w:val="0"/>
          <w:iCs w:val="0"/>
        </w:rPr>
        <w:t xml:space="preserve"> the beam application time for LTM</w:t>
      </w:r>
      <w:r w:rsidR="005808DE">
        <w:rPr>
          <w:b w:val="0"/>
          <w:bCs w:val="0"/>
          <w:i w:val="0"/>
          <w:iCs w:val="0"/>
        </w:rPr>
        <w:t xml:space="preserve"> and the following proposals are made</w:t>
      </w:r>
      <w:r w:rsidR="005F47B2">
        <w:rPr>
          <w:b w:val="0"/>
          <w:bCs w:val="0"/>
          <w:i w:val="0"/>
          <w:iCs w:val="0"/>
        </w:rPr>
        <w:t>:</w:t>
      </w:r>
    </w:p>
    <w:p w14:paraId="04C5CE80" w14:textId="77777777" w:rsidR="009D0DC8" w:rsidRDefault="009D0DC8" w:rsidP="009D0DC8">
      <w:pPr>
        <w:pStyle w:val="00Text"/>
        <w:rPr>
          <w:b/>
          <w:bCs/>
          <w:i/>
          <w:iCs/>
        </w:rPr>
      </w:pPr>
      <w:r w:rsidRPr="00252541">
        <w:rPr>
          <w:b/>
          <w:bCs/>
          <w:i/>
          <w:iCs/>
        </w:rPr>
        <w:t xml:space="preserve">Proposal 1: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LTM TCI state.</w:t>
      </w:r>
    </w:p>
    <w:p w14:paraId="6D6642C3" w14:textId="77777777" w:rsidR="009D1684" w:rsidRPr="00252541" w:rsidRDefault="009D1684" w:rsidP="009D1684">
      <w:pPr>
        <w:pStyle w:val="00Text"/>
        <w:rPr>
          <w:b/>
          <w:bCs/>
          <w:i/>
          <w:iCs/>
        </w:rPr>
      </w:pPr>
      <w:r>
        <w:rPr>
          <w:b/>
          <w:bCs/>
          <w:i/>
          <w:iCs/>
        </w:rPr>
        <w:t xml:space="preserve">Proposal 2: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F2C4313" w:rsidR="002B3587" w:rsidRDefault="002B3587" w:rsidP="002328B0">
      <w:pPr>
        <w:pStyle w:val="05reference"/>
        <w:rPr>
          <w:szCs w:val="20"/>
          <w:lang w:val="it-IT"/>
        </w:rPr>
      </w:pPr>
      <w:r>
        <w:rPr>
          <w:szCs w:val="20"/>
          <w:lang w:val="it-IT"/>
        </w:rPr>
        <w:t>R</w:t>
      </w:r>
      <w:r w:rsidR="00E45825">
        <w:rPr>
          <w:szCs w:val="20"/>
          <w:lang w:val="it-IT"/>
        </w:rPr>
        <w:t>4</w:t>
      </w:r>
      <w:r>
        <w:rPr>
          <w:szCs w:val="20"/>
          <w:lang w:val="it-IT"/>
        </w:rPr>
        <w:t>-</w:t>
      </w:r>
      <w:r w:rsidR="00A43007">
        <w:rPr>
          <w:szCs w:val="20"/>
          <w:lang w:val="it-IT"/>
        </w:rPr>
        <w:t>2</w:t>
      </w:r>
      <w:r w:rsidR="007B04CD">
        <w:rPr>
          <w:szCs w:val="20"/>
          <w:lang w:val="it-IT"/>
        </w:rPr>
        <w:t>3</w:t>
      </w:r>
      <w:r w:rsidR="00E45825">
        <w:rPr>
          <w:szCs w:val="20"/>
          <w:lang w:val="it-IT"/>
        </w:rPr>
        <w:t xml:space="preserve">17331 </w:t>
      </w:r>
      <w:r w:rsidR="003E699F">
        <w:rPr>
          <w:szCs w:val="20"/>
          <w:lang w:val="it-IT"/>
        </w:rPr>
        <w:t xml:space="preserve">Reply </w:t>
      </w:r>
      <w:r w:rsidR="007B04CD">
        <w:rPr>
          <w:szCs w:val="20"/>
          <w:lang w:val="it-IT"/>
        </w:rPr>
        <w:t xml:space="preserve">LS on </w:t>
      </w:r>
      <w:r w:rsidR="003E699F">
        <w:rPr>
          <w:szCs w:val="20"/>
          <w:lang w:val="it-IT"/>
        </w:rPr>
        <w:t>beam application time for LTM</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97AC" w14:textId="77777777" w:rsidR="00CF4307" w:rsidRDefault="00CF4307">
      <w:r>
        <w:separator/>
      </w:r>
    </w:p>
  </w:endnote>
  <w:endnote w:type="continuationSeparator" w:id="0">
    <w:p w14:paraId="30A9EEA5" w14:textId="77777777" w:rsidR="00CF4307" w:rsidRDefault="00CF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0CD3C" w14:textId="77777777" w:rsidR="00CF4307" w:rsidRDefault="00CF4307">
      <w:r>
        <w:separator/>
      </w:r>
    </w:p>
  </w:footnote>
  <w:footnote w:type="continuationSeparator" w:id="0">
    <w:p w14:paraId="5806AE3D" w14:textId="77777777" w:rsidR="00CF4307" w:rsidRDefault="00CF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1"/>
  </w:num>
  <w:num w:numId="2" w16cid:durableId="1944416363">
    <w:abstractNumId w:val="14"/>
  </w:num>
  <w:num w:numId="3" w16cid:durableId="1741516900">
    <w:abstractNumId w:val="27"/>
  </w:num>
  <w:num w:numId="4" w16cid:durableId="1182012628">
    <w:abstractNumId w:val="21"/>
  </w:num>
  <w:num w:numId="5" w16cid:durableId="1566532291">
    <w:abstractNumId w:val="26"/>
  </w:num>
  <w:num w:numId="6" w16cid:durableId="1727801815">
    <w:abstractNumId w:val="23"/>
  </w:num>
  <w:num w:numId="7" w16cid:durableId="517502900">
    <w:abstractNumId w:val="36"/>
  </w:num>
  <w:num w:numId="8" w16cid:durableId="257756594">
    <w:abstractNumId w:val="1"/>
  </w:num>
  <w:num w:numId="9" w16cid:durableId="1417484016">
    <w:abstractNumId w:val="15"/>
  </w:num>
  <w:num w:numId="10" w16cid:durableId="750196563">
    <w:abstractNumId w:val="37"/>
  </w:num>
  <w:num w:numId="11" w16cid:durableId="352848008">
    <w:abstractNumId w:val="17"/>
  </w:num>
  <w:num w:numId="12" w16cid:durableId="1171481596">
    <w:abstractNumId w:val="6"/>
  </w:num>
  <w:num w:numId="13" w16cid:durableId="1627270826">
    <w:abstractNumId w:val="19"/>
  </w:num>
  <w:num w:numId="14" w16cid:durableId="860358596">
    <w:abstractNumId w:val="31"/>
  </w:num>
  <w:num w:numId="15" w16cid:durableId="231551262">
    <w:abstractNumId w:val="34"/>
  </w:num>
  <w:num w:numId="16" w16cid:durableId="485980003">
    <w:abstractNumId w:val="11"/>
  </w:num>
  <w:num w:numId="17" w16cid:durableId="1933858072">
    <w:abstractNumId w:val="20"/>
  </w:num>
  <w:num w:numId="18" w16cid:durableId="418059524">
    <w:abstractNumId w:val="20"/>
  </w:num>
  <w:num w:numId="19" w16cid:durableId="958679319">
    <w:abstractNumId w:val="5"/>
  </w:num>
  <w:num w:numId="20" w16cid:durableId="1005742920">
    <w:abstractNumId w:val="2"/>
  </w:num>
  <w:num w:numId="21" w16cid:durableId="1794714595">
    <w:abstractNumId w:val="8"/>
  </w:num>
  <w:num w:numId="22" w16cid:durableId="2037540987">
    <w:abstractNumId w:val="4"/>
  </w:num>
  <w:num w:numId="23" w16cid:durableId="1492716823">
    <w:abstractNumId w:val="39"/>
  </w:num>
  <w:num w:numId="24" w16cid:durableId="1157067092">
    <w:abstractNumId w:val="13"/>
  </w:num>
  <w:num w:numId="25" w16cid:durableId="3485824">
    <w:abstractNumId w:val="40"/>
  </w:num>
  <w:num w:numId="26" w16cid:durableId="1466315653">
    <w:abstractNumId w:val="33"/>
  </w:num>
  <w:num w:numId="27" w16cid:durableId="608243707">
    <w:abstractNumId w:val="10"/>
  </w:num>
  <w:num w:numId="28" w16cid:durableId="412968607">
    <w:abstractNumId w:val="16"/>
  </w:num>
  <w:num w:numId="29" w16cid:durableId="1553494074">
    <w:abstractNumId w:val="9"/>
  </w:num>
  <w:num w:numId="30" w16cid:durableId="322395053">
    <w:abstractNumId w:val="10"/>
  </w:num>
  <w:num w:numId="31" w16cid:durableId="925961416">
    <w:abstractNumId w:val="7"/>
  </w:num>
  <w:num w:numId="32" w16cid:durableId="1995719317">
    <w:abstractNumId w:val="18"/>
  </w:num>
  <w:num w:numId="33" w16cid:durableId="281617147">
    <w:abstractNumId w:val="32"/>
  </w:num>
  <w:num w:numId="34" w16cid:durableId="1628972513">
    <w:abstractNumId w:val="35"/>
  </w:num>
  <w:num w:numId="35" w16cid:durableId="1547330560">
    <w:abstractNumId w:val="29"/>
  </w:num>
  <w:num w:numId="36" w16cid:durableId="1148278101">
    <w:abstractNumId w:val="30"/>
  </w:num>
  <w:num w:numId="37" w16cid:durableId="774397993">
    <w:abstractNumId w:val="38"/>
  </w:num>
  <w:num w:numId="38" w16cid:durableId="154534803">
    <w:abstractNumId w:val="25"/>
  </w:num>
  <w:num w:numId="39" w16cid:durableId="266081159">
    <w:abstractNumId w:val="28"/>
  </w:num>
  <w:num w:numId="40" w16cid:durableId="2141993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4"/>
  </w:num>
  <w:num w:numId="43" w16cid:durableId="2124377455">
    <w:abstractNumId w:val="0"/>
  </w:num>
  <w:num w:numId="44" w16cid:durableId="12776343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462FC"/>
    <w:rsid w:val="00052A3E"/>
    <w:rsid w:val="00054E22"/>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0275"/>
    <w:rsid w:val="00252541"/>
    <w:rsid w:val="00255EFE"/>
    <w:rsid w:val="002563C3"/>
    <w:rsid w:val="00256423"/>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E699F"/>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C47B2"/>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8DE"/>
    <w:rsid w:val="005809A8"/>
    <w:rsid w:val="00582632"/>
    <w:rsid w:val="00582C25"/>
    <w:rsid w:val="00583D15"/>
    <w:rsid w:val="00586240"/>
    <w:rsid w:val="00591507"/>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0E85"/>
    <w:rsid w:val="006C15F8"/>
    <w:rsid w:val="006C2EAF"/>
    <w:rsid w:val="006C4D97"/>
    <w:rsid w:val="006C4EF9"/>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677AF"/>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0DC8"/>
    <w:rsid w:val="009D14E0"/>
    <w:rsid w:val="009D1684"/>
    <w:rsid w:val="009D20C6"/>
    <w:rsid w:val="009D482C"/>
    <w:rsid w:val="009E1CA5"/>
    <w:rsid w:val="009E240D"/>
    <w:rsid w:val="009E277A"/>
    <w:rsid w:val="009E47A4"/>
    <w:rsid w:val="009E5BDD"/>
    <w:rsid w:val="009E7068"/>
    <w:rsid w:val="009F32AB"/>
    <w:rsid w:val="009F3DFF"/>
    <w:rsid w:val="009F6322"/>
    <w:rsid w:val="009F6EFA"/>
    <w:rsid w:val="00A046E0"/>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251A"/>
    <w:rsid w:val="00B266DE"/>
    <w:rsid w:val="00B27537"/>
    <w:rsid w:val="00B30B2A"/>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2A2F"/>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1C46"/>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2DA1"/>
    <w:rsid w:val="00CE533B"/>
    <w:rsid w:val="00CF1473"/>
    <w:rsid w:val="00CF4307"/>
    <w:rsid w:val="00CF735F"/>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1CBF"/>
    <w:rsid w:val="00DB2858"/>
    <w:rsid w:val="00DB4FB7"/>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073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5825"/>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2023-11-01T04:41:00Z</dcterms:modified>
</cp:coreProperties>
</file>