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FA714" w14:textId="68AD0554" w:rsidR="0021383F" w:rsidRPr="00D82A22" w:rsidRDefault="009109C4" w:rsidP="009109C4">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w:t>
      </w:r>
      <w:r w:rsidR="00D94940">
        <w:rPr>
          <w:rFonts w:cs="Arial"/>
          <w:noProof w:val="0"/>
          <w:sz w:val="28"/>
          <w:szCs w:val="28"/>
          <w:lang w:val="en-US"/>
        </w:rPr>
        <w:t>4</w:t>
      </w:r>
      <w:r w:rsidRPr="00402628">
        <w:rPr>
          <w:rFonts w:cs="Arial"/>
          <w:noProof w:val="0"/>
          <w:sz w:val="28"/>
          <w:szCs w:val="28"/>
          <w:lang w:val="en-US"/>
        </w:rPr>
        <w:tab/>
      </w:r>
      <w:r w:rsidRPr="007108AA">
        <w:rPr>
          <w:rFonts w:cs="Arial"/>
          <w:noProof w:val="0"/>
          <w:sz w:val="28"/>
          <w:szCs w:val="28"/>
          <w:lang w:val="en-US"/>
        </w:rPr>
        <w:t>R1-2</w:t>
      </w:r>
      <w:r w:rsidR="002255F7" w:rsidRPr="007108AA">
        <w:rPr>
          <w:rFonts w:cs="Arial"/>
          <w:noProof w:val="0"/>
          <w:sz w:val="28"/>
          <w:szCs w:val="28"/>
          <w:lang w:val="en-US"/>
        </w:rPr>
        <w:t>3</w:t>
      </w:r>
      <w:r w:rsidR="00E50E05">
        <w:rPr>
          <w:rFonts w:cs="Arial"/>
          <w:noProof w:val="0"/>
          <w:sz w:val="28"/>
          <w:szCs w:val="28"/>
          <w:lang w:val="en-US"/>
        </w:rPr>
        <w:t>0</w:t>
      </w:r>
      <w:r w:rsidR="00343051">
        <w:rPr>
          <w:rFonts w:cs="Arial"/>
          <w:noProof w:val="0"/>
          <w:sz w:val="28"/>
          <w:szCs w:val="28"/>
          <w:lang w:val="en-US"/>
        </w:rPr>
        <w:t>7731</w:t>
      </w:r>
    </w:p>
    <w:bookmarkEnd w:id="0"/>
    <w:p w14:paraId="4CD22CCC" w14:textId="5B213AA9" w:rsidR="00E50E05" w:rsidRPr="00D91FF7" w:rsidRDefault="00D94940" w:rsidP="00E50E05">
      <w:pPr>
        <w:pStyle w:val="a3"/>
        <w:rPr>
          <w:rFonts w:asciiTheme="majorHAnsi" w:hAnsiTheme="majorHAnsi" w:cstheme="majorHAnsi"/>
          <w:bCs/>
          <w:sz w:val="28"/>
          <w:lang w:val="en-US"/>
        </w:rPr>
      </w:pPr>
      <w:r w:rsidRPr="00D94940">
        <w:rPr>
          <w:rFonts w:asciiTheme="majorHAnsi" w:eastAsia="SimSun" w:hAnsiTheme="majorHAnsi" w:cstheme="majorHAnsi"/>
          <w:sz w:val="28"/>
          <w:szCs w:val="28"/>
          <w:lang w:val="en-US" w:eastAsia="zh-CN"/>
        </w:rPr>
        <w:t>Toulouse, France, August 21</w:t>
      </w:r>
      <w:r w:rsidR="004E5316">
        <w:rPr>
          <w:rFonts w:asciiTheme="majorHAnsi" w:eastAsia="SimSun" w:hAnsiTheme="majorHAnsi" w:cstheme="majorHAnsi"/>
          <w:sz w:val="28"/>
          <w:szCs w:val="28"/>
          <w:lang w:val="en-US" w:eastAsia="zh-CN"/>
        </w:rPr>
        <w:t>th</w:t>
      </w:r>
      <w:bookmarkStart w:id="2" w:name="_GoBack"/>
      <w:bookmarkEnd w:id="2"/>
      <w:r w:rsidRPr="00D94940">
        <w:rPr>
          <w:rFonts w:asciiTheme="majorHAnsi" w:eastAsia="SimSun" w:hAnsiTheme="majorHAnsi" w:cstheme="majorHAnsi"/>
          <w:sz w:val="28"/>
          <w:szCs w:val="28"/>
          <w:lang w:val="en-US" w:eastAsia="zh-CN"/>
        </w:rPr>
        <w:t xml:space="preserve"> – 25th,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E84179" w:rsidRPr="00586EB1" w:rsidRDefault="00E84179"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E84179" w:rsidRPr="00586EB1" w:rsidRDefault="00E84179"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E84179" w:rsidRPr="00586EB1" w:rsidRDefault="00E84179"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E84179" w:rsidRPr="00586EB1" w:rsidRDefault="00E84179"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E84179" w:rsidRPr="00586EB1" w:rsidRDefault="00E84179"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E84179" w:rsidRPr="00586EB1" w:rsidRDefault="00E84179"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5E79CCEC" w14:textId="77777777" w:rsidR="00F55536" w:rsidRDefault="00D76DC2" w:rsidP="00FC4C50">
      <w:pPr>
        <w:pStyle w:val="10"/>
        <w:spacing w:after="180"/>
      </w:pPr>
      <w:r>
        <w:t>D</w:t>
      </w:r>
      <w:r w:rsidR="00D17E22">
        <w:t>iscussion</w:t>
      </w:r>
      <w:r w:rsidR="00FC4C50">
        <w:t>s</w:t>
      </w:r>
    </w:p>
    <w:p w14:paraId="1B4EC2D2" w14:textId="422F431A" w:rsidR="00F55536" w:rsidRPr="00F55536" w:rsidRDefault="006C5A90" w:rsidP="00F55536">
      <w:pPr>
        <w:pStyle w:val="10"/>
        <w:numPr>
          <w:ilvl w:val="1"/>
          <w:numId w:val="1"/>
        </w:numPr>
        <w:spacing w:after="180"/>
      </w:pPr>
      <w:r w:rsidRPr="006C5A90">
        <w:t>DCI design for single-DCI based STxMP SDM/SFN</w:t>
      </w:r>
    </w:p>
    <w:p w14:paraId="06A029CC" w14:textId="2339E3EC" w:rsidR="00541C3C" w:rsidRPr="00541C3C" w:rsidRDefault="002663BE" w:rsidP="00541C3C">
      <w:r>
        <w:rPr>
          <w:rFonts w:hint="eastAsia"/>
        </w:rPr>
        <w:t xml:space="preserve">For </w:t>
      </w:r>
      <w:r w:rsidRPr="00701609">
        <w:rPr>
          <w:lang w:val="en-CA" w:eastAsia="zh-CN"/>
        </w:rPr>
        <w:t xml:space="preserve">dynamic switching between </w:t>
      </w:r>
      <w:r w:rsidR="0009651D">
        <w:rPr>
          <w:lang w:val="en-CA"/>
        </w:rPr>
        <w:t>single</w:t>
      </w:r>
      <w:r w:rsidR="00CB282B">
        <w:rPr>
          <w:lang w:val="en-CA"/>
        </w:rPr>
        <w:t xml:space="preserve"> DCI based </w:t>
      </w:r>
      <w:r w:rsidRPr="00701609">
        <w:rPr>
          <w:lang w:val="en-CA" w:eastAsia="zh-CN"/>
        </w:rPr>
        <w:t>SDM scheme</w:t>
      </w:r>
      <w:r w:rsidR="00CF2856">
        <w:rPr>
          <w:lang w:val="en-CA" w:eastAsia="zh-CN"/>
        </w:rPr>
        <w:t>/SFN scheme</w:t>
      </w:r>
      <w:r w:rsidRPr="00701609">
        <w:rPr>
          <w:lang w:val="en-CA" w:eastAsia="zh-CN"/>
        </w:rPr>
        <w:t xml:space="preserve"> and s</w:t>
      </w:r>
      <w:r w:rsidR="00CB282B">
        <w:rPr>
          <w:lang w:val="en-CA" w:eastAsia="zh-CN"/>
        </w:rPr>
        <w:t xml:space="preserve">ingle </w:t>
      </w:r>
      <w:r w:rsidRPr="00701609">
        <w:rPr>
          <w:lang w:val="en-CA" w:eastAsia="zh-CN"/>
        </w:rPr>
        <w:t>TRP transmission</w:t>
      </w:r>
      <w:r>
        <w:rPr>
          <w:lang w:val="en-CA" w:eastAsia="zh-CN"/>
        </w:rPr>
        <w:t>, the following</w:t>
      </w:r>
      <w:r w:rsidR="007D1FC3">
        <w:rPr>
          <w:lang w:val="en-CA" w:eastAsia="zh-CN"/>
        </w:rPr>
        <w:t xml:space="preserve"> </w:t>
      </w:r>
      <w:r>
        <w:rPr>
          <w:lang w:val="en-CA" w:eastAsia="zh-CN"/>
        </w:rPr>
        <w:t>agreement</w:t>
      </w:r>
      <w:r w:rsidR="00BC2C12">
        <w:rPr>
          <w:lang w:val="en-CA" w:eastAsia="zh-CN"/>
        </w:rPr>
        <w:t>s</w:t>
      </w:r>
      <w:r>
        <w:rPr>
          <w:lang w:val="en-CA" w:eastAsia="zh-CN"/>
        </w:rPr>
        <w:t xml:space="preserve"> w</w:t>
      </w:r>
      <w:r w:rsidR="00CF2856">
        <w:rPr>
          <w:lang w:val="en-CA" w:eastAsia="zh-CN"/>
        </w:rPr>
        <w:t>ere</w:t>
      </w:r>
      <w:r>
        <w:rPr>
          <w:lang w:val="en-CA" w:eastAsia="zh-CN"/>
        </w:rPr>
        <w:t xml:space="preserve"> </w:t>
      </w:r>
      <w:r w:rsidR="00CB282B">
        <w:rPr>
          <w:lang w:val="en-CA" w:eastAsia="zh-CN"/>
        </w:rPr>
        <w:t>made</w:t>
      </w:r>
      <w:r>
        <w:rPr>
          <w:lang w:val="en-CA" w:eastAsia="zh-CN"/>
        </w:rPr>
        <w:t>.</w:t>
      </w:r>
    </w:p>
    <w:tbl>
      <w:tblPr>
        <w:tblStyle w:val="af0"/>
        <w:tblW w:w="0" w:type="auto"/>
        <w:tblLook w:val="04A0" w:firstRow="1" w:lastRow="0" w:firstColumn="1" w:lastColumn="0" w:noHBand="0" w:noVBand="1"/>
      </w:tblPr>
      <w:tblGrid>
        <w:gridCol w:w="9631"/>
      </w:tblGrid>
      <w:tr w:rsidR="00345AA0" w:rsidRPr="004438D8" w14:paraId="790853F1" w14:textId="77777777" w:rsidTr="00E84179">
        <w:tc>
          <w:tcPr>
            <w:tcW w:w="9631" w:type="dxa"/>
          </w:tcPr>
          <w:p w14:paraId="28DDDA36" w14:textId="2BEE4B35" w:rsidR="00190CF8" w:rsidRDefault="00190CF8" w:rsidP="00190CF8">
            <w:pPr>
              <w:rPr>
                <w:lang w:val="en-CA" w:eastAsia="zh-CN"/>
              </w:rPr>
            </w:pPr>
            <w:r>
              <w:rPr>
                <w:b/>
                <w:bCs/>
                <w:highlight w:val="green"/>
                <w:lang w:val="en-CA" w:eastAsia="zh-CN"/>
              </w:rPr>
              <w:t>Agreement</w:t>
            </w:r>
            <w:r w:rsidR="004662D1">
              <w:rPr>
                <w:b/>
                <w:bCs/>
                <w:highlight w:val="green"/>
                <w:lang w:val="en-CA" w:eastAsia="zh-CN"/>
              </w:rPr>
              <w:br/>
            </w:r>
            <w:r>
              <w:rPr>
                <w:lang w:val="en-CA" w:eastAsia="zh-CN"/>
              </w:rPr>
              <w:t>For the codepoints 00 and 01 of “SRS resource set indicator” in DCI for dynamic switching between STxMP SDM and sTRP transmission, support Alt1:</w:t>
            </w:r>
          </w:p>
          <w:p w14:paraId="62090BED" w14:textId="77777777" w:rsidR="00190CF8" w:rsidRDefault="00190CF8" w:rsidP="00190CF8">
            <w:pPr>
              <w:pStyle w:val="aff5"/>
              <w:numPr>
                <w:ilvl w:val="0"/>
                <w:numId w:val="38"/>
              </w:numPr>
              <w:snapToGrid/>
              <w:spacing w:after="0" w:afterAutospacing="0"/>
              <w:ind w:leftChars="0"/>
              <w:rPr>
                <w:szCs w:val="18"/>
                <w:lang w:val="en-CA" w:eastAsia="zh-CN"/>
              </w:rPr>
            </w:pPr>
            <w:r>
              <w:rPr>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01B79CA" w14:textId="77777777" w:rsidR="00190CF8" w:rsidRDefault="00190CF8" w:rsidP="00190CF8">
            <w:pPr>
              <w:pStyle w:val="aff5"/>
              <w:numPr>
                <w:ilvl w:val="0"/>
                <w:numId w:val="38"/>
              </w:numPr>
              <w:snapToGrid/>
              <w:spacing w:after="0" w:afterAutospacing="0"/>
              <w:ind w:leftChars="0"/>
              <w:rPr>
                <w:szCs w:val="22"/>
                <w:lang w:eastAsia="zh-CN"/>
              </w:rPr>
            </w:pPr>
            <w:r>
              <w:rPr>
                <w:szCs w:val="22"/>
                <w:lang w:eastAsia="zh-CN"/>
              </w:rPr>
              <w:t>This design is also applied to the codepoints 00 and 01 of “SRS resource set indicator” in DCI for dynamic switching between STxMP SFN and sTRP transmission.</w:t>
            </w:r>
          </w:p>
          <w:p w14:paraId="622A9370" w14:textId="5E998D00" w:rsidR="00345AA0" w:rsidRDefault="00345AA0" w:rsidP="008C0B7D">
            <w:pPr>
              <w:rPr>
                <w:rFonts w:cs="Times"/>
                <w:lang w:val="en-CA" w:eastAsia="x-none"/>
              </w:rPr>
            </w:pPr>
          </w:p>
          <w:p w14:paraId="2EBF07E1" w14:textId="512C65B4" w:rsidR="009D696A" w:rsidRPr="001C4602" w:rsidRDefault="009D696A" w:rsidP="009D696A">
            <w:pPr>
              <w:rPr>
                <w:lang w:val="en-CA" w:eastAsia="zh-CN"/>
              </w:rPr>
            </w:pPr>
            <w:r>
              <w:rPr>
                <w:b/>
                <w:bCs/>
                <w:highlight w:val="green"/>
                <w:lang w:val="en-CA" w:eastAsia="zh-CN"/>
              </w:rPr>
              <w:t>Agreement (#112b-e)</w:t>
            </w:r>
            <w:r>
              <w:rPr>
                <w:b/>
                <w:bCs/>
                <w:highlight w:val="green"/>
                <w:lang w:val="en-CA" w:eastAsia="zh-CN"/>
              </w:rPr>
              <w:br/>
            </w:r>
            <w:r w:rsidRPr="001C4602">
              <w:rPr>
                <w:lang w:val="en-CA" w:eastAsia="zh-CN"/>
              </w:rPr>
              <w:t>The codepoints of “SRS resource set indicator” in DCI for dynamic switching between STxMP SDM and sTRP transmission are interpreted and the SRI/TPMI fields are designed as follows:</w:t>
            </w:r>
          </w:p>
          <w:p w14:paraId="719E209F" w14:textId="77777777" w:rsidR="009D696A" w:rsidRPr="001C4602" w:rsidRDefault="009D696A" w:rsidP="009D696A">
            <w:pPr>
              <w:pStyle w:val="aff5"/>
              <w:numPr>
                <w:ilvl w:val="0"/>
                <w:numId w:val="38"/>
              </w:numPr>
              <w:snapToGrid/>
              <w:spacing w:after="0" w:afterAutospacing="0"/>
              <w:ind w:leftChars="0"/>
              <w:rPr>
                <w:lang w:val="en-CA" w:eastAsia="zh-CN"/>
              </w:rPr>
            </w:pPr>
            <w:r w:rsidRPr="001C4602">
              <w:rPr>
                <w:lang w:val="en-CA" w:eastAsia="zh-CN"/>
              </w:rPr>
              <w:t xml:space="preserve">The codepoints 00 and 01 indicate sTRP transmission. 00 </w:t>
            </w:r>
            <w:r w:rsidRPr="001C4602">
              <w:rPr>
                <w:lang w:eastAsia="zh-CN"/>
              </w:rPr>
              <w:t>indicates</w:t>
            </w:r>
            <w:r w:rsidRPr="001C4602">
              <w:rPr>
                <w:lang w:val="en-CA" w:eastAsia="zh-CN"/>
              </w:rPr>
              <w:t xml:space="preserve"> the first SRS resource set and 01 indicates the second SRS resource set. For SRI/TPMI field design, down-select one from the following Alts:</w:t>
            </w:r>
          </w:p>
          <w:p w14:paraId="5A566474" w14:textId="77777777" w:rsidR="009D696A" w:rsidRPr="001C4602" w:rsidRDefault="009D696A" w:rsidP="009D696A">
            <w:pPr>
              <w:pStyle w:val="aff5"/>
              <w:numPr>
                <w:ilvl w:val="1"/>
                <w:numId w:val="38"/>
              </w:numPr>
              <w:snapToGrid/>
              <w:spacing w:after="0" w:afterAutospacing="0"/>
              <w:ind w:leftChars="0"/>
              <w:rPr>
                <w:lang w:val="en-CA" w:eastAsia="zh-CN"/>
              </w:rPr>
            </w:pPr>
            <w:r w:rsidRPr="001C4602">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3F58972C" w14:textId="77777777" w:rsidR="009D696A" w:rsidRDefault="009D696A" w:rsidP="009D696A">
            <w:pPr>
              <w:pStyle w:val="aff5"/>
              <w:numPr>
                <w:ilvl w:val="1"/>
                <w:numId w:val="38"/>
              </w:numPr>
              <w:snapToGrid/>
              <w:spacing w:after="0" w:afterAutospacing="0"/>
              <w:ind w:leftChars="0"/>
              <w:rPr>
                <w:lang w:eastAsia="zh-CN"/>
              </w:rPr>
            </w:pPr>
            <w:r w:rsidRPr="001C4602">
              <w:rPr>
                <w:lang w:val="en-CA" w:eastAsia="zh-CN"/>
              </w:rPr>
              <w:t xml:space="preserve">Alt2: </w:t>
            </w:r>
            <w:r w:rsidRPr="001C4602">
              <w:rPr>
                <w:lang w:eastAsia="zh-CN"/>
              </w:rPr>
              <w:t xml:space="preserve">the DCI has only one SRI field and one TPMI field. The SRI and TPMI field are associated with the first SRS resource set if codepoint=00 or the second SRS resource set if codepoint = 01. </w:t>
            </w:r>
          </w:p>
          <w:p w14:paraId="44AC5571" w14:textId="77777777" w:rsidR="009D696A" w:rsidRDefault="009D696A" w:rsidP="009D696A">
            <w:pPr>
              <w:pStyle w:val="aff5"/>
              <w:numPr>
                <w:ilvl w:val="1"/>
                <w:numId w:val="38"/>
              </w:numPr>
              <w:snapToGrid/>
              <w:spacing w:after="0" w:afterAutospacing="0"/>
              <w:ind w:leftChars="0"/>
              <w:rPr>
                <w:lang w:eastAsia="zh-CN"/>
              </w:rPr>
            </w:pPr>
            <w:r w:rsidRPr="00CF5C56">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22569D74" w14:textId="77777777" w:rsidR="009D696A" w:rsidRPr="00CF5C56" w:rsidRDefault="009D696A" w:rsidP="009D696A">
            <w:pPr>
              <w:pStyle w:val="aff5"/>
              <w:numPr>
                <w:ilvl w:val="2"/>
                <w:numId w:val="38"/>
              </w:numPr>
              <w:snapToGrid/>
              <w:spacing w:after="0" w:afterAutospacing="0"/>
              <w:ind w:leftChars="0"/>
              <w:rPr>
                <w:lang w:eastAsia="zh-CN"/>
              </w:rPr>
            </w:pPr>
            <w:r>
              <w:rPr>
                <w:lang w:eastAsia="zh-CN"/>
              </w:rPr>
              <w:t>FFS: If the concatenated bits are not sufficient, additional bits are appended to concatenated bits in order to support this feature</w:t>
            </w:r>
          </w:p>
          <w:p w14:paraId="6FE336F7" w14:textId="77777777" w:rsidR="009D696A" w:rsidRPr="001C4602" w:rsidRDefault="009D696A" w:rsidP="009D696A">
            <w:pPr>
              <w:pStyle w:val="aff5"/>
              <w:numPr>
                <w:ilvl w:val="1"/>
                <w:numId w:val="38"/>
              </w:numPr>
              <w:snapToGrid/>
              <w:spacing w:after="0" w:afterAutospacing="0"/>
              <w:ind w:leftChars="0"/>
              <w:rPr>
                <w:lang w:eastAsia="zh-CN"/>
              </w:rPr>
            </w:pPr>
            <w:r w:rsidRPr="001C4602">
              <w:rPr>
                <w:lang w:eastAsia="zh-CN"/>
              </w:rPr>
              <w:t>Alt4: the DCI has two SRI fields and two TPMI fields.</w:t>
            </w:r>
          </w:p>
          <w:p w14:paraId="7AC09B09" w14:textId="77777777" w:rsidR="009D696A" w:rsidRPr="001C4602" w:rsidRDefault="009D696A" w:rsidP="009D696A">
            <w:pPr>
              <w:pStyle w:val="aff5"/>
              <w:numPr>
                <w:ilvl w:val="2"/>
                <w:numId w:val="38"/>
              </w:numPr>
              <w:snapToGrid/>
              <w:spacing w:after="0" w:afterAutospacing="0"/>
              <w:ind w:leftChars="0"/>
              <w:rPr>
                <w:lang w:eastAsia="zh-CN"/>
              </w:rPr>
            </w:pPr>
            <w:r w:rsidRPr="001C4602">
              <w:rPr>
                <w:lang w:eastAsia="zh-CN"/>
              </w:rPr>
              <w:t xml:space="preserve">When the codepoint is 00, the first SRI field and first TPMI field are associated with the first SRS resource set. The second SRI field and second TPMI field are reserved. </w:t>
            </w:r>
          </w:p>
          <w:p w14:paraId="4A08AB78" w14:textId="77777777" w:rsidR="009D696A" w:rsidRPr="001C4602" w:rsidRDefault="009D696A" w:rsidP="009D696A">
            <w:pPr>
              <w:pStyle w:val="aff5"/>
              <w:numPr>
                <w:ilvl w:val="2"/>
                <w:numId w:val="38"/>
              </w:numPr>
              <w:snapToGrid/>
              <w:spacing w:after="0" w:afterAutospacing="0"/>
              <w:ind w:leftChars="0"/>
              <w:rPr>
                <w:lang w:eastAsia="zh-CN"/>
              </w:rPr>
            </w:pPr>
            <w:r w:rsidRPr="001C4602">
              <w:rPr>
                <w:lang w:eastAsia="zh-CN"/>
              </w:rPr>
              <w:t>When the codepoint is 01, the second SRI field and second TPMI field are associated with the second SRS resource set. The first SRI field and first TPMI field are reserved.</w:t>
            </w:r>
          </w:p>
          <w:p w14:paraId="49A6F688" w14:textId="77777777" w:rsidR="009D696A" w:rsidRPr="001C4602" w:rsidRDefault="009D696A" w:rsidP="009D696A">
            <w:pPr>
              <w:pStyle w:val="aff5"/>
              <w:numPr>
                <w:ilvl w:val="0"/>
                <w:numId w:val="38"/>
              </w:numPr>
              <w:snapToGrid/>
              <w:spacing w:after="0" w:afterAutospacing="0"/>
              <w:ind w:leftChars="0"/>
              <w:rPr>
                <w:lang w:val="en-CA" w:eastAsia="zh-CN"/>
              </w:rPr>
            </w:pPr>
            <w:r w:rsidRPr="001C4602">
              <w:rPr>
                <w:lang w:val="en-CA" w:eastAsia="zh-CN"/>
              </w:rPr>
              <w:t>The codepoints 10 indicate SDM transmission with the first and second SRS resource set.</w:t>
            </w:r>
          </w:p>
          <w:p w14:paraId="254C9460" w14:textId="77777777" w:rsidR="009D696A" w:rsidRPr="001C4602" w:rsidRDefault="009D696A" w:rsidP="009D696A">
            <w:pPr>
              <w:pStyle w:val="aff5"/>
              <w:numPr>
                <w:ilvl w:val="1"/>
                <w:numId w:val="38"/>
              </w:numPr>
              <w:snapToGrid/>
              <w:spacing w:after="0" w:afterAutospacing="0"/>
              <w:ind w:leftChars="0"/>
              <w:rPr>
                <w:lang w:val="en-CA" w:eastAsia="zh-CN"/>
              </w:rPr>
            </w:pPr>
            <w:r w:rsidRPr="001C4602">
              <w:rPr>
                <w:lang w:val="en-CA" w:eastAsia="zh-CN"/>
              </w:rPr>
              <w:t>The first SRI field and first TPMI field are associated with the first SRS resource set and they indicate the precoder(s)/rank/SRI for the first SRS resource set.</w:t>
            </w:r>
          </w:p>
          <w:p w14:paraId="05E4FFF8" w14:textId="77777777" w:rsidR="009D696A" w:rsidRPr="001C4602" w:rsidRDefault="009D696A" w:rsidP="009D696A">
            <w:pPr>
              <w:pStyle w:val="aff5"/>
              <w:numPr>
                <w:ilvl w:val="1"/>
                <w:numId w:val="38"/>
              </w:numPr>
              <w:snapToGrid/>
              <w:spacing w:after="0" w:afterAutospacing="0"/>
              <w:ind w:leftChars="0"/>
              <w:rPr>
                <w:lang w:val="en-CA" w:eastAsia="zh-CN"/>
              </w:rPr>
            </w:pPr>
            <w:r w:rsidRPr="001C4602">
              <w:rPr>
                <w:lang w:val="en-CA" w:eastAsia="zh-CN"/>
              </w:rPr>
              <w:t>The second SRI field and second TPMI field are associated with the first SRS resource set and they indicate the precoder(s)/rank/SRI for the second SRS resource set.</w:t>
            </w:r>
          </w:p>
          <w:p w14:paraId="3D3C7F72" w14:textId="77777777" w:rsidR="009D696A" w:rsidRPr="001C4602" w:rsidRDefault="009D696A" w:rsidP="009D696A">
            <w:pPr>
              <w:pStyle w:val="aff5"/>
              <w:numPr>
                <w:ilvl w:val="0"/>
                <w:numId w:val="38"/>
              </w:numPr>
              <w:snapToGrid/>
              <w:spacing w:after="0" w:afterAutospacing="0"/>
              <w:ind w:leftChars="0"/>
              <w:rPr>
                <w:lang w:val="en-CA"/>
              </w:rPr>
            </w:pPr>
            <w:r w:rsidRPr="001C4602">
              <w:rPr>
                <w:lang w:val="en-CA" w:eastAsia="zh-CN"/>
              </w:rPr>
              <w:t>FFS: The codepoint 11 is reserved.</w:t>
            </w:r>
          </w:p>
          <w:p w14:paraId="43C319BC" w14:textId="77777777" w:rsidR="009D696A" w:rsidRPr="009D696A" w:rsidRDefault="009D696A" w:rsidP="008C0B7D">
            <w:pPr>
              <w:rPr>
                <w:rFonts w:cs="Times"/>
                <w:lang w:val="en-CA" w:eastAsia="x-none"/>
              </w:rPr>
            </w:pPr>
          </w:p>
          <w:p w14:paraId="16670CC0" w14:textId="415B924E" w:rsidR="006C5A90" w:rsidRDefault="006C5A90" w:rsidP="006C5A90">
            <w:pPr>
              <w:rPr>
                <w:rFonts w:ascii="Calibri" w:hAnsi="Calibri" w:cs="Calibri"/>
                <w:sz w:val="22"/>
                <w:szCs w:val="22"/>
                <w:lang w:val="en-US"/>
              </w:rPr>
            </w:pPr>
            <w:r>
              <w:rPr>
                <w:b/>
                <w:bCs/>
                <w:highlight w:val="green"/>
                <w:lang w:val="en-CA" w:eastAsia="zh-CN"/>
              </w:rPr>
              <w:t>Agreement</w:t>
            </w:r>
            <w:r w:rsidR="009D696A">
              <w:rPr>
                <w:b/>
                <w:bCs/>
                <w:highlight w:val="green"/>
                <w:lang w:val="en-CA" w:eastAsia="zh-CN"/>
              </w:rPr>
              <w:t xml:space="preserve"> </w:t>
            </w:r>
            <w:r>
              <w:rPr>
                <w:b/>
                <w:bCs/>
                <w:highlight w:val="green"/>
                <w:lang w:val="en-CA" w:eastAsia="zh-CN"/>
              </w:rPr>
              <w:t>(#112</w:t>
            </w:r>
            <w:r w:rsidR="009D696A">
              <w:rPr>
                <w:b/>
                <w:bCs/>
                <w:highlight w:val="green"/>
                <w:lang w:val="en-CA" w:eastAsia="zh-CN"/>
              </w:rPr>
              <w:t>b-e</w:t>
            </w:r>
            <w:r>
              <w:rPr>
                <w:b/>
                <w:bCs/>
                <w:highlight w:val="green"/>
                <w:lang w:val="en-CA" w:eastAsia="zh-CN"/>
              </w:rPr>
              <w:t>)</w:t>
            </w:r>
            <w:r>
              <w:rPr>
                <w:b/>
                <w:bCs/>
                <w:highlight w:val="green"/>
                <w:lang w:val="en-CA" w:eastAsia="zh-CN"/>
              </w:rPr>
              <w:br/>
            </w:r>
            <w:r>
              <w:rPr>
                <w:rFonts w:cs="Times"/>
                <w:lang w:val="en-CA"/>
              </w:rPr>
              <w:t>The codepoints of “SRS resource set indicator” in DCI for dynamic switching between STxMP SFN and sTRP transmission are interpreted and the design of SRI/TPMI fields are as follows:</w:t>
            </w:r>
          </w:p>
          <w:p w14:paraId="0A60EC28" w14:textId="77777777" w:rsidR="006C5A90" w:rsidRDefault="006C5A90" w:rsidP="006C5A90">
            <w:pPr>
              <w:numPr>
                <w:ilvl w:val="0"/>
                <w:numId w:val="39"/>
              </w:numPr>
              <w:snapToGrid/>
              <w:spacing w:after="0" w:afterAutospacing="0"/>
              <w:rPr>
                <w:rFonts w:eastAsia="Times New Roman"/>
              </w:rPr>
            </w:pPr>
            <w:r>
              <w:rPr>
                <w:rFonts w:eastAsia="Times New Roman" w:cs="Times"/>
                <w:lang w:val="en-CA"/>
              </w:rPr>
              <w:t>The codepoints 00 and 01 indicate sTRP transmission. 00 </w:t>
            </w:r>
            <w:r>
              <w:rPr>
                <w:rFonts w:eastAsia="Times New Roman" w:cs="Times"/>
              </w:rPr>
              <w:t>indicates</w:t>
            </w:r>
            <w:r>
              <w:rPr>
                <w:rFonts w:eastAsia="Times New Roman" w:cs="Times"/>
                <w:lang w:val="en-CA"/>
              </w:rPr>
              <w:t> the first SRS resource set and 01 indicates the second SRS resource set.</w:t>
            </w:r>
            <w:r>
              <w:rPr>
                <w:rFonts w:eastAsia="Times New Roman"/>
                <w:lang w:val="en-CA"/>
              </w:rPr>
              <w:t xml:space="preserve"> </w:t>
            </w:r>
          </w:p>
          <w:p w14:paraId="43507C2B" w14:textId="77777777" w:rsidR="006C5A90" w:rsidRDefault="006C5A90" w:rsidP="006C5A90">
            <w:pPr>
              <w:numPr>
                <w:ilvl w:val="1"/>
                <w:numId w:val="39"/>
              </w:numPr>
              <w:snapToGrid/>
              <w:spacing w:after="0" w:afterAutospacing="0"/>
              <w:rPr>
                <w:rFonts w:eastAsia="Times New Roman"/>
              </w:rPr>
            </w:pPr>
            <w:r>
              <w:rPr>
                <w:rFonts w:eastAsia="Times New Roman" w:cs="Times"/>
                <w:lang w:val="en-CA"/>
              </w:rPr>
              <w:t>For the design of SRI/TPMI fields, re-use the design that is decided for dynamic switching between STxMP SDM and sTRP transmission.</w:t>
            </w:r>
          </w:p>
          <w:p w14:paraId="01B85BF6" w14:textId="77777777" w:rsidR="006C5A90" w:rsidRDefault="006C5A90" w:rsidP="006C5A90">
            <w:pPr>
              <w:numPr>
                <w:ilvl w:val="0"/>
                <w:numId w:val="39"/>
              </w:numPr>
              <w:snapToGrid/>
              <w:spacing w:after="0" w:afterAutospacing="0"/>
              <w:rPr>
                <w:rFonts w:eastAsia="Times New Roman"/>
              </w:rPr>
            </w:pPr>
            <w:r>
              <w:rPr>
                <w:rFonts w:eastAsia="Times New Roman" w:cs="Times"/>
                <w:lang w:val="en-CA"/>
              </w:rPr>
              <w:t>The codepoint 10 indicates STxMP SFN transmission with the first and second SRS resource set.</w:t>
            </w:r>
            <w:r>
              <w:rPr>
                <w:rFonts w:eastAsia="Times New Roman"/>
                <w:lang w:val="en-CA"/>
              </w:rPr>
              <w:t xml:space="preserve"> </w:t>
            </w:r>
          </w:p>
          <w:p w14:paraId="18AC93C8" w14:textId="77777777" w:rsidR="006C5A90" w:rsidRDefault="006C5A90" w:rsidP="006C5A90">
            <w:pPr>
              <w:numPr>
                <w:ilvl w:val="1"/>
                <w:numId w:val="39"/>
              </w:numPr>
              <w:snapToGrid/>
              <w:spacing w:after="0" w:afterAutospacing="0"/>
              <w:rPr>
                <w:rFonts w:eastAsia="Times New Roman"/>
              </w:rPr>
            </w:pPr>
            <w:r>
              <w:rPr>
                <w:rFonts w:eastAsia="Times New Roman" w:cs="Times"/>
                <w:lang w:val="en-CA"/>
              </w:rPr>
              <w:t>The first SRI field and first TPMI field are associated with the first SRS resource set and they indicate the precoder(s)/rank/SRI for the first SRS resource set.</w:t>
            </w:r>
          </w:p>
          <w:p w14:paraId="2FAE27F7" w14:textId="77777777" w:rsidR="006C5A90" w:rsidRDefault="006C5A90" w:rsidP="006C5A90">
            <w:pPr>
              <w:numPr>
                <w:ilvl w:val="1"/>
                <w:numId w:val="39"/>
              </w:numPr>
              <w:snapToGrid/>
              <w:spacing w:after="0" w:afterAutospacing="0"/>
              <w:rPr>
                <w:rFonts w:eastAsia="Times New Roman"/>
              </w:rPr>
            </w:pPr>
            <w:r>
              <w:rPr>
                <w:rFonts w:eastAsia="Times New Roman" w:cs="Times"/>
                <w:lang w:val="en-CA"/>
              </w:rPr>
              <w:t>The second SRI field and second TPMI field are associated with the </w:t>
            </w:r>
            <w:r>
              <w:rPr>
                <w:rFonts w:eastAsia="Times New Roman" w:cs="Times"/>
                <w:color w:val="FF0000"/>
                <w:lang w:val="en-CA"/>
              </w:rPr>
              <w:t>second </w:t>
            </w:r>
            <w:r>
              <w:rPr>
                <w:rFonts w:eastAsia="Times New Roman" w:cs="Times"/>
                <w:lang w:val="en-CA"/>
              </w:rPr>
              <w:t>SRS resource set and they indicate the precoder(s)/SRI for the second SRS resource set (the rank is indicated by the first SRI field for NCB or the first TPMI field for CB)</w:t>
            </w:r>
          </w:p>
          <w:p w14:paraId="47400413" w14:textId="77777777" w:rsidR="006C5A90" w:rsidRDefault="006C5A90" w:rsidP="006C5A90">
            <w:pPr>
              <w:numPr>
                <w:ilvl w:val="0"/>
                <w:numId w:val="39"/>
              </w:numPr>
              <w:snapToGrid/>
              <w:spacing w:after="0" w:afterAutospacing="0"/>
              <w:rPr>
                <w:rFonts w:eastAsia="Times New Roman"/>
              </w:rPr>
            </w:pPr>
            <w:r>
              <w:rPr>
                <w:rFonts w:eastAsia="Times New Roman" w:cs="Times"/>
                <w:lang w:val="en-CA"/>
              </w:rPr>
              <w:t>FFS: The codepoint 11 is reserved.</w:t>
            </w:r>
          </w:p>
          <w:p w14:paraId="3FFA1BC6" w14:textId="540BC252" w:rsidR="006C5A90" w:rsidRPr="006C5A90" w:rsidRDefault="006C5A90" w:rsidP="008C0B7D">
            <w:pPr>
              <w:rPr>
                <w:rFonts w:cs="Times"/>
                <w:lang w:eastAsia="x-none"/>
              </w:rPr>
            </w:pPr>
          </w:p>
        </w:tc>
      </w:tr>
    </w:tbl>
    <w:p w14:paraId="6DCDB558" w14:textId="31A8200E" w:rsidR="00DB33DD" w:rsidRDefault="00DB33DD" w:rsidP="006C5A90"/>
    <w:p w14:paraId="79336799" w14:textId="259CD466" w:rsidR="00E476DD" w:rsidRDefault="002663BE" w:rsidP="00E476DD">
      <w:r>
        <w:t>As described the</w:t>
      </w:r>
      <w:r w:rsidR="00AF4FB6">
        <w:t xml:space="preserve"> </w:t>
      </w:r>
      <w:r>
        <w:t xml:space="preserve">agreement, </w:t>
      </w:r>
      <w:r w:rsidR="009D696A">
        <w:t>we almost complete</w:t>
      </w:r>
      <w:r w:rsidR="00867E2D">
        <w:t>d</w:t>
      </w:r>
      <w:r w:rsidR="009D696A">
        <w:t xml:space="preserve"> the discussion </w:t>
      </w:r>
      <w:r w:rsidR="004660B5" w:rsidRPr="009C0876">
        <w:rPr>
          <w:lang w:val="en-CA" w:eastAsia="zh-CN"/>
        </w:rPr>
        <w:t>how to interpret each codepoint</w:t>
      </w:r>
      <w:r w:rsidR="004660B5">
        <w:rPr>
          <w:lang w:val="en-CA" w:eastAsia="zh-CN"/>
        </w:rPr>
        <w:t xml:space="preserve"> of SRS resource set indicator</w:t>
      </w:r>
      <w:r w:rsidR="00E54447">
        <w:rPr>
          <w:lang w:val="en-CA" w:eastAsia="zh-CN"/>
        </w:rPr>
        <w:t xml:space="preserve"> for dynamic switching between sTRP and SDM scheme</w:t>
      </w:r>
      <w:r w:rsidR="004660B5">
        <w:rPr>
          <w:lang w:val="en-CA" w:eastAsia="zh-CN"/>
        </w:rPr>
        <w:t xml:space="preserve">. </w:t>
      </w:r>
      <w:r w:rsidR="00867E2D">
        <w:rPr>
          <w:lang w:val="en-CA" w:eastAsia="zh-CN"/>
        </w:rPr>
        <w:t xml:space="preserve">Remaining point is whether or not the codepoint 11 to be reserved. </w:t>
      </w:r>
      <w:r w:rsidR="00E476DD" w:rsidRPr="00E476DD">
        <w:rPr>
          <w:lang w:val="en-CA" w:eastAsia="zh-CN"/>
        </w:rPr>
        <w:t>The interpretation of codepoint</w:t>
      </w:r>
      <w:r w:rsidR="009C718F">
        <w:rPr>
          <w:lang w:val="en-CA" w:eastAsia="zh-CN"/>
        </w:rPr>
        <w:t>s</w:t>
      </w:r>
      <w:r w:rsidR="00E476DD" w:rsidRPr="00E476DD">
        <w:rPr>
          <w:lang w:val="en-CA" w:eastAsia="zh-CN"/>
        </w:rPr>
        <w:t xml:space="preserve"> agreed upon so far is close to the specification in Rel-17.</w:t>
      </w:r>
      <w:r w:rsidR="009C718F">
        <w:rPr>
          <w:lang w:val="en-CA" w:eastAsia="zh-CN"/>
        </w:rPr>
        <w:t xml:space="preserve"> </w:t>
      </w:r>
      <w:r w:rsidR="00E476DD">
        <w:t>I</w:t>
      </w:r>
      <w:r w:rsidR="00E476DD">
        <w:rPr>
          <w:lang w:val="en-CA" w:eastAsia="zh-CN"/>
        </w:rPr>
        <w:t>n the current specification for t</w:t>
      </w:r>
      <w:r w:rsidR="00E476DD" w:rsidRPr="007D4F31">
        <w:t>he Rel-17 mTRP PUSCH TDM scheme</w:t>
      </w:r>
      <w:r w:rsidR="00E476DD">
        <w:t>,</w:t>
      </w:r>
      <w:r w:rsidR="00E476DD" w:rsidRPr="007D4F31">
        <w:t xml:space="preserve"> SRS resource set indicator </w:t>
      </w:r>
      <w:r w:rsidR="00E476DD">
        <w:t>is configured as the following table 1.</w:t>
      </w:r>
    </w:p>
    <w:p w14:paraId="441A471A" w14:textId="77777777" w:rsidR="00E476DD" w:rsidRDefault="00E476DD" w:rsidP="00E476DD">
      <w:pPr>
        <w:jc w:val="center"/>
      </w:pPr>
      <w:r>
        <w:t>Table 1: SRS resource set indicator for Rel-17 mTRP PUSCH TDM</w:t>
      </w:r>
    </w:p>
    <w:tbl>
      <w:tblPr>
        <w:tblStyle w:val="af0"/>
        <w:tblW w:w="0" w:type="auto"/>
        <w:tblLook w:val="04A0" w:firstRow="1" w:lastRow="0" w:firstColumn="1" w:lastColumn="0" w:noHBand="0" w:noVBand="1"/>
      </w:tblPr>
      <w:tblGrid>
        <w:gridCol w:w="1241"/>
        <w:gridCol w:w="1731"/>
        <w:gridCol w:w="6982"/>
      </w:tblGrid>
      <w:tr w:rsidR="00E476DD" w14:paraId="10356EEB" w14:textId="77777777" w:rsidTr="00E84179">
        <w:tc>
          <w:tcPr>
            <w:tcW w:w="1241" w:type="dxa"/>
          </w:tcPr>
          <w:p w14:paraId="3F26874A" w14:textId="77777777" w:rsidR="00E476DD" w:rsidRDefault="00E476DD" w:rsidP="00E84179">
            <w:pPr>
              <w:jc w:val="center"/>
            </w:pPr>
            <w:r>
              <w:rPr>
                <w:rFonts w:hint="eastAsia"/>
              </w:rPr>
              <w:t>Codepoint</w:t>
            </w:r>
          </w:p>
        </w:tc>
        <w:tc>
          <w:tcPr>
            <w:tcW w:w="1731" w:type="dxa"/>
          </w:tcPr>
          <w:p w14:paraId="4420E95D" w14:textId="77777777" w:rsidR="00E476DD" w:rsidRDefault="00E476DD" w:rsidP="00E84179">
            <w:pPr>
              <w:jc w:val="center"/>
            </w:pPr>
            <w:r>
              <w:t>scheme</w:t>
            </w:r>
          </w:p>
        </w:tc>
        <w:tc>
          <w:tcPr>
            <w:tcW w:w="6982" w:type="dxa"/>
          </w:tcPr>
          <w:p w14:paraId="3DA57990" w14:textId="77777777" w:rsidR="00E476DD" w:rsidRDefault="00E476DD" w:rsidP="00E84179">
            <w:pPr>
              <w:jc w:val="center"/>
            </w:pPr>
            <w:r>
              <w:rPr>
                <w:rFonts w:hint="eastAsia"/>
              </w:rPr>
              <w:t>SRS resource set indication</w:t>
            </w:r>
          </w:p>
        </w:tc>
      </w:tr>
      <w:tr w:rsidR="00E476DD" w:rsidRPr="00B03B8F" w14:paraId="07D8C737" w14:textId="77777777" w:rsidTr="00E84179">
        <w:tc>
          <w:tcPr>
            <w:tcW w:w="1241" w:type="dxa"/>
          </w:tcPr>
          <w:p w14:paraId="6CECEC89" w14:textId="77777777" w:rsidR="00E476DD" w:rsidRDefault="00E476DD" w:rsidP="00E84179">
            <w:pPr>
              <w:jc w:val="center"/>
            </w:pPr>
            <w:r>
              <w:rPr>
                <w:rFonts w:hint="eastAsia"/>
              </w:rPr>
              <w:t>00</w:t>
            </w:r>
          </w:p>
        </w:tc>
        <w:tc>
          <w:tcPr>
            <w:tcW w:w="1731" w:type="dxa"/>
          </w:tcPr>
          <w:p w14:paraId="583B2254" w14:textId="77777777" w:rsidR="00E476DD" w:rsidRDefault="00E476DD" w:rsidP="00E84179">
            <w:pPr>
              <w:jc w:val="center"/>
            </w:pPr>
            <w:r>
              <w:rPr>
                <w:rFonts w:hint="eastAsia"/>
              </w:rPr>
              <w:t>sTRP</w:t>
            </w:r>
          </w:p>
        </w:tc>
        <w:tc>
          <w:tcPr>
            <w:tcW w:w="6982" w:type="dxa"/>
          </w:tcPr>
          <w:p w14:paraId="6FA0D358" w14:textId="77777777" w:rsidR="00E476DD" w:rsidRDefault="00E476DD" w:rsidP="00E84179">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reserved</w:t>
            </w:r>
          </w:p>
        </w:tc>
      </w:tr>
      <w:tr w:rsidR="00E476DD" w14:paraId="65341C6D" w14:textId="77777777" w:rsidTr="00E84179">
        <w:tc>
          <w:tcPr>
            <w:tcW w:w="1241" w:type="dxa"/>
          </w:tcPr>
          <w:p w14:paraId="225F405B" w14:textId="77777777" w:rsidR="00E476DD" w:rsidRDefault="00E476DD" w:rsidP="00E84179">
            <w:pPr>
              <w:jc w:val="center"/>
            </w:pPr>
            <w:r>
              <w:rPr>
                <w:rFonts w:hint="eastAsia"/>
              </w:rPr>
              <w:t>01</w:t>
            </w:r>
          </w:p>
        </w:tc>
        <w:tc>
          <w:tcPr>
            <w:tcW w:w="1731" w:type="dxa"/>
          </w:tcPr>
          <w:p w14:paraId="3B349F74" w14:textId="77777777" w:rsidR="00E476DD" w:rsidRDefault="00E476DD" w:rsidP="00E84179">
            <w:pPr>
              <w:jc w:val="center"/>
            </w:pPr>
            <w:r>
              <w:rPr>
                <w:rFonts w:hint="eastAsia"/>
              </w:rPr>
              <w:t>sTRP</w:t>
            </w:r>
          </w:p>
        </w:tc>
        <w:tc>
          <w:tcPr>
            <w:tcW w:w="6982" w:type="dxa"/>
          </w:tcPr>
          <w:p w14:paraId="6CD5E80D" w14:textId="77777777" w:rsidR="00E476DD" w:rsidRDefault="00E476DD" w:rsidP="00E84179">
            <w:pPr>
              <w:jc w:val="left"/>
            </w:pPr>
            <w:r>
              <w:t>1</w:t>
            </w:r>
            <w:r w:rsidRPr="00B03B8F">
              <w:rPr>
                <w:vertAlign w:val="superscript"/>
              </w:rPr>
              <w:t>st</w:t>
            </w:r>
            <w:r>
              <w:t xml:space="preserve"> SRI/TPMI fields are associated with 2</w:t>
            </w:r>
            <w:r w:rsidRPr="000B194B">
              <w:rPr>
                <w:vertAlign w:val="superscript"/>
              </w:rPr>
              <w:t>nd</w:t>
            </w:r>
            <w:r>
              <w:t xml:space="preserve"> SRS resource set</w:t>
            </w:r>
            <w:r>
              <w:br/>
              <w:t>2</w:t>
            </w:r>
            <w:r w:rsidRPr="00B03B8F">
              <w:rPr>
                <w:vertAlign w:val="superscript"/>
              </w:rPr>
              <w:t>nd</w:t>
            </w:r>
            <w:r>
              <w:t xml:space="preserve"> SRI/TPMI fields are reserved</w:t>
            </w:r>
          </w:p>
        </w:tc>
      </w:tr>
      <w:tr w:rsidR="00E476DD" w14:paraId="46175E01" w14:textId="77777777" w:rsidTr="00E84179">
        <w:tc>
          <w:tcPr>
            <w:tcW w:w="1241" w:type="dxa"/>
          </w:tcPr>
          <w:p w14:paraId="1B337C68" w14:textId="77777777" w:rsidR="00E476DD" w:rsidRDefault="00E476DD" w:rsidP="00E84179">
            <w:pPr>
              <w:jc w:val="center"/>
            </w:pPr>
            <w:r>
              <w:rPr>
                <w:rFonts w:hint="eastAsia"/>
              </w:rPr>
              <w:t>10</w:t>
            </w:r>
          </w:p>
        </w:tc>
        <w:tc>
          <w:tcPr>
            <w:tcW w:w="1731" w:type="dxa"/>
          </w:tcPr>
          <w:p w14:paraId="21387075" w14:textId="77777777" w:rsidR="00E476DD" w:rsidRDefault="00E476DD" w:rsidP="00E84179">
            <w:pPr>
              <w:jc w:val="center"/>
            </w:pPr>
            <w:r>
              <w:rPr>
                <w:rFonts w:hint="eastAsia"/>
              </w:rPr>
              <w:t>m</w:t>
            </w:r>
            <w:r>
              <w:t>TRP</w:t>
            </w:r>
          </w:p>
        </w:tc>
        <w:tc>
          <w:tcPr>
            <w:tcW w:w="6982" w:type="dxa"/>
          </w:tcPr>
          <w:p w14:paraId="0D3F07B5" w14:textId="77777777" w:rsidR="00E476DD" w:rsidRDefault="00E476DD" w:rsidP="00E84179">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E476DD" w14:paraId="194F73C3" w14:textId="77777777" w:rsidTr="00E84179">
        <w:tc>
          <w:tcPr>
            <w:tcW w:w="1241" w:type="dxa"/>
          </w:tcPr>
          <w:p w14:paraId="097E2F7F" w14:textId="77777777" w:rsidR="00E476DD" w:rsidRDefault="00E476DD" w:rsidP="00E84179">
            <w:pPr>
              <w:jc w:val="center"/>
            </w:pPr>
            <w:r>
              <w:rPr>
                <w:rFonts w:hint="eastAsia"/>
              </w:rPr>
              <w:t>11</w:t>
            </w:r>
          </w:p>
        </w:tc>
        <w:tc>
          <w:tcPr>
            <w:tcW w:w="1731" w:type="dxa"/>
          </w:tcPr>
          <w:p w14:paraId="48F0DA87" w14:textId="77777777" w:rsidR="00E476DD" w:rsidRDefault="00E476DD" w:rsidP="00E84179">
            <w:pPr>
              <w:jc w:val="center"/>
            </w:pPr>
            <w:r>
              <w:rPr>
                <w:rFonts w:hint="eastAsia"/>
              </w:rPr>
              <w:t>mTRP</w:t>
            </w:r>
          </w:p>
        </w:tc>
        <w:tc>
          <w:tcPr>
            <w:tcW w:w="6982" w:type="dxa"/>
          </w:tcPr>
          <w:p w14:paraId="5AFC3A25" w14:textId="77777777" w:rsidR="00E476DD" w:rsidRDefault="00E476DD" w:rsidP="00E84179">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bl>
    <w:p w14:paraId="7961CC74" w14:textId="171D0B82" w:rsidR="00E57096" w:rsidRDefault="00E476DD" w:rsidP="00E476DD">
      <w:pPr>
        <w:rPr>
          <w:rFonts w:eastAsia="SimSun"/>
          <w:lang w:eastAsia="zh-CN"/>
        </w:rPr>
      </w:pPr>
      <w:r>
        <w:rPr>
          <w:rFonts w:eastAsia="SimSun"/>
          <w:lang w:eastAsia="zh-CN"/>
        </w:rPr>
        <w:br/>
        <w:t xml:space="preserve">In Rel-17 mTRP repetetion, codepoint 10 and 11 are associated with the repetition pattern ‘cyclic beam’ and ‘sequential beam’. On the other hand, in Rel-18 STxMP mTRP, there is no such a pattern difference. Thus, </w:t>
      </w:r>
      <w:r w:rsidR="009C718F">
        <w:rPr>
          <w:rFonts w:eastAsia="SimSun"/>
          <w:lang w:eastAsia="zh-CN"/>
        </w:rPr>
        <w:t>the codepoint 11 can be reserved and the interpretation of SRS resource set indicator should be specified as following table 2.</w:t>
      </w:r>
    </w:p>
    <w:p w14:paraId="73D0BE71" w14:textId="33BD868D" w:rsidR="009C718F" w:rsidRDefault="009C718F" w:rsidP="009C718F">
      <w:pPr>
        <w:jc w:val="center"/>
      </w:pPr>
      <w:r>
        <w:lastRenderedPageBreak/>
        <w:t>Table 2: SRS resource set indicator for Rel-18 mTRP PUSCH STxMP</w:t>
      </w:r>
    </w:p>
    <w:tbl>
      <w:tblPr>
        <w:tblStyle w:val="af0"/>
        <w:tblW w:w="0" w:type="auto"/>
        <w:tblLook w:val="04A0" w:firstRow="1" w:lastRow="0" w:firstColumn="1" w:lastColumn="0" w:noHBand="0" w:noVBand="1"/>
      </w:tblPr>
      <w:tblGrid>
        <w:gridCol w:w="1241"/>
        <w:gridCol w:w="1731"/>
        <w:gridCol w:w="6982"/>
      </w:tblGrid>
      <w:tr w:rsidR="009C718F" w14:paraId="7458BC8D" w14:textId="77777777" w:rsidTr="00E84179">
        <w:tc>
          <w:tcPr>
            <w:tcW w:w="1241" w:type="dxa"/>
          </w:tcPr>
          <w:p w14:paraId="2A26DF60" w14:textId="77777777" w:rsidR="009C718F" w:rsidRDefault="009C718F" w:rsidP="00E84179">
            <w:pPr>
              <w:jc w:val="center"/>
            </w:pPr>
            <w:r>
              <w:rPr>
                <w:rFonts w:hint="eastAsia"/>
              </w:rPr>
              <w:t>Codepoint</w:t>
            </w:r>
          </w:p>
        </w:tc>
        <w:tc>
          <w:tcPr>
            <w:tcW w:w="1731" w:type="dxa"/>
          </w:tcPr>
          <w:p w14:paraId="30543620" w14:textId="77777777" w:rsidR="009C718F" w:rsidRDefault="009C718F" w:rsidP="00E84179">
            <w:pPr>
              <w:jc w:val="center"/>
            </w:pPr>
            <w:r>
              <w:t>scheme</w:t>
            </w:r>
          </w:p>
        </w:tc>
        <w:tc>
          <w:tcPr>
            <w:tcW w:w="6982" w:type="dxa"/>
          </w:tcPr>
          <w:p w14:paraId="29AD31B5" w14:textId="77777777" w:rsidR="009C718F" w:rsidRDefault="009C718F" w:rsidP="00E84179">
            <w:pPr>
              <w:jc w:val="center"/>
            </w:pPr>
            <w:r>
              <w:rPr>
                <w:rFonts w:hint="eastAsia"/>
              </w:rPr>
              <w:t>SRS resource set indication</w:t>
            </w:r>
          </w:p>
        </w:tc>
      </w:tr>
      <w:tr w:rsidR="009C718F" w:rsidRPr="00B03B8F" w14:paraId="3B84DD59" w14:textId="77777777" w:rsidTr="00E84179">
        <w:tc>
          <w:tcPr>
            <w:tcW w:w="1241" w:type="dxa"/>
          </w:tcPr>
          <w:p w14:paraId="0B465839" w14:textId="77777777" w:rsidR="009C718F" w:rsidRDefault="009C718F" w:rsidP="00E84179">
            <w:pPr>
              <w:jc w:val="center"/>
            </w:pPr>
            <w:r>
              <w:rPr>
                <w:rFonts w:hint="eastAsia"/>
              </w:rPr>
              <w:t>00</w:t>
            </w:r>
          </w:p>
        </w:tc>
        <w:tc>
          <w:tcPr>
            <w:tcW w:w="1731" w:type="dxa"/>
          </w:tcPr>
          <w:p w14:paraId="24B344DF" w14:textId="77777777" w:rsidR="009C718F" w:rsidRDefault="009C718F" w:rsidP="00E84179">
            <w:pPr>
              <w:jc w:val="center"/>
            </w:pPr>
            <w:r>
              <w:rPr>
                <w:rFonts w:hint="eastAsia"/>
              </w:rPr>
              <w:t>sTRP</w:t>
            </w:r>
          </w:p>
        </w:tc>
        <w:tc>
          <w:tcPr>
            <w:tcW w:w="6982" w:type="dxa"/>
          </w:tcPr>
          <w:p w14:paraId="0C65E167" w14:textId="77777777" w:rsidR="009C718F" w:rsidRDefault="009C718F" w:rsidP="00E84179">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reserved</w:t>
            </w:r>
          </w:p>
        </w:tc>
      </w:tr>
      <w:tr w:rsidR="009C718F" w14:paraId="33AA80FB" w14:textId="77777777" w:rsidTr="00E84179">
        <w:tc>
          <w:tcPr>
            <w:tcW w:w="1241" w:type="dxa"/>
          </w:tcPr>
          <w:p w14:paraId="732C6A42" w14:textId="77777777" w:rsidR="009C718F" w:rsidRDefault="009C718F" w:rsidP="00E84179">
            <w:pPr>
              <w:jc w:val="center"/>
            </w:pPr>
            <w:r>
              <w:rPr>
                <w:rFonts w:hint="eastAsia"/>
              </w:rPr>
              <w:t>01</w:t>
            </w:r>
          </w:p>
        </w:tc>
        <w:tc>
          <w:tcPr>
            <w:tcW w:w="1731" w:type="dxa"/>
          </w:tcPr>
          <w:p w14:paraId="09F55865" w14:textId="77777777" w:rsidR="009C718F" w:rsidRDefault="009C718F" w:rsidP="00E84179">
            <w:pPr>
              <w:jc w:val="center"/>
            </w:pPr>
            <w:r>
              <w:rPr>
                <w:rFonts w:hint="eastAsia"/>
              </w:rPr>
              <w:t>sTRP</w:t>
            </w:r>
          </w:p>
        </w:tc>
        <w:tc>
          <w:tcPr>
            <w:tcW w:w="6982" w:type="dxa"/>
          </w:tcPr>
          <w:p w14:paraId="244CDC41" w14:textId="77777777" w:rsidR="009C718F" w:rsidRDefault="009C718F" w:rsidP="00E84179">
            <w:pPr>
              <w:jc w:val="left"/>
            </w:pPr>
            <w:r>
              <w:t>1</w:t>
            </w:r>
            <w:r w:rsidRPr="00B03B8F">
              <w:rPr>
                <w:vertAlign w:val="superscript"/>
              </w:rPr>
              <w:t>st</w:t>
            </w:r>
            <w:r>
              <w:t xml:space="preserve"> SRI/TPMI fields are associated with 2</w:t>
            </w:r>
            <w:r w:rsidRPr="000B194B">
              <w:rPr>
                <w:vertAlign w:val="superscript"/>
              </w:rPr>
              <w:t>nd</w:t>
            </w:r>
            <w:r>
              <w:t xml:space="preserve"> SRS resource set</w:t>
            </w:r>
            <w:r>
              <w:br/>
              <w:t>2</w:t>
            </w:r>
            <w:r w:rsidRPr="00B03B8F">
              <w:rPr>
                <w:vertAlign w:val="superscript"/>
              </w:rPr>
              <w:t>nd</w:t>
            </w:r>
            <w:r>
              <w:t xml:space="preserve"> SRI/TPMI fields are reserved</w:t>
            </w:r>
          </w:p>
        </w:tc>
      </w:tr>
      <w:tr w:rsidR="009C718F" w14:paraId="1731893A" w14:textId="77777777" w:rsidTr="00E84179">
        <w:tc>
          <w:tcPr>
            <w:tcW w:w="1241" w:type="dxa"/>
          </w:tcPr>
          <w:p w14:paraId="2F22EF15" w14:textId="77777777" w:rsidR="009C718F" w:rsidRDefault="009C718F" w:rsidP="00E84179">
            <w:pPr>
              <w:jc w:val="center"/>
            </w:pPr>
            <w:r>
              <w:rPr>
                <w:rFonts w:hint="eastAsia"/>
              </w:rPr>
              <w:t>10</w:t>
            </w:r>
          </w:p>
        </w:tc>
        <w:tc>
          <w:tcPr>
            <w:tcW w:w="1731" w:type="dxa"/>
          </w:tcPr>
          <w:p w14:paraId="6A3AC08F" w14:textId="77777777" w:rsidR="009C718F" w:rsidRDefault="009C718F" w:rsidP="00E84179">
            <w:pPr>
              <w:jc w:val="center"/>
            </w:pPr>
            <w:r>
              <w:rPr>
                <w:rFonts w:hint="eastAsia"/>
              </w:rPr>
              <w:t>m</w:t>
            </w:r>
            <w:r>
              <w:t>TRP</w:t>
            </w:r>
          </w:p>
        </w:tc>
        <w:tc>
          <w:tcPr>
            <w:tcW w:w="6982" w:type="dxa"/>
          </w:tcPr>
          <w:p w14:paraId="6AFA162C" w14:textId="77777777" w:rsidR="009C718F" w:rsidRDefault="009C718F" w:rsidP="00E84179">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9C718F" w14:paraId="6D245174" w14:textId="77777777" w:rsidTr="00E84179">
        <w:tc>
          <w:tcPr>
            <w:tcW w:w="1241" w:type="dxa"/>
          </w:tcPr>
          <w:p w14:paraId="626A37A1" w14:textId="77777777" w:rsidR="009C718F" w:rsidRDefault="009C718F" w:rsidP="00E84179">
            <w:pPr>
              <w:jc w:val="center"/>
            </w:pPr>
            <w:r>
              <w:rPr>
                <w:rFonts w:hint="eastAsia"/>
              </w:rPr>
              <w:t>11</w:t>
            </w:r>
          </w:p>
        </w:tc>
        <w:tc>
          <w:tcPr>
            <w:tcW w:w="1731" w:type="dxa"/>
          </w:tcPr>
          <w:p w14:paraId="1FE51938" w14:textId="749754AE" w:rsidR="009C718F" w:rsidRDefault="009C718F" w:rsidP="00E84179">
            <w:pPr>
              <w:jc w:val="center"/>
            </w:pPr>
            <w:r>
              <w:rPr>
                <w:rFonts w:hint="eastAsia"/>
              </w:rPr>
              <w:t>r</w:t>
            </w:r>
            <w:r>
              <w:t>eserved</w:t>
            </w:r>
          </w:p>
        </w:tc>
        <w:tc>
          <w:tcPr>
            <w:tcW w:w="6982" w:type="dxa"/>
          </w:tcPr>
          <w:p w14:paraId="33054B3E" w14:textId="7765C090" w:rsidR="009C718F" w:rsidRDefault="009C718F" w:rsidP="00E84179">
            <w:pPr>
              <w:jc w:val="left"/>
            </w:pPr>
            <w:r>
              <w:t>reserved</w:t>
            </w:r>
          </w:p>
        </w:tc>
      </w:tr>
    </w:tbl>
    <w:p w14:paraId="41274A27" w14:textId="77777777" w:rsidR="00E84179" w:rsidRDefault="00E84179" w:rsidP="00E476DD">
      <w:pPr>
        <w:rPr>
          <w:rFonts w:eastAsia="SimSun"/>
          <w:b/>
          <w:lang w:eastAsia="zh-CN"/>
        </w:rPr>
      </w:pPr>
    </w:p>
    <w:p w14:paraId="0376A665" w14:textId="7D51AB58" w:rsidR="009C718F" w:rsidRPr="009C718F" w:rsidRDefault="009C718F" w:rsidP="00E476DD">
      <w:pPr>
        <w:rPr>
          <w:rFonts w:eastAsia="SimSun"/>
          <w:b/>
          <w:lang w:eastAsia="zh-CN"/>
        </w:rPr>
      </w:pPr>
      <w:r w:rsidRPr="009C718F">
        <w:rPr>
          <w:rFonts w:eastAsia="SimSun"/>
          <w:b/>
          <w:lang w:eastAsia="zh-CN"/>
        </w:rPr>
        <w:t>Proposal 1: The codepoint 11 of SRS resource set indicator should be reserved.</w:t>
      </w:r>
    </w:p>
    <w:p w14:paraId="2D0A31A2" w14:textId="600776FD" w:rsidR="00FB44AF" w:rsidRDefault="00FB44AF" w:rsidP="00641BBC"/>
    <w:p w14:paraId="13939872" w14:textId="0478496B" w:rsidR="003C77C2" w:rsidRPr="00F55536" w:rsidRDefault="003C77C2" w:rsidP="003C77C2">
      <w:pPr>
        <w:pStyle w:val="10"/>
        <w:numPr>
          <w:ilvl w:val="1"/>
          <w:numId w:val="1"/>
        </w:numPr>
        <w:spacing w:after="180"/>
      </w:pPr>
      <w:r>
        <w:t xml:space="preserve">Multi-DCI based STxMP </w:t>
      </w:r>
      <w:r w:rsidR="00476C36">
        <w:t xml:space="preserve">DG/CG </w:t>
      </w:r>
      <w:r>
        <w:t>PUSCH</w:t>
      </w:r>
    </w:p>
    <w:p w14:paraId="0E4F4C64" w14:textId="2A99E050" w:rsidR="003C77C2" w:rsidRPr="00541C3C" w:rsidRDefault="003C77C2" w:rsidP="003C77C2">
      <w:r>
        <w:rPr>
          <w:rFonts w:hint="eastAsia"/>
        </w:rPr>
        <w:t xml:space="preserve">For </w:t>
      </w:r>
      <w:r w:rsidR="002F6F4C">
        <w:t>the</w:t>
      </w:r>
      <w:r w:rsidR="00476C36">
        <w:t xml:space="preserve"> </w:t>
      </w:r>
      <w:r w:rsidR="00476C36" w:rsidRPr="00476C36">
        <w:t>Multi-DCI based STxMP DG+CG PUSCH</w:t>
      </w:r>
      <w:r>
        <w:rPr>
          <w:lang w:val="en-CA" w:eastAsia="zh-CN"/>
        </w:rPr>
        <w:t>, the following agreement</w:t>
      </w:r>
      <w:r w:rsidR="00F8301A">
        <w:rPr>
          <w:lang w:val="en-CA" w:eastAsia="zh-CN"/>
        </w:rPr>
        <w:t>s</w:t>
      </w:r>
      <w:r>
        <w:rPr>
          <w:lang w:val="en-CA" w:eastAsia="zh-CN"/>
        </w:rPr>
        <w:t xml:space="preserve"> w</w:t>
      </w:r>
      <w:r w:rsidR="00F8301A">
        <w:rPr>
          <w:lang w:val="en-CA" w:eastAsia="zh-CN"/>
        </w:rPr>
        <w:t>ere</w:t>
      </w:r>
      <w:r>
        <w:rPr>
          <w:lang w:val="en-CA" w:eastAsia="zh-CN"/>
        </w:rPr>
        <w:t xml:space="preserve"> made.</w:t>
      </w:r>
    </w:p>
    <w:tbl>
      <w:tblPr>
        <w:tblStyle w:val="af0"/>
        <w:tblW w:w="0" w:type="auto"/>
        <w:tblLook w:val="04A0" w:firstRow="1" w:lastRow="0" w:firstColumn="1" w:lastColumn="0" w:noHBand="0" w:noVBand="1"/>
      </w:tblPr>
      <w:tblGrid>
        <w:gridCol w:w="9631"/>
      </w:tblGrid>
      <w:tr w:rsidR="003C77C2" w:rsidRPr="004438D8" w14:paraId="2A3980B3" w14:textId="77777777" w:rsidTr="00E84179">
        <w:tc>
          <w:tcPr>
            <w:tcW w:w="9631" w:type="dxa"/>
          </w:tcPr>
          <w:p w14:paraId="644A687C" w14:textId="30423D4C" w:rsidR="00476C36" w:rsidRPr="00BE314C" w:rsidRDefault="00476C36" w:rsidP="00476C36">
            <w:pPr>
              <w:rPr>
                <w:bCs/>
              </w:rPr>
            </w:pPr>
            <w:r w:rsidRPr="00795766">
              <w:rPr>
                <w:b/>
                <w:bCs/>
                <w:highlight w:val="green"/>
                <w:lang w:val="en-CA"/>
              </w:rPr>
              <w:t>Agreement</w:t>
            </w:r>
            <w:r w:rsidR="00737715">
              <w:rPr>
                <w:b/>
                <w:bCs/>
                <w:highlight w:val="green"/>
                <w:lang w:val="en-CA"/>
              </w:rPr>
              <w:t xml:space="preserve"> </w:t>
            </w:r>
            <w:r>
              <w:rPr>
                <w:b/>
                <w:bCs/>
                <w:highlight w:val="green"/>
                <w:lang w:val="en-CA"/>
              </w:rPr>
              <w:t>(#110b-e)</w:t>
            </w:r>
            <w:r>
              <w:rPr>
                <w:b/>
                <w:bCs/>
                <w:highlight w:val="green"/>
                <w:lang w:val="en-CA"/>
              </w:rPr>
              <w:br/>
            </w:r>
            <w:r w:rsidRPr="00795766">
              <w:rPr>
                <w:bCs/>
              </w:rPr>
              <w:t>Multi-DCI based STxMP PUSCH+PUSCH transmission at least supports the following PUSCH combinations:</w:t>
            </w:r>
          </w:p>
          <w:p w14:paraId="159757B5" w14:textId="77777777" w:rsidR="00476C36" w:rsidRPr="00BE314C" w:rsidRDefault="00476C36" w:rsidP="00476C36">
            <w:pPr>
              <w:pStyle w:val="aff5"/>
              <w:numPr>
                <w:ilvl w:val="0"/>
                <w:numId w:val="48"/>
              </w:numPr>
              <w:spacing w:after="0" w:afterAutospacing="0"/>
              <w:ind w:leftChars="0"/>
              <w:rPr>
                <w:bCs/>
              </w:rPr>
            </w:pPr>
            <w:r w:rsidRPr="00BE314C">
              <w:rPr>
                <w:bCs/>
              </w:rPr>
              <w:t>DG-PUSCH + DG-PUSCH</w:t>
            </w:r>
          </w:p>
          <w:p w14:paraId="6A0C7B7D" w14:textId="77777777" w:rsidR="00476C36" w:rsidRPr="00BE314C" w:rsidRDefault="00476C36" w:rsidP="00476C36">
            <w:pPr>
              <w:pStyle w:val="aff5"/>
              <w:numPr>
                <w:ilvl w:val="0"/>
                <w:numId w:val="48"/>
              </w:numPr>
              <w:spacing w:after="0" w:afterAutospacing="0"/>
              <w:ind w:leftChars="0"/>
              <w:rPr>
                <w:bCs/>
              </w:rPr>
            </w:pPr>
            <w:r w:rsidRPr="00BE314C">
              <w:rPr>
                <w:bCs/>
              </w:rPr>
              <w:t>CG-PUSCH + DG-PUSCH</w:t>
            </w:r>
          </w:p>
          <w:p w14:paraId="093237C1" w14:textId="77777777" w:rsidR="00476C36" w:rsidRDefault="00476C36" w:rsidP="00476C36">
            <w:pPr>
              <w:rPr>
                <w:highlight w:val="green"/>
                <w:lang w:val="en-CA"/>
              </w:rPr>
            </w:pPr>
          </w:p>
          <w:p w14:paraId="578D43CB" w14:textId="75BB5F41" w:rsidR="003C77C2" w:rsidRDefault="00476C36" w:rsidP="00476C36">
            <w:pPr>
              <w:rPr>
                <w:lang w:eastAsia="x-none"/>
              </w:rPr>
            </w:pPr>
            <w:r w:rsidRPr="00476C36">
              <w:rPr>
                <w:b/>
                <w:highlight w:val="green"/>
                <w:lang w:val="en-CA"/>
              </w:rPr>
              <w:t>Agreement</w:t>
            </w:r>
            <w:r w:rsidR="00737715">
              <w:rPr>
                <w:b/>
                <w:highlight w:val="green"/>
                <w:lang w:val="en-CA"/>
              </w:rPr>
              <w:t xml:space="preserve"> </w:t>
            </w:r>
            <w:r>
              <w:rPr>
                <w:b/>
                <w:highlight w:val="green"/>
                <w:lang w:val="en-CA"/>
              </w:rPr>
              <w:t>(#111)</w:t>
            </w:r>
            <w:r>
              <w:rPr>
                <w:highlight w:val="green"/>
                <w:lang w:val="en-CA"/>
              </w:rPr>
              <w:br/>
            </w:r>
            <w:r w:rsidRPr="00BE314C">
              <w:rPr>
                <w:lang w:eastAsia="x-none"/>
              </w:rPr>
              <w:t>Support CG PUSCH + CG PUSCH in multi-DCI based STxMP PUSCH+PUSCH transmission.</w:t>
            </w:r>
          </w:p>
          <w:p w14:paraId="56B99FEF" w14:textId="7111EBBA" w:rsidR="00476C36" w:rsidRPr="00476C36" w:rsidRDefault="00476C36" w:rsidP="00476C36">
            <w:pPr>
              <w:rPr>
                <w:lang w:eastAsia="x-none"/>
              </w:rPr>
            </w:pPr>
          </w:p>
        </w:tc>
      </w:tr>
    </w:tbl>
    <w:p w14:paraId="0C50D1F7" w14:textId="3E323383" w:rsidR="003C77C2" w:rsidRDefault="003C77C2" w:rsidP="00F55536">
      <w:pPr>
        <w:rPr>
          <w:b/>
        </w:rPr>
      </w:pPr>
    </w:p>
    <w:p w14:paraId="26EF0BDF" w14:textId="72792CE2" w:rsidR="00B63CD3" w:rsidRDefault="00B63CD3" w:rsidP="00F55536">
      <w:r w:rsidRPr="00B63CD3">
        <w:t xml:space="preserve">At the </w:t>
      </w:r>
      <w:r w:rsidR="00476C36">
        <w:t>previous</w:t>
      </w:r>
      <w:r w:rsidRPr="00B63CD3">
        <w:t xml:space="preserve"> meeting, </w:t>
      </w:r>
      <w:r w:rsidR="00476C36">
        <w:t xml:space="preserve">DG+DG, DG+CG and CG+CG PUSCH STxMP were supported. </w:t>
      </w:r>
      <w:r w:rsidR="00737715">
        <w:t>However,</w:t>
      </w:r>
      <w:r w:rsidR="00476C36">
        <w:t xml:space="preserve"> no clarification is agreed on dropping rule. In current spec, dropping procedure </w:t>
      </w:r>
      <w:r w:rsidR="00737715">
        <w:t>according to their PUSCH priority is specified, but that rule is associated with only one coresetPoolIndex. For multi-DCI based STxMP, we need to enhance dropping rule corresponding to different coresetPoolIndex.</w:t>
      </w:r>
    </w:p>
    <w:p w14:paraId="65162939" w14:textId="691F5F18" w:rsidR="00B63CD3" w:rsidRPr="00B63CD3" w:rsidRDefault="00B63CD3" w:rsidP="00F55536">
      <w:pPr>
        <w:rPr>
          <w:b/>
        </w:rPr>
      </w:pPr>
      <w:r w:rsidRPr="00B63CD3">
        <w:rPr>
          <w:rFonts w:hint="eastAsia"/>
          <w:b/>
        </w:rPr>
        <w:t>P</w:t>
      </w:r>
      <w:r w:rsidRPr="00B63CD3">
        <w:rPr>
          <w:b/>
        </w:rPr>
        <w:t xml:space="preserve">roposal </w:t>
      </w:r>
      <w:r w:rsidR="00D94940">
        <w:rPr>
          <w:b/>
        </w:rPr>
        <w:t>2</w:t>
      </w:r>
      <w:r w:rsidRPr="00B63CD3">
        <w:rPr>
          <w:b/>
        </w:rPr>
        <w:t xml:space="preserve">: We should </w:t>
      </w:r>
      <w:r w:rsidR="00737715">
        <w:rPr>
          <w:b/>
        </w:rPr>
        <w:t>enhance the dropping rule for DG/CG PUSCH on multi-DCI based STxMP</w:t>
      </w:r>
      <w:r w:rsidRPr="00B63CD3">
        <w:rPr>
          <w:b/>
          <w:lang w:val="en-CA"/>
        </w:rPr>
        <w:t>.</w:t>
      </w:r>
    </w:p>
    <w:p w14:paraId="693A1F35" w14:textId="7B705A24" w:rsidR="003C77C2" w:rsidRDefault="003C77C2" w:rsidP="00F55536">
      <w:pPr>
        <w:rPr>
          <w:b/>
        </w:rPr>
      </w:pPr>
    </w:p>
    <w:p w14:paraId="20459685" w14:textId="6B9A2D63" w:rsidR="000C29E6" w:rsidRPr="00F55536" w:rsidRDefault="000C29E6" w:rsidP="000C29E6">
      <w:pPr>
        <w:pStyle w:val="10"/>
        <w:numPr>
          <w:ilvl w:val="1"/>
          <w:numId w:val="1"/>
        </w:numPr>
        <w:spacing w:after="180"/>
      </w:pPr>
      <w:r>
        <w:t>DFT-s-OFDM waveform for STxMP</w:t>
      </w:r>
      <w:r>
        <w:tab/>
        <w:t>transmission</w:t>
      </w:r>
    </w:p>
    <w:p w14:paraId="203F054D" w14:textId="3CCDCDE1" w:rsidR="000C29E6" w:rsidRPr="000C29E6" w:rsidRDefault="000C29E6" w:rsidP="00F55536">
      <w:r w:rsidRPr="000C29E6">
        <w:rPr>
          <w:rFonts w:hint="eastAsia"/>
        </w:rPr>
        <w:t>F</w:t>
      </w:r>
      <w:r w:rsidRPr="000C29E6">
        <w:t xml:space="preserve">or </w:t>
      </w:r>
      <w:r>
        <w:t xml:space="preserve">the DFT-s-OFDM waveform for STxMP transmission, </w:t>
      </w:r>
      <w:r>
        <w:rPr>
          <w:lang w:val="en-CA" w:eastAsia="zh-CN"/>
        </w:rPr>
        <w:t>the following proposal and conclusion were discussed</w:t>
      </w:r>
      <w:r w:rsidR="00BA5B4C">
        <w:rPr>
          <w:lang w:val="en-CA" w:eastAsia="zh-CN"/>
        </w:rPr>
        <w:t xml:space="preserve"> in last meeting</w:t>
      </w:r>
      <w:r>
        <w:rPr>
          <w:lang w:val="en-CA" w:eastAsia="zh-CN"/>
        </w:rPr>
        <w:t>.</w:t>
      </w:r>
    </w:p>
    <w:tbl>
      <w:tblPr>
        <w:tblStyle w:val="af0"/>
        <w:tblW w:w="0" w:type="auto"/>
        <w:tblLook w:val="04A0" w:firstRow="1" w:lastRow="0" w:firstColumn="1" w:lastColumn="0" w:noHBand="0" w:noVBand="1"/>
      </w:tblPr>
      <w:tblGrid>
        <w:gridCol w:w="9631"/>
      </w:tblGrid>
      <w:tr w:rsidR="000C29E6" w:rsidRPr="004438D8" w14:paraId="515D4135" w14:textId="77777777" w:rsidTr="00F33E6E">
        <w:tc>
          <w:tcPr>
            <w:tcW w:w="9631" w:type="dxa"/>
          </w:tcPr>
          <w:p w14:paraId="0893BBC6" w14:textId="77777777" w:rsidR="000C29E6" w:rsidRDefault="000C29E6" w:rsidP="000C29E6">
            <w:pPr>
              <w:pStyle w:val="xmsonormal"/>
              <w:shd w:val="clear" w:color="auto" w:fill="FFFFFF"/>
              <w:rPr>
                <w:sz w:val="20"/>
                <w:szCs w:val="20"/>
              </w:rPr>
            </w:pPr>
            <w:r>
              <w:rPr>
                <w:rFonts w:ascii="Times" w:hAnsi="Times" w:cs="Times"/>
                <w:b/>
                <w:bCs/>
                <w:sz w:val="20"/>
                <w:szCs w:val="20"/>
                <w:shd w:val="clear" w:color="auto" w:fill="FFFF00"/>
                <w:lang w:val="en-GB"/>
              </w:rPr>
              <w:lastRenderedPageBreak/>
              <w:t>Proposal conclusion 5a:</w:t>
            </w:r>
            <w:r>
              <w:rPr>
                <w:rFonts w:ascii="Times" w:hAnsi="Times" w:cs="Times"/>
                <w:b/>
                <w:bCs/>
                <w:sz w:val="20"/>
                <w:szCs w:val="20"/>
                <w:lang w:val="en-GB"/>
              </w:rPr>
              <w:t> </w:t>
            </w:r>
            <w:r>
              <w:rPr>
                <w:rFonts w:ascii="Times" w:hAnsi="Times" w:cs="Times"/>
                <w:sz w:val="20"/>
                <w:szCs w:val="20"/>
                <w:lang w:val="en-GB"/>
              </w:rPr>
              <w:t xml:space="preserve">Support STxMP SFN scheme with </w:t>
            </w:r>
            <w:proofErr w:type="gramStart"/>
            <w:r>
              <w:rPr>
                <w:rFonts w:ascii="Times" w:hAnsi="Times" w:cs="Times"/>
                <w:sz w:val="20"/>
                <w:szCs w:val="20"/>
                <w:lang w:val="en-GB"/>
              </w:rPr>
              <w:t>1 layer</w:t>
            </w:r>
            <w:proofErr w:type="gramEnd"/>
            <w:r>
              <w:rPr>
                <w:rFonts w:ascii="Times" w:hAnsi="Times" w:cs="Times"/>
                <w:sz w:val="20"/>
                <w:szCs w:val="20"/>
                <w:lang w:val="en-GB"/>
              </w:rPr>
              <w:t xml:space="preserve"> transmission for DFT-s-OFDM waveform</w:t>
            </w:r>
          </w:p>
          <w:p w14:paraId="26974A23" w14:textId="77777777" w:rsidR="000C29E6" w:rsidRDefault="000C29E6" w:rsidP="000C29E6">
            <w:pPr>
              <w:pStyle w:val="xmsonormal"/>
              <w:numPr>
                <w:ilvl w:val="0"/>
                <w:numId w:val="45"/>
              </w:numPr>
              <w:shd w:val="clear" w:color="auto" w:fill="FFFFFF"/>
              <w:jc w:val="both"/>
              <w:rPr>
                <w:sz w:val="20"/>
                <w:szCs w:val="20"/>
              </w:rPr>
            </w:pPr>
            <w:r>
              <w:rPr>
                <w:rFonts w:ascii="Times" w:hAnsi="Times" w:cs="Times"/>
                <w:sz w:val="20"/>
                <w:szCs w:val="20"/>
                <w:lang w:val="en-GB"/>
              </w:rPr>
              <w:t>Note: no additional spec impact for supporting that.</w:t>
            </w:r>
          </w:p>
          <w:p w14:paraId="1503E4D4" w14:textId="77777777" w:rsidR="000C29E6" w:rsidRDefault="000C29E6" w:rsidP="000C29E6">
            <w:pPr>
              <w:pStyle w:val="xmsonormal"/>
              <w:numPr>
                <w:ilvl w:val="0"/>
                <w:numId w:val="45"/>
              </w:numPr>
              <w:shd w:val="clear" w:color="auto" w:fill="FFFFFF"/>
              <w:jc w:val="both"/>
              <w:rPr>
                <w:sz w:val="20"/>
                <w:szCs w:val="20"/>
              </w:rPr>
            </w:pPr>
            <w:r>
              <w:rPr>
                <w:rFonts w:ascii="Times" w:hAnsi="Times" w:cs="Times"/>
                <w:sz w:val="20"/>
                <w:szCs w:val="20"/>
                <w:lang w:val="en-GB"/>
              </w:rPr>
              <w:t>This is UE optional feature.</w:t>
            </w:r>
          </w:p>
          <w:p w14:paraId="516E50C3" w14:textId="77777777" w:rsidR="000C29E6" w:rsidRDefault="000C29E6" w:rsidP="000C29E6">
            <w:pPr>
              <w:rPr>
                <w:sz w:val="20"/>
                <w:lang w:eastAsia="zh-CN"/>
              </w:rPr>
            </w:pPr>
          </w:p>
          <w:p w14:paraId="101D2814" w14:textId="77777777" w:rsidR="000C29E6" w:rsidRDefault="000C29E6" w:rsidP="000C29E6">
            <w:pPr>
              <w:pStyle w:val="xmsonormal"/>
              <w:shd w:val="clear" w:color="auto" w:fill="FFFFFF"/>
              <w:rPr>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Support STxMP SDM scheme with {1+1} layer combination for DFT-s-OFDM waveform</w:t>
            </w:r>
          </w:p>
          <w:p w14:paraId="49973592" w14:textId="77777777" w:rsidR="000C29E6" w:rsidRDefault="000C29E6" w:rsidP="000C29E6">
            <w:pPr>
              <w:pStyle w:val="xmsonormal"/>
              <w:numPr>
                <w:ilvl w:val="0"/>
                <w:numId w:val="46"/>
              </w:numPr>
              <w:shd w:val="clear" w:color="auto" w:fill="FFFFFF"/>
              <w:jc w:val="both"/>
              <w:rPr>
                <w:sz w:val="20"/>
                <w:szCs w:val="20"/>
              </w:rPr>
            </w:pPr>
            <w:r>
              <w:rPr>
                <w:rFonts w:ascii="Times" w:hAnsi="Times" w:cs="Times"/>
                <w:sz w:val="20"/>
                <w:szCs w:val="20"/>
                <w:lang w:val="en-GB"/>
              </w:rPr>
              <w:t>Add additional “antenna port” table for DFT-s-OFDM waveform that can indicate two orthogonal DMRS ports for SDM with {1+1} layer combination</w:t>
            </w:r>
          </w:p>
          <w:p w14:paraId="48EF059E" w14:textId="77777777" w:rsidR="000C29E6" w:rsidRDefault="000C29E6" w:rsidP="000C29E6">
            <w:pPr>
              <w:pStyle w:val="xmsonormal"/>
              <w:numPr>
                <w:ilvl w:val="0"/>
                <w:numId w:val="46"/>
              </w:numPr>
              <w:shd w:val="clear" w:color="auto" w:fill="FFFFFF"/>
              <w:jc w:val="both"/>
              <w:rPr>
                <w:sz w:val="20"/>
                <w:szCs w:val="20"/>
              </w:rPr>
            </w:pPr>
            <w:r>
              <w:rPr>
                <w:rFonts w:ascii="Times" w:hAnsi="Times" w:cs="Times"/>
                <w:sz w:val="20"/>
                <w:szCs w:val="20"/>
                <w:lang w:val="en-GB"/>
              </w:rPr>
              <w:t>This is UE optional feature (if supported)</w:t>
            </w:r>
          </w:p>
          <w:p w14:paraId="14B7679A" w14:textId="77777777" w:rsidR="000C29E6" w:rsidRDefault="000C29E6" w:rsidP="000C29E6">
            <w:pPr>
              <w:rPr>
                <w:sz w:val="20"/>
                <w:lang w:eastAsia="zh-CN"/>
              </w:rPr>
            </w:pPr>
          </w:p>
          <w:p w14:paraId="5B0E3352" w14:textId="77777777" w:rsidR="000C29E6" w:rsidRDefault="000C29E6" w:rsidP="000C29E6">
            <w:pPr>
              <w:pStyle w:val="xmsonormal"/>
              <w:shd w:val="clear" w:color="auto" w:fill="FFFFFF"/>
              <w:rPr>
                <w:sz w:val="20"/>
                <w:szCs w:val="20"/>
              </w:rPr>
            </w:pPr>
            <w:r>
              <w:rPr>
                <w:rFonts w:ascii="Times" w:hAnsi="Times" w:cs="Times"/>
                <w:b/>
                <w:bCs/>
                <w:sz w:val="20"/>
                <w:szCs w:val="20"/>
                <w:shd w:val="clear" w:color="auto" w:fill="FFFF00"/>
                <w:lang w:val="en-GB"/>
              </w:rPr>
              <w:t>Proposal conclusion 5c</w:t>
            </w:r>
            <w:r>
              <w:rPr>
                <w:rFonts w:ascii="Times" w:hAnsi="Times" w:cs="Times"/>
                <w:b/>
                <w:bCs/>
                <w:sz w:val="20"/>
                <w:szCs w:val="20"/>
                <w:lang w:val="en-GB"/>
              </w:rPr>
              <w:t>: </w:t>
            </w:r>
            <w:r>
              <w:rPr>
                <w:rFonts w:ascii="Times" w:hAnsi="Times" w:cs="Times"/>
                <w:sz w:val="20"/>
                <w:szCs w:val="20"/>
                <w:lang w:val="en-GB"/>
              </w:rPr>
              <w:t>Multi-DCI based STxMP PUSCH+PUSCH is supported in DFT-s-OFDM waveform with no extra spec impact.</w:t>
            </w:r>
          </w:p>
          <w:p w14:paraId="4AD3A95B" w14:textId="77777777" w:rsidR="000C29E6" w:rsidRDefault="000C29E6" w:rsidP="000C29E6">
            <w:pPr>
              <w:pStyle w:val="xmsonormal"/>
              <w:numPr>
                <w:ilvl w:val="0"/>
                <w:numId w:val="47"/>
              </w:numPr>
              <w:shd w:val="clear" w:color="auto" w:fill="FFFFFF"/>
              <w:jc w:val="both"/>
              <w:rPr>
                <w:sz w:val="20"/>
                <w:szCs w:val="20"/>
              </w:rPr>
            </w:pPr>
            <w:r>
              <w:rPr>
                <w:rFonts w:ascii="Times" w:hAnsi="Times" w:cs="Times"/>
                <w:sz w:val="20"/>
                <w:szCs w:val="20"/>
                <w:lang w:val="en-GB"/>
              </w:rPr>
              <w:t>Each of the PUSCHs is 1-layer transmission</w:t>
            </w:r>
          </w:p>
          <w:p w14:paraId="3514D65C" w14:textId="77777777" w:rsidR="000C29E6" w:rsidRDefault="000C29E6" w:rsidP="000C29E6">
            <w:pPr>
              <w:rPr>
                <w:lang w:eastAsia="zh-CN"/>
              </w:rPr>
            </w:pPr>
            <w:r>
              <w:rPr>
                <w:rFonts w:ascii="Times" w:hAnsi="Times" w:cs="Times"/>
                <w:sz w:val="20"/>
              </w:rPr>
              <w:t>This is UE optional feature.</w:t>
            </w:r>
          </w:p>
          <w:p w14:paraId="755B79D1" w14:textId="77777777" w:rsidR="000C29E6" w:rsidRPr="000C29E6" w:rsidRDefault="000C29E6" w:rsidP="00F33E6E">
            <w:pPr>
              <w:rPr>
                <w:rFonts w:cs="Times"/>
                <w:lang w:eastAsia="x-none"/>
              </w:rPr>
            </w:pPr>
          </w:p>
        </w:tc>
      </w:tr>
    </w:tbl>
    <w:p w14:paraId="5745352C" w14:textId="27244588" w:rsidR="000C29E6" w:rsidRDefault="000C29E6" w:rsidP="00F55536">
      <w:pPr>
        <w:rPr>
          <w:b/>
        </w:rPr>
      </w:pPr>
    </w:p>
    <w:p w14:paraId="41A5D32F" w14:textId="0C111A29" w:rsidR="00BA5B4C" w:rsidRDefault="00BA5B4C" w:rsidP="00F55536">
      <w:r w:rsidRPr="00BA5B4C">
        <w:t>P</w:t>
      </w:r>
      <w:r w:rsidR="00AF2399">
        <w:t>r</w:t>
      </w:r>
      <w:r w:rsidRPr="00BA5B4C">
        <w:t xml:space="preserve">oposal conclusion 5a and 5c indicate the no spec impact to support the DFT-s-OFDM waveform for STxMP SFN scheme and Multi-DCI based STxMP PUSCH+PUSCH. </w:t>
      </w:r>
      <w:r>
        <w:t xml:space="preserve">On the other hand, Proposal 5b needs some spec change for DFT-s-OFDM waveform in STxMP SDM scheme with {1+1} layer combination. We supported 5a and 5c except for 5b because the left time for discussion is limited. </w:t>
      </w:r>
    </w:p>
    <w:p w14:paraId="358C3B16" w14:textId="5C0DB90A" w:rsidR="00BA5B4C" w:rsidRDefault="00BA5B4C" w:rsidP="00F55536">
      <w:r w:rsidRPr="00BA5B4C">
        <w:t xml:space="preserve">These proposals </w:t>
      </w:r>
      <w:r w:rsidR="00AF2399">
        <w:t>seem to be</w:t>
      </w:r>
      <w:r w:rsidRPr="00BA5B4C">
        <w:t xml:space="preserve"> almost agreed but not captured in chair’s note. </w:t>
      </w:r>
      <w:r>
        <w:t>Thus, we should achieve the agreement corresponding to the proposals.</w:t>
      </w:r>
    </w:p>
    <w:p w14:paraId="1E821887" w14:textId="7C0A3454" w:rsidR="00BA5B4C" w:rsidRPr="00AF2399" w:rsidRDefault="00BA5B4C" w:rsidP="00F55536">
      <w:pPr>
        <w:rPr>
          <w:b/>
        </w:rPr>
      </w:pPr>
      <w:r w:rsidRPr="00AF2399">
        <w:rPr>
          <w:rFonts w:hint="eastAsia"/>
          <w:b/>
        </w:rPr>
        <w:t>P</w:t>
      </w:r>
      <w:r w:rsidRPr="00AF2399">
        <w:rPr>
          <w:b/>
        </w:rPr>
        <w:t xml:space="preserve">roposal 3: </w:t>
      </w:r>
      <w:r w:rsidR="00AF2399" w:rsidRPr="00AF2399">
        <w:rPr>
          <w:b/>
        </w:rPr>
        <w:t>We should achieve the agreement of the DFT-s-OFDM waveform for STxMP transmission according to the proposals in RAN1#113 meeting.</w:t>
      </w:r>
    </w:p>
    <w:p w14:paraId="75161C93" w14:textId="77777777" w:rsidR="000C29E6" w:rsidRPr="003C77C2" w:rsidRDefault="000C29E6" w:rsidP="00F55536">
      <w:pPr>
        <w:rPr>
          <w:b/>
        </w:rPr>
      </w:pPr>
    </w:p>
    <w:p w14:paraId="7957AE81" w14:textId="0D9E6D4C" w:rsidR="00332423" w:rsidRDefault="001D2DCE" w:rsidP="00E84179">
      <w:pPr>
        <w:pStyle w:val="10"/>
        <w:numPr>
          <w:ilvl w:val="1"/>
          <w:numId w:val="1"/>
        </w:numPr>
        <w:spacing w:after="180"/>
      </w:pPr>
      <w:r>
        <w:t xml:space="preserve">Power control for STxMP </w:t>
      </w:r>
    </w:p>
    <w:p w14:paraId="7BA7928D" w14:textId="58618033" w:rsidR="001D2DCE" w:rsidRDefault="00666252" w:rsidP="001D2DCE">
      <w:r>
        <w:t xml:space="preserve">STxMP is considered for transmission to multiple TRPs simultaneously. </w:t>
      </w:r>
      <w:r w:rsidRPr="00666252">
        <w:t>For example, if each panel tr</w:t>
      </w:r>
      <w:r>
        <w:t>ansmits based on conventional P</w:t>
      </w:r>
      <w:r w:rsidRPr="00666252">
        <w:rPr>
          <w:vertAlign w:val="subscript"/>
        </w:rPr>
        <w:t>CMAX</w:t>
      </w:r>
      <w:r w:rsidRPr="00666252">
        <w:t>, at any given moment the regulated transmission power may be exceeded.</w:t>
      </w:r>
      <w:r w:rsidR="00D67940" w:rsidRPr="00D67940">
        <w:t xml:space="preserve"> </w:t>
      </w:r>
      <w:r>
        <w:t xml:space="preserve">Thus, it is necessary to specify the appropriate power control for each transmission occasion. </w:t>
      </w:r>
      <w:r w:rsidR="007108AA" w:rsidRPr="00D67940">
        <w:t>In addition, the dynamic switch</w:t>
      </w:r>
      <w:r w:rsidR="007108AA">
        <w:t>ing</w:t>
      </w:r>
      <w:r w:rsidR="007108AA" w:rsidRPr="00D67940">
        <w:t xml:space="preserve"> between sTRP and SDM</w:t>
      </w:r>
      <w:r w:rsidR="007108AA">
        <w:t xml:space="preserve"> requires</w:t>
      </w:r>
      <w:r w:rsidR="007108AA" w:rsidRPr="00D67940">
        <w:t xml:space="preserve"> to obtain inf</w:t>
      </w:r>
      <w:r w:rsidR="007108AA">
        <w:t>ormation for power control per panels</w:t>
      </w:r>
      <w:r w:rsidR="007108AA" w:rsidRPr="00D67940">
        <w:t>.</w:t>
      </w:r>
      <w:r w:rsidR="007108AA">
        <w:t xml:space="preserve"> Therefore, f</w:t>
      </w:r>
      <w:r w:rsidR="000222B4" w:rsidRPr="000222B4">
        <w:t>or proper power control, at least per-panel open-loop and closed-loop power control and power limits for multi-panel PUSCH transmission and panel-specific PHR reporting should be considered.</w:t>
      </w:r>
      <w:r w:rsidR="000222B4">
        <w:t xml:space="preserve"> </w:t>
      </w:r>
    </w:p>
    <w:p w14:paraId="3FE579EF" w14:textId="77A37FE6" w:rsidR="000222B4" w:rsidRPr="000222B4" w:rsidRDefault="000222B4" w:rsidP="001D2DCE">
      <w:pPr>
        <w:rPr>
          <w:b/>
        </w:rPr>
      </w:pPr>
      <w:r w:rsidRPr="000222B4">
        <w:rPr>
          <w:b/>
        </w:rPr>
        <w:t xml:space="preserve">Proposal </w:t>
      </w:r>
      <w:r w:rsidR="00D94940">
        <w:rPr>
          <w:b/>
        </w:rPr>
        <w:t>4</w:t>
      </w:r>
      <w:r w:rsidRPr="000222B4">
        <w:rPr>
          <w:b/>
        </w:rPr>
        <w:t>: We should discuss the following at least to support proper power control for STxMP.</w:t>
      </w:r>
    </w:p>
    <w:p w14:paraId="600D0503" w14:textId="77777777" w:rsidR="000222B4" w:rsidRPr="000222B4" w:rsidRDefault="000222B4" w:rsidP="000222B4">
      <w:pPr>
        <w:pStyle w:val="aff5"/>
        <w:numPr>
          <w:ilvl w:val="0"/>
          <w:numId w:val="30"/>
        </w:numPr>
        <w:ind w:leftChars="0"/>
        <w:rPr>
          <w:b/>
        </w:rPr>
      </w:pPr>
      <w:r w:rsidRPr="000222B4">
        <w:rPr>
          <w:b/>
        </w:rPr>
        <w:t xml:space="preserve">Power limits </w:t>
      </w:r>
      <w:r>
        <w:rPr>
          <w:b/>
        </w:rPr>
        <w:t>for multi-panel transmission</w:t>
      </w:r>
    </w:p>
    <w:p w14:paraId="4A6459F1" w14:textId="06ED6E71" w:rsidR="000222B4" w:rsidRPr="000222B4" w:rsidRDefault="000222B4" w:rsidP="000222B4">
      <w:pPr>
        <w:pStyle w:val="aff5"/>
        <w:numPr>
          <w:ilvl w:val="0"/>
          <w:numId w:val="30"/>
        </w:numPr>
        <w:ind w:leftChars="0"/>
        <w:rPr>
          <w:b/>
        </w:rPr>
      </w:pPr>
      <w:r w:rsidRPr="000222B4">
        <w:rPr>
          <w:b/>
        </w:rPr>
        <w:lastRenderedPageBreak/>
        <w:t>Per-panel open</w:t>
      </w:r>
      <w:r>
        <w:rPr>
          <w:rFonts w:hint="eastAsia"/>
          <w:b/>
        </w:rPr>
        <w:t>/closed</w:t>
      </w:r>
      <w:r w:rsidRPr="000222B4">
        <w:rPr>
          <w:b/>
        </w:rPr>
        <w:t xml:space="preserve">-loop power control </w:t>
      </w:r>
    </w:p>
    <w:p w14:paraId="4E5971CA" w14:textId="273AB7B8" w:rsidR="000222B4" w:rsidRPr="000222B4" w:rsidRDefault="000222B4" w:rsidP="000222B4">
      <w:pPr>
        <w:pStyle w:val="aff5"/>
        <w:numPr>
          <w:ilvl w:val="0"/>
          <w:numId w:val="30"/>
        </w:numPr>
        <w:ind w:leftChars="0"/>
        <w:rPr>
          <w:b/>
        </w:rPr>
      </w:pPr>
      <w:r w:rsidRPr="000222B4">
        <w:rPr>
          <w:b/>
        </w:rPr>
        <w:t>Panel-specific PHR reporting</w:t>
      </w:r>
    </w:p>
    <w:p w14:paraId="560609F1" w14:textId="484B8329" w:rsidR="00231729" w:rsidRDefault="000222B4" w:rsidP="001E423B">
      <w:r>
        <w:t>If P</w:t>
      </w:r>
      <w:r w:rsidRPr="000222B4">
        <w:rPr>
          <w:vertAlign w:val="subscript"/>
        </w:rPr>
        <w:t>CMAX,</w:t>
      </w:r>
      <w:r w:rsidR="007C593D">
        <w:rPr>
          <w:vertAlign w:val="subscript"/>
        </w:rPr>
        <w:t>k</w:t>
      </w:r>
      <w:r w:rsidR="007C593D">
        <w:t xml:space="preserve"> is</w:t>
      </w:r>
      <w:r w:rsidR="00343051">
        <w:t xml:space="preserve"> introduced as</w:t>
      </w:r>
      <w:r w:rsidRPr="000222B4">
        <w:t xml:space="preserve"> </w:t>
      </w:r>
      <w:r w:rsidR="00411B56" w:rsidRPr="00411B56">
        <w:t>maximum transmi</w:t>
      </w:r>
      <w:r w:rsidR="001E423B">
        <w:t>ssion</w:t>
      </w:r>
      <w:r w:rsidR="00411B56" w:rsidRPr="00411B56">
        <w:t xml:space="preserve"> power</w:t>
      </w:r>
      <w:r w:rsidR="00743756">
        <w:t xml:space="preserve"> for</w:t>
      </w:r>
      <w:r w:rsidRPr="000222B4">
        <w:t xml:space="preserve"> panel</w:t>
      </w:r>
      <w:r w:rsidR="00743756">
        <w:t>#</w:t>
      </w:r>
      <w:r w:rsidR="007C593D">
        <w:t>k</w:t>
      </w:r>
      <w:r w:rsidR="00743756">
        <w:t xml:space="preserve">, </w:t>
      </w:r>
      <w:r w:rsidR="001E423B">
        <w:t>t</w:t>
      </w:r>
      <w:r w:rsidR="001E423B">
        <w:t>he transmi</w:t>
      </w:r>
      <w:r w:rsidR="001E423B">
        <w:t>ssion</w:t>
      </w:r>
      <w:r w:rsidR="001E423B">
        <w:t xml:space="preserve"> powers</w:t>
      </w:r>
      <w:r w:rsidR="001E423B">
        <w:t xml:space="preserve"> of PUSCH by</w:t>
      </w:r>
      <w:r w:rsidR="001E423B">
        <w:t xml:space="preserve"> each panel P</w:t>
      </w:r>
      <w:r w:rsidR="001E423B" w:rsidRPr="00C72003">
        <w:rPr>
          <w:vertAlign w:val="subscript"/>
        </w:rPr>
        <w:t>PUSCH,</w:t>
      </w:r>
      <w:r w:rsidR="007C593D">
        <w:rPr>
          <w:vertAlign w:val="subscript"/>
        </w:rPr>
        <w:t>k</w:t>
      </w:r>
      <w:r w:rsidR="001E423B">
        <w:t xml:space="preserve"> would be determined based on P</w:t>
      </w:r>
      <w:r w:rsidR="001E423B" w:rsidRPr="000222B4">
        <w:rPr>
          <w:vertAlign w:val="subscript"/>
        </w:rPr>
        <w:t>CMAX,</w:t>
      </w:r>
      <w:r w:rsidR="007C593D">
        <w:rPr>
          <w:vertAlign w:val="subscript"/>
        </w:rPr>
        <w:t>k</w:t>
      </w:r>
      <w:r w:rsidR="001E423B" w:rsidRPr="00C72003">
        <w:t>.</w:t>
      </w:r>
      <w:r w:rsidR="001E423B">
        <w:t xml:space="preserve"> </w:t>
      </w:r>
      <w:r w:rsidR="00A26FAC" w:rsidRPr="00A26FAC">
        <w:t xml:space="preserve">When two panels transmit simultaneously, the sum of the </w:t>
      </w:r>
      <w:r w:rsidR="007C593D">
        <w:t>P</w:t>
      </w:r>
      <w:r w:rsidR="007C593D" w:rsidRPr="00C72003">
        <w:rPr>
          <w:vertAlign w:val="subscript"/>
        </w:rPr>
        <w:t>PUSCH,1</w:t>
      </w:r>
      <w:r w:rsidR="007C593D">
        <w:t xml:space="preserve"> and P</w:t>
      </w:r>
      <w:r w:rsidR="007C593D" w:rsidRPr="00C72003">
        <w:rPr>
          <w:vertAlign w:val="subscript"/>
        </w:rPr>
        <w:t>PUSCH,2</w:t>
      </w:r>
      <w:r w:rsidR="00A26FAC" w:rsidRPr="00A26FAC">
        <w:t xml:space="preserve"> must not exceed the maximum output power</w:t>
      </w:r>
      <w:r w:rsidR="00A26FAC">
        <w:t xml:space="preserve"> P</w:t>
      </w:r>
      <w:r w:rsidR="00A26FAC" w:rsidRPr="00A26FAC">
        <w:rPr>
          <w:vertAlign w:val="subscript"/>
        </w:rPr>
        <w:t>CMAX</w:t>
      </w:r>
      <w:r w:rsidR="007C593D">
        <w:rPr>
          <w:vertAlign w:val="subscript"/>
        </w:rPr>
        <w:t>,UE</w:t>
      </w:r>
      <w:r w:rsidR="00A26FAC">
        <w:t xml:space="preserve"> which is</w:t>
      </w:r>
      <w:r w:rsidR="00A26FAC" w:rsidRPr="00A26FAC">
        <w:t xml:space="preserve"> specified for the UE.</w:t>
      </w:r>
      <w:r w:rsidR="00A26FAC">
        <w:t xml:space="preserve"> </w:t>
      </w:r>
      <w:r w:rsidR="00A26FAC" w:rsidRPr="00A26FAC">
        <w:t xml:space="preserve">And since we agreed that asymmetric panels are not supported, the relationship between these </w:t>
      </w:r>
      <w:r w:rsidR="00A26FAC">
        <w:t xml:space="preserve">maximum </w:t>
      </w:r>
      <w:r w:rsidR="00A26FAC" w:rsidRPr="00A26FAC">
        <w:t xml:space="preserve">transmit powers can be expressed </w:t>
      </w:r>
      <w:r w:rsidR="00A26FAC">
        <w:t xml:space="preserve">as </w:t>
      </w:r>
      <w:r w:rsidR="00A26FAC">
        <w:t>P</w:t>
      </w:r>
      <w:r w:rsidR="00A26FAC" w:rsidRPr="000222B4">
        <w:rPr>
          <w:vertAlign w:val="subscript"/>
        </w:rPr>
        <w:t>CMAX,1</w:t>
      </w:r>
      <w:r w:rsidR="00A26FAC" w:rsidRPr="000222B4">
        <w:t xml:space="preserve"> </w:t>
      </w:r>
      <w:r w:rsidR="00A26FAC">
        <w:t>=</w:t>
      </w:r>
      <w:r w:rsidR="00A26FAC" w:rsidRPr="000222B4">
        <w:t xml:space="preserve"> </w:t>
      </w:r>
      <w:r w:rsidR="00A26FAC">
        <w:t>P</w:t>
      </w:r>
      <w:r w:rsidR="00A26FAC" w:rsidRPr="000222B4">
        <w:rPr>
          <w:vertAlign w:val="subscript"/>
        </w:rPr>
        <w:t>CMAX,</w:t>
      </w:r>
      <w:r w:rsidR="00A26FAC">
        <w:rPr>
          <w:vertAlign w:val="subscript"/>
        </w:rPr>
        <w:t>2</w:t>
      </w:r>
      <w:r w:rsidR="00A26FAC" w:rsidRPr="00743756">
        <w:t xml:space="preserve"> </w:t>
      </w:r>
      <m:oMath>
        <m:r>
          <m:rPr>
            <m:sty m:val="b"/>
          </m:rPr>
          <w:rPr>
            <w:rFonts w:ascii="Cambria Math" w:hAnsi="Cambria Math"/>
          </w:rPr>
          <m:t>≤</m:t>
        </m:r>
      </m:oMath>
      <w:r w:rsidR="00A26FAC">
        <w:t xml:space="preserve"> </w:t>
      </w:r>
      <w:r w:rsidR="00A26FAC" w:rsidRPr="000222B4">
        <w:t>P</w:t>
      </w:r>
      <w:r w:rsidR="00A26FAC" w:rsidRPr="000222B4">
        <w:rPr>
          <w:vertAlign w:val="subscript"/>
        </w:rPr>
        <w:t>CMAX</w:t>
      </w:r>
      <w:r w:rsidR="007C593D">
        <w:rPr>
          <w:vertAlign w:val="subscript"/>
        </w:rPr>
        <w:t>,UE</w:t>
      </w:r>
      <w:r w:rsidR="00A26FAC" w:rsidRPr="00743756">
        <w:t>/</w:t>
      </w:r>
      <w:r w:rsidR="00A26FAC">
        <w:t>2</w:t>
      </w:r>
      <w:r w:rsidR="00A26FAC">
        <w:t xml:space="preserve">. </w:t>
      </w:r>
      <w:r w:rsidR="007C593D">
        <w:t xml:space="preserve">In order to configure </w:t>
      </w:r>
      <w:r w:rsidR="00231729">
        <w:t xml:space="preserve">the </w:t>
      </w:r>
      <w:r w:rsidR="00231729">
        <w:t>P</w:t>
      </w:r>
      <w:r w:rsidR="00231729" w:rsidRPr="000222B4">
        <w:rPr>
          <w:vertAlign w:val="subscript"/>
        </w:rPr>
        <w:t>CMAX,</w:t>
      </w:r>
      <w:r w:rsidR="00231729">
        <w:rPr>
          <w:vertAlign w:val="subscript"/>
        </w:rPr>
        <w:t>k</w:t>
      </w:r>
      <w:r w:rsidR="007C593D">
        <w:t xml:space="preserve"> </w:t>
      </w:r>
      <w:r w:rsidR="00231729">
        <w:t xml:space="preserve">as </w:t>
      </w:r>
      <w:r w:rsidR="007C593D">
        <w:t xml:space="preserve">different value from existing </w:t>
      </w:r>
      <w:r w:rsidR="007C593D" w:rsidRPr="000222B4">
        <w:t>P</w:t>
      </w:r>
      <w:r w:rsidR="007C593D" w:rsidRPr="000222B4">
        <w:rPr>
          <w:vertAlign w:val="subscript"/>
        </w:rPr>
        <w:t>CMAX</w:t>
      </w:r>
      <w:r w:rsidR="007C593D">
        <w:rPr>
          <w:vertAlign w:val="subscript"/>
        </w:rPr>
        <w:t>,UE</w:t>
      </w:r>
      <w:r w:rsidR="007C593D">
        <w:t>, new RRC parameter is needed</w:t>
      </w:r>
      <w:r w:rsidR="00231729">
        <w:t>.</w:t>
      </w:r>
    </w:p>
    <w:p w14:paraId="5C8A4FFD" w14:textId="4CAA5185" w:rsidR="00231729" w:rsidRDefault="00231729" w:rsidP="001E423B">
      <w:pPr>
        <w:rPr>
          <w:rFonts w:hint="eastAsia"/>
        </w:rPr>
      </w:pPr>
      <w:r w:rsidRPr="00D67940">
        <w:rPr>
          <w:b/>
        </w:rPr>
        <w:t xml:space="preserve">Proposal </w:t>
      </w:r>
      <w:r>
        <w:rPr>
          <w:b/>
        </w:rPr>
        <w:t>5</w:t>
      </w:r>
      <w:r w:rsidRPr="00D67940">
        <w:rPr>
          <w:b/>
        </w:rPr>
        <w:t xml:space="preserve">: </w:t>
      </w:r>
      <w:r>
        <w:rPr>
          <w:b/>
        </w:rPr>
        <w:t xml:space="preserve">Introduce </w:t>
      </w:r>
      <w:r w:rsidR="00413C31">
        <w:rPr>
          <w:b/>
        </w:rPr>
        <w:t>some</w:t>
      </w:r>
      <w:r>
        <w:rPr>
          <w:b/>
        </w:rPr>
        <w:t xml:space="preserve"> new RRC parameter</w:t>
      </w:r>
      <w:r w:rsidR="00413C31">
        <w:rPr>
          <w:b/>
        </w:rPr>
        <w:t>s</w:t>
      </w:r>
      <w:r>
        <w:rPr>
          <w:b/>
        </w:rPr>
        <w:t xml:space="preserve"> for per-panel P</w:t>
      </w:r>
      <w:r w:rsidRPr="00231729">
        <w:rPr>
          <w:b/>
          <w:vertAlign w:val="subscript"/>
        </w:rPr>
        <w:t>CMAX</w:t>
      </w:r>
      <w:r w:rsidRPr="00231729">
        <w:rPr>
          <w:b/>
        </w:rPr>
        <w:t>.</w:t>
      </w:r>
    </w:p>
    <w:p w14:paraId="33E1B088" w14:textId="02A37012" w:rsidR="001E423B" w:rsidRDefault="00116E13" w:rsidP="001E423B">
      <w:r w:rsidRPr="00116E13">
        <w:t xml:space="preserve">While </w:t>
      </w:r>
      <w:r>
        <w:t xml:space="preserve">UE can avoid </w:t>
      </w:r>
      <w:r w:rsidRPr="00116E13">
        <w:t>the overheating problem</w:t>
      </w:r>
      <w:r>
        <w:t xml:space="preserve"> by this limitation</w:t>
      </w:r>
      <w:r w:rsidRPr="00116E13">
        <w:t>, it also causes reduction of transmission power by half when falling back from multi-panel transmission to single-panel transmission.</w:t>
      </w:r>
      <w:r>
        <w:t xml:space="preserve"> </w:t>
      </w:r>
      <w:r w:rsidR="00413C31" w:rsidRPr="00413C31">
        <w:t xml:space="preserve">When STxMP is </w:t>
      </w:r>
      <w:r w:rsidR="00413C31">
        <w:t>configured</w:t>
      </w:r>
      <w:r w:rsidR="00413C31" w:rsidRPr="00413C31">
        <w:t xml:space="preserve"> and the SRS resource set indicator </w:t>
      </w:r>
      <w:r w:rsidR="00413C31">
        <w:t>is</w:t>
      </w:r>
      <w:r w:rsidR="00413C31" w:rsidRPr="00413C31">
        <w:t xml:space="preserve"> 00 or 01, it is assumed that the UE determines the single panel transmit power P</w:t>
      </w:r>
      <w:r w:rsidR="00413C31" w:rsidRPr="00413C31">
        <w:rPr>
          <w:vertAlign w:val="subscript"/>
        </w:rPr>
        <w:t>PUSCH</w:t>
      </w:r>
      <w:r w:rsidR="00413C31" w:rsidRPr="00413C31">
        <w:t xml:space="preserve"> based on P</w:t>
      </w:r>
      <w:r w:rsidR="00413C31" w:rsidRPr="00413C31">
        <w:rPr>
          <w:vertAlign w:val="subscript"/>
        </w:rPr>
        <w:t>CMAX,k</w:t>
      </w:r>
      <w:r w:rsidR="00413C31">
        <w:t xml:space="preserve">. </w:t>
      </w:r>
      <w:r w:rsidR="00C25335" w:rsidRPr="00C25335">
        <w:t>Since the transmi</w:t>
      </w:r>
      <w:r w:rsidR="00C25335">
        <w:t>ssion</w:t>
      </w:r>
      <w:r w:rsidR="00C25335" w:rsidRPr="00C25335">
        <w:t xml:space="preserve"> power should be as large as possible, a specification is needed that allows P</w:t>
      </w:r>
      <w:r w:rsidR="00C25335" w:rsidRPr="00C25335">
        <w:rPr>
          <w:vertAlign w:val="subscript"/>
        </w:rPr>
        <w:t>PUSCH</w:t>
      </w:r>
      <w:r w:rsidR="00C25335" w:rsidRPr="00C25335">
        <w:t xml:space="preserve"> to be determined based on P</w:t>
      </w:r>
      <w:r w:rsidR="00C25335" w:rsidRPr="00C25335">
        <w:rPr>
          <w:vertAlign w:val="subscript"/>
        </w:rPr>
        <w:t>CMAX,UE</w:t>
      </w:r>
      <w:r w:rsidR="00C25335" w:rsidRPr="00C25335">
        <w:t xml:space="preserve"> </w:t>
      </w:r>
      <w:r w:rsidR="00C25335">
        <w:t>in this case</w:t>
      </w:r>
      <w:r w:rsidR="00C25335" w:rsidRPr="00C25335">
        <w:t>.</w:t>
      </w:r>
      <w:r w:rsidR="00C25335">
        <w:t xml:space="preserve"> </w:t>
      </w:r>
      <w:r w:rsidR="00C25335" w:rsidRPr="00C25335">
        <w:t xml:space="preserve">This can be accomplished by introducing </w:t>
      </w:r>
      <w:r w:rsidR="00343051">
        <w:t>a</w:t>
      </w:r>
      <w:r w:rsidR="00C25335" w:rsidRPr="00C25335">
        <w:t xml:space="preserve"> capability to transmit at the same power for single-panel transmissions as for multi-panel transmissions.</w:t>
      </w:r>
      <w:r w:rsidR="00343051">
        <w:t xml:space="preserve"> Therefore, w</w:t>
      </w:r>
      <w:r w:rsidR="00343051" w:rsidRPr="00343051">
        <w:t>e should support new capability to avoid power reduction</w:t>
      </w:r>
      <w:r w:rsidR="00343051">
        <w:t xml:space="preserve"> when the fallback to a single-panel transmission</w:t>
      </w:r>
      <w:r w:rsidR="00343051" w:rsidRPr="00343051">
        <w:t>.</w:t>
      </w:r>
    </w:p>
    <w:p w14:paraId="0CE3154B" w14:textId="77777777" w:rsidR="00343051" w:rsidRDefault="00343051" w:rsidP="00343051">
      <w:pPr>
        <w:rPr>
          <w:rFonts w:hint="eastAsia"/>
        </w:rPr>
      </w:pPr>
      <w:r w:rsidRPr="00D67940">
        <w:rPr>
          <w:b/>
        </w:rPr>
        <w:t xml:space="preserve">Proposal </w:t>
      </w:r>
      <w:r>
        <w:rPr>
          <w:b/>
        </w:rPr>
        <w:t>6</w:t>
      </w:r>
      <w:r w:rsidRPr="00D67940">
        <w:rPr>
          <w:b/>
        </w:rPr>
        <w:t xml:space="preserve">: </w:t>
      </w:r>
      <w:r>
        <w:rPr>
          <w:b/>
        </w:rPr>
        <w:t>Introduce new capability to avoid power reduction when the fallback to a single-panel transmission</w:t>
      </w:r>
      <w:r w:rsidRPr="00231729">
        <w:rPr>
          <w:b/>
        </w:rPr>
        <w:t>.</w:t>
      </w:r>
    </w:p>
    <w:p w14:paraId="19E0F487" w14:textId="77777777" w:rsidR="00633B7A" w:rsidRPr="00343051" w:rsidRDefault="00633B7A" w:rsidP="001D2DCE">
      <w:pPr>
        <w:rPr>
          <w:rFonts w:hint="eastAsia"/>
        </w:rPr>
      </w:pPr>
    </w:p>
    <w:p w14:paraId="1BA1DAE9" w14:textId="78DCB534"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B1FE2A3" w14:textId="77777777" w:rsidR="00D94940" w:rsidRPr="009C718F" w:rsidRDefault="00D94940" w:rsidP="00D94940">
      <w:pPr>
        <w:rPr>
          <w:rFonts w:eastAsia="SimSun"/>
          <w:b/>
          <w:lang w:eastAsia="zh-CN"/>
        </w:rPr>
      </w:pPr>
      <w:r w:rsidRPr="009C718F">
        <w:rPr>
          <w:rFonts w:eastAsia="SimSun"/>
          <w:b/>
          <w:lang w:eastAsia="zh-CN"/>
        </w:rPr>
        <w:t>Proposal 1: The codepoint 11 of SRS resource set indicator should be reserved.</w:t>
      </w:r>
    </w:p>
    <w:p w14:paraId="46CC27F7" w14:textId="77777777" w:rsidR="00D94940" w:rsidRPr="00B63CD3" w:rsidRDefault="00D94940" w:rsidP="00D94940">
      <w:pPr>
        <w:rPr>
          <w:b/>
        </w:rPr>
      </w:pPr>
      <w:r w:rsidRPr="00B63CD3">
        <w:rPr>
          <w:rFonts w:hint="eastAsia"/>
          <w:b/>
        </w:rPr>
        <w:t>P</w:t>
      </w:r>
      <w:r w:rsidRPr="00B63CD3">
        <w:rPr>
          <w:b/>
        </w:rPr>
        <w:t xml:space="preserve">roposal </w:t>
      </w:r>
      <w:r>
        <w:rPr>
          <w:b/>
        </w:rPr>
        <w:t>2</w:t>
      </w:r>
      <w:r w:rsidRPr="00B63CD3">
        <w:rPr>
          <w:b/>
        </w:rPr>
        <w:t xml:space="preserve">: We should </w:t>
      </w:r>
      <w:r>
        <w:rPr>
          <w:b/>
        </w:rPr>
        <w:t>enhance the dropping rule for DG/CG PUSCH on multi-DCI based STxMP</w:t>
      </w:r>
      <w:r w:rsidRPr="00B63CD3">
        <w:rPr>
          <w:b/>
          <w:lang w:val="en-CA"/>
        </w:rPr>
        <w:t>.</w:t>
      </w:r>
    </w:p>
    <w:p w14:paraId="4A1846BD" w14:textId="77777777" w:rsidR="00D94940" w:rsidRPr="00AF2399" w:rsidRDefault="00D94940" w:rsidP="00D94940">
      <w:pPr>
        <w:rPr>
          <w:b/>
        </w:rPr>
      </w:pPr>
      <w:r w:rsidRPr="00AF2399">
        <w:rPr>
          <w:rFonts w:hint="eastAsia"/>
          <w:b/>
        </w:rPr>
        <w:t>P</w:t>
      </w:r>
      <w:r w:rsidRPr="00AF2399">
        <w:rPr>
          <w:b/>
        </w:rPr>
        <w:t>roposal 3: We should achieve the agreement of the DFT-s-OFDM waveform for STxMP transmission according to the proposals in RAN1#113 meeting.</w:t>
      </w:r>
    </w:p>
    <w:p w14:paraId="64D0B023" w14:textId="77777777" w:rsidR="00D94940" w:rsidRPr="000222B4" w:rsidRDefault="00D94940" w:rsidP="00D94940">
      <w:pPr>
        <w:rPr>
          <w:b/>
        </w:rPr>
      </w:pPr>
      <w:r w:rsidRPr="000222B4">
        <w:rPr>
          <w:b/>
        </w:rPr>
        <w:t xml:space="preserve">Proposal </w:t>
      </w:r>
      <w:r>
        <w:rPr>
          <w:b/>
        </w:rPr>
        <w:t>4</w:t>
      </w:r>
      <w:r w:rsidRPr="000222B4">
        <w:rPr>
          <w:b/>
        </w:rPr>
        <w:t>: We should discuss the following at least to support proper power control for STxMP.</w:t>
      </w:r>
    </w:p>
    <w:p w14:paraId="35021D89" w14:textId="77777777" w:rsidR="00D94940" w:rsidRPr="000222B4" w:rsidRDefault="00D94940" w:rsidP="00D94940">
      <w:pPr>
        <w:pStyle w:val="aff5"/>
        <w:numPr>
          <w:ilvl w:val="0"/>
          <w:numId w:val="30"/>
        </w:numPr>
        <w:ind w:leftChars="0"/>
        <w:rPr>
          <w:b/>
        </w:rPr>
      </w:pPr>
      <w:r w:rsidRPr="000222B4">
        <w:rPr>
          <w:b/>
        </w:rPr>
        <w:t xml:space="preserve">Power limits </w:t>
      </w:r>
      <w:r>
        <w:rPr>
          <w:b/>
        </w:rPr>
        <w:t>for multi-panel transmission</w:t>
      </w:r>
    </w:p>
    <w:p w14:paraId="2D33DD0C" w14:textId="77777777" w:rsidR="00D94940" w:rsidRPr="000222B4" w:rsidRDefault="00D94940" w:rsidP="00D94940">
      <w:pPr>
        <w:pStyle w:val="aff5"/>
        <w:numPr>
          <w:ilvl w:val="0"/>
          <w:numId w:val="30"/>
        </w:numPr>
        <w:ind w:leftChars="0"/>
        <w:rPr>
          <w:b/>
        </w:rPr>
      </w:pPr>
      <w:r w:rsidRPr="000222B4">
        <w:rPr>
          <w:b/>
        </w:rPr>
        <w:t>Per-panel open</w:t>
      </w:r>
      <w:r>
        <w:rPr>
          <w:rFonts w:hint="eastAsia"/>
          <w:b/>
        </w:rPr>
        <w:t>/closed</w:t>
      </w:r>
      <w:r w:rsidRPr="000222B4">
        <w:rPr>
          <w:b/>
        </w:rPr>
        <w:t xml:space="preserve">-loop power control </w:t>
      </w:r>
    </w:p>
    <w:p w14:paraId="39B3EBC1" w14:textId="77777777" w:rsidR="00D94940" w:rsidRPr="000222B4" w:rsidRDefault="00D94940" w:rsidP="00D94940">
      <w:pPr>
        <w:pStyle w:val="aff5"/>
        <w:numPr>
          <w:ilvl w:val="0"/>
          <w:numId w:val="30"/>
        </w:numPr>
        <w:ind w:leftChars="0"/>
        <w:rPr>
          <w:b/>
        </w:rPr>
      </w:pPr>
      <w:r w:rsidRPr="000222B4">
        <w:rPr>
          <w:b/>
        </w:rPr>
        <w:t>Panel-specific PHR reporting</w:t>
      </w:r>
    </w:p>
    <w:p w14:paraId="16FF853A" w14:textId="77777777" w:rsidR="00343051" w:rsidRDefault="00343051" w:rsidP="00343051">
      <w:pPr>
        <w:rPr>
          <w:rFonts w:hint="eastAsia"/>
        </w:rPr>
      </w:pPr>
      <w:r w:rsidRPr="00D67940">
        <w:rPr>
          <w:b/>
        </w:rPr>
        <w:t xml:space="preserve">Proposal </w:t>
      </w:r>
      <w:r>
        <w:rPr>
          <w:b/>
        </w:rPr>
        <w:t>5</w:t>
      </w:r>
      <w:r w:rsidRPr="00D67940">
        <w:rPr>
          <w:b/>
        </w:rPr>
        <w:t xml:space="preserve">: </w:t>
      </w:r>
      <w:r>
        <w:rPr>
          <w:b/>
        </w:rPr>
        <w:t>Introduce some new RRC parameters for per-panel P</w:t>
      </w:r>
      <w:r w:rsidRPr="00231729">
        <w:rPr>
          <w:b/>
          <w:vertAlign w:val="subscript"/>
        </w:rPr>
        <w:t>CMAX</w:t>
      </w:r>
      <w:r w:rsidRPr="00231729">
        <w:rPr>
          <w:b/>
        </w:rPr>
        <w:t>.</w:t>
      </w:r>
    </w:p>
    <w:p w14:paraId="7EB4A25A" w14:textId="77777777" w:rsidR="00343051" w:rsidRDefault="00343051" w:rsidP="00343051">
      <w:pPr>
        <w:rPr>
          <w:rFonts w:hint="eastAsia"/>
        </w:rPr>
      </w:pPr>
      <w:r w:rsidRPr="00D67940">
        <w:rPr>
          <w:b/>
        </w:rPr>
        <w:lastRenderedPageBreak/>
        <w:t xml:space="preserve">Proposal </w:t>
      </w:r>
      <w:r>
        <w:rPr>
          <w:b/>
        </w:rPr>
        <w:t>6</w:t>
      </w:r>
      <w:r w:rsidRPr="00D67940">
        <w:rPr>
          <w:b/>
        </w:rPr>
        <w:t xml:space="preserve">: </w:t>
      </w:r>
      <w:r>
        <w:rPr>
          <w:b/>
        </w:rPr>
        <w:t>Introduce new capability to avoid power reduction when the fallback to a single-panel transmission</w:t>
      </w:r>
      <w:r w:rsidRPr="00231729">
        <w:rPr>
          <w:b/>
        </w:rPr>
        <w:t>.</w:t>
      </w:r>
    </w:p>
    <w:p w14:paraId="04F24804" w14:textId="77777777" w:rsidR="008B4BFC" w:rsidRPr="00343051" w:rsidRDefault="008B4BFC" w:rsidP="00EA4487">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240E640B"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0B442E9C" w14:textId="2F07B690" w:rsidR="00161AD5" w:rsidRPr="00EF4582" w:rsidRDefault="00EF4582" w:rsidP="00EF4582">
      <w:pPr>
        <w:pStyle w:val="textintend2"/>
        <w:widowControl w:val="0"/>
        <w:spacing w:after="0"/>
        <w:rPr>
          <w:szCs w:val="24"/>
          <w:lang w:eastAsia="ja-JP"/>
        </w:rPr>
      </w:pPr>
      <w:r w:rsidRPr="00EF4582">
        <w:rPr>
          <w:szCs w:val="24"/>
          <w:lang w:eastAsia="ja-JP"/>
        </w:rPr>
        <w:t>RAN1 Meetin</w:t>
      </w:r>
      <w:r w:rsidR="007108AA">
        <w:rPr>
          <w:szCs w:val="24"/>
          <w:lang w:eastAsia="ja-JP"/>
        </w:rPr>
        <w:t>g#11</w:t>
      </w:r>
      <w:r w:rsidR="00FC1DD7">
        <w:rPr>
          <w:szCs w:val="24"/>
          <w:lang w:eastAsia="ja-JP"/>
        </w:rPr>
        <w:t>3</w:t>
      </w:r>
      <w:r>
        <w:rPr>
          <w:szCs w:val="24"/>
          <w:lang w:eastAsia="ja-JP"/>
        </w:rPr>
        <w:t>, Chair's notes RAN1#11</w:t>
      </w:r>
      <w:r w:rsidR="00D94940">
        <w:rPr>
          <w:szCs w:val="24"/>
          <w:lang w:eastAsia="ja-JP"/>
        </w:rPr>
        <w:t>3</w:t>
      </w:r>
      <w:r w:rsidRPr="00EF4582">
        <w:rPr>
          <w:szCs w:val="24"/>
          <w:lang w:eastAsia="ja-JP"/>
        </w:rPr>
        <w:t>.</w:t>
      </w:r>
    </w:p>
    <w:sectPr w:rsidR="00161AD5" w:rsidRPr="00EF458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F84D9" w14:textId="77777777" w:rsidR="004E19EB" w:rsidRDefault="004E19EB">
      <w:r>
        <w:separator/>
      </w:r>
    </w:p>
  </w:endnote>
  <w:endnote w:type="continuationSeparator" w:id="0">
    <w:p w14:paraId="07F62E81" w14:textId="77777777" w:rsidR="004E19EB" w:rsidRDefault="004E19EB">
      <w:r>
        <w:continuationSeparator/>
      </w:r>
    </w:p>
  </w:endnote>
  <w:endnote w:type="continuationNotice" w:id="1">
    <w:p w14:paraId="0A57D3D5" w14:textId="77777777" w:rsidR="004E19EB" w:rsidRDefault="004E1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E84179" w:rsidRDefault="00E8417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E84179" w:rsidRDefault="00E8417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D7953" w14:textId="77777777" w:rsidR="004E19EB" w:rsidRDefault="004E19EB">
      <w:r>
        <w:separator/>
      </w:r>
    </w:p>
  </w:footnote>
  <w:footnote w:type="continuationSeparator" w:id="0">
    <w:p w14:paraId="36D12BE2" w14:textId="77777777" w:rsidR="004E19EB" w:rsidRDefault="004E19EB">
      <w:r>
        <w:continuationSeparator/>
      </w:r>
    </w:p>
  </w:footnote>
  <w:footnote w:type="continuationNotice" w:id="1">
    <w:p w14:paraId="7472E28F" w14:textId="77777777" w:rsidR="004E19EB" w:rsidRDefault="004E1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4A1FC1"/>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D51319"/>
    <w:multiLevelType w:val="hybridMultilevel"/>
    <w:tmpl w:val="BEC66BCA"/>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B4F71"/>
    <w:multiLevelType w:val="hybridMultilevel"/>
    <w:tmpl w:val="D1DA0EE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9D28DC"/>
    <w:multiLevelType w:val="hybridMultilevel"/>
    <w:tmpl w:val="A5089970"/>
    <w:lvl w:ilvl="0" w:tplc="04090001">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795059E"/>
    <w:multiLevelType w:val="hybridMultilevel"/>
    <w:tmpl w:val="4EAA5F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FA2D1B"/>
    <w:multiLevelType w:val="hybridMultilevel"/>
    <w:tmpl w:val="055E339A"/>
    <w:lvl w:ilvl="0" w:tplc="4E5CA9E4">
      <w:numFmt w:val="bullet"/>
      <w:lvlText w:val="-"/>
      <w:lvlJc w:val="left"/>
      <w:pPr>
        <w:ind w:left="1260" w:hanging="42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822735"/>
    <w:multiLevelType w:val="hybridMultilevel"/>
    <w:tmpl w:val="69D2F63A"/>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1"/>
  </w:num>
  <w:num w:numId="6">
    <w:abstractNumId w:val="22"/>
  </w:num>
  <w:num w:numId="7">
    <w:abstractNumId w:val="20"/>
  </w:num>
  <w:num w:numId="8">
    <w:abstractNumId w:val="5"/>
  </w:num>
  <w:num w:numId="9">
    <w:abstractNumId w:val="41"/>
  </w:num>
  <w:num w:numId="10">
    <w:abstractNumId w:val="19"/>
  </w:num>
  <w:num w:numId="11">
    <w:abstractNumId w:val="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3"/>
  </w:num>
  <w:num w:numId="15">
    <w:abstractNumId w:val="3"/>
  </w:num>
  <w:num w:numId="16">
    <w:abstractNumId w:val="43"/>
  </w:num>
  <w:num w:numId="17">
    <w:abstractNumId w:val="4"/>
  </w:num>
  <w:num w:numId="18">
    <w:abstractNumId w:val="16"/>
  </w:num>
  <w:num w:numId="19">
    <w:abstractNumId w:val="2"/>
  </w:num>
  <w:num w:numId="20">
    <w:abstractNumId w:val="38"/>
  </w:num>
  <w:num w:numId="21">
    <w:abstractNumId w:val="15"/>
  </w:num>
  <w:num w:numId="22">
    <w:abstractNumId w:val="28"/>
  </w:num>
  <w:num w:numId="23">
    <w:abstractNumId w:val="26"/>
  </w:num>
  <w:num w:numId="24">
    <w:abstractNumId w:val="13"/>
  </w:num>
  <w:num w:numId="25">
    <w:abstractNumId w:val="30"/>
  </w:num>
  <w:num w:numId="26">
    <w:abstractNumId w:val="32"/>
  </w:num>
  <w:num w:numId="27">
    <w:abstractNumId w:val="44"/>
  </w:num>
  <w:num w:numId="28">
    <w:abstractNumId w:val="9"/>
  </w:num>
  <w:num w:numId="29">
    <w:abstractNumId w:val="7"/>
  </w:num>
  <w:num w:numId="30">
    <w:abstractNumId w:val="18"/>
  </w:num>
  <w:num w:numId="31">
    <w:abstractNumId w:val="45"/>
  </w:num>
  <w:num w:numId="32">
    <w:abstractNumId w:val="17"/>
  </w:num>
  <w:num w:numId="33">
    <w:abstractNumId w:val="24"/>
  </w:num>
  <w:num w:numId="34">
    <w:abstractNumId w:val="46"/>
  </w:num>
  <w:num w:numId="35">
    <w:abstractNumId w:val="39"/>
  </w:num>
  <w:num w:numId="36">
    <w:abstractNumId w:val="0"/>
  </w:num>
  <w:num w:numId="37">
    <w:abstractNumId w:val="12"/>
  </w:num>
  <w:num w:numId="38">
    <w:abstractNumId w:val="23"/>
  </w:num>
  <w:num w:numId="39">
    <w:abstractNumId w:val="8"/>
  </w:num>
  <w:num w:numId="40">
    <w:abstractNumId w:val="25"/>
  </w:num>
  <w:num w:numId="41">
    <w:abstractNumId w:val="14"/>
  </w:num>
  <w:num w:numId="42">
    <w:abstractNumId w:val="29"/>
  </w:num>
  <w:num w:numId="43">
    <w:abstractNumId w:val="31"/>
  </w:num>
  <w:num w:numId="44">
    <w:abstractNumId w:val="40"/>
  </w:num>
  <w:num w:numId="45">
    <w:abstractNumId w:val="34"/>
  </w:num>
  <w:num w:numId="46">
    <w:abstractNumId w:val="42"/>
  </w:num>
  <w:num w:numId="47">
    <w:abstractNumId w:val="37"/>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2B4"/>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6AD"/>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96A"/>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FA2"/>
    <w:rsid w:val="000943AC"/>
    <w:rsid w:val="000948B8"/>
    <w:rsid w:val="00094987"/>
    <w:rsid w:val="00094E68"/>
    <w:rsid w:val="0009503F"/>
    <w:rsid w:val="000953E0"/>
    <w:rsid w:val="000958E3"/>
    <w:rsid w:val="00095AAF"/>
    <w:rsid w:val="00095B57"/>
    <w:rsid w:val="00095FBA"/>
    <w:rsid w:val="000961D4"/>
    <w:rsid w:val="0009651D"/>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94B"/>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9E6"/>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1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B"/>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6E13"/>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315"/>
    <w:rsid w:val="0018770B"/>
    <w:rsid w:val="001877B5"/>
    <w:rsid w:val="00187989"/>
    <w:rsid w:val="00187B1A"/>
    <w:rsid w:val="00187B63"/>
    <w:rsid w:val="00187D24"/>
    <w:rsid w:val="00187F7F"/>
    <w:rsid w:val="00190486"/>
    <w:rsid w:val="001906CC"/>
    <w:rsid w:val="0019081E"/>
    <w:rsid w:val="00190B42"/>
    <w:rsid w:val="00190CC7"/>
    <w:rsid w:val="00190CF8"/>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9F0"/>
    <w:rsid w:val="001A3C68"/>
    <w:rsid w:val="001A3ED2"/>
    <w:rsid w:val="001A406E"/>
    <w:rsid w:val="001A4299"/>
    <w:rsid w:val="001A43C2"/>
    <w:rsid w:val="001A4413"/>
    <w:rsid w:val="001A5210"/>
    <w:rsid w:val="001A54E9"/>
    <w:rsid w:val="001A55F3"/>
    <w:rsid w:val="001A57B9"/>
    <w:rsid w:val="001A598B"/>
    <w:rsid w:val="001A59FB"/>
    <w:rsid w:val="001A5D19"/>
    <w:rsid w:val="001A5EBC"/>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2DCE"/>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6F2D"/>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23B"/>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83F"/>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C77"/>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5F7"/>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729"/>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9EA"/>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DF6"/>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3BE"/>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14"/>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A56"/>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0B8"/>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6DE4"/>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6F4C"/>
    <w:rsid w:val="002F70FB"/>
    <w:rsid w:val="002F727B"/>
    <w:rsid w:val="002F734A"/>
    <w:rsid w:val="002F752D"/>
    <w:rsid w:val="002F77BA"/>
    <w:rsid w:val="002F7B39"/>
    <w:rsid w:val="002F7B82"/>
    <w:rsid w:val="00300139"/>
    <w:rsid w:val="003003EB"/>
    <w:rsid w:val="003005E3"/>
    <w:rsid w:val="00300652"/>
    <w:rsid w:val="00300723"/>
    <w:rsid w:val="0030087F"/>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33B"/>
    <w:rsid w:val="0033242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719"/>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051"/>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AA0"/>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7ED"/>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876"/>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B22"/>
    <w:rsid w:val="003B5D0F"/>
    <w:rsid w:val="003B5D5D"/>
    <w:rsid w:val="003B5E9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7C2"/>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A9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B56"/>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C31"/>
    <w:rsid w:val="00413D66"/>
    <w:rsid w:val="0041464E"/>
    <w:rsid w:val="00414684"/>
    <w:rsid w:val="004146AE"/>
    <w:rsid w:val="00414724"/>
    <w:rsid w:val="0041488B"/>
    <w:rsid w:val="00414F3E"/>
    <w:rsid w:val="004151DE"/>
    <w:rsid w:val="00415213"/>
    <w:rsid w:val="0041574B"/>
    <w:rsid w:val="00415C99"/>
    <w:rsid w:val="00415D01"/>
    <w:rsid w:val="00415DAF"/>
    <w:rsid w:val="00415F31"/>
    <w:rsid w:val="00416052"/>
    <w:rsid w:val="004160B9"/>
    <w:rsid w:val="004161E6"/>
    <w:rsid w:val="0041678F"/>
    <w:rsid w:val="004169F3"/>
    <w:rsid w:val="00416C84"/>
    <w:rsid w:val="0041721E"/>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E74"/>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02"/>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E89"/>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0B5"/>
    <w:rsid w:val="0046614C"/>
    <w:rsid w:val="0046625D"/>
    <w:rsid w:val="004662D1"/>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6C36"/>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1A9E"/>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0E48"/>
    <w:rsid w:val="004E1050"/>
    <w:rsid w:val="004E105D"/>
    <w:rsid w:val="004E1244"/>
    <w:rsid w:val="004E1246"/>
    <w:rsid w:val="004E19EB"/>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316"/>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1C66"/>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C21"/>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BF8"/>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04"/>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3C"/>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10"/>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5B2"/>
    <w:rsid w:val="0057166C"/>
    <w:rsid w:val="00571934"/>
    <w:rsid w:val="00571E86"/>
    <w:rsid w:val="00572448"/>
    <w:rsid w:val="005725AA"/>
    <w:rsid w:val="00572998"/>
    <w:rsid w:val="00572B70"/>
    <w:rsid w:val="00573200"/>
    <w:rsid w:val="005736C8"/>
    <w:rsid w:val="005738BF"/>
    <w:rsid w:val="00573B11"/>
    <w:rsid w:val="00573F08"/>
    <w:rsid w:val="0057406B"/>
    <w:rsid w:val="00574D13"/>
    <w:rsid w:val="00574DDA"/>
    <w:rsid w:val="00574F1C"/>
    <w:rsid w:val="0057510D"/>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521"/>
    <w:rsid w:val="00581724"/>
    <w:rsid w:val="00581847"/>
    <w:rsid w:val="00581C3A"/>
    <w:rsid w:val="00582005"/>
    <w:rsid w:val="00582296"/>
    <w:rsid w:val="005822E0"/>
    <w:rsid w:val="00582403"/>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060"/>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491"/>
    <w:rsid w:val="005F15E6"/>
    <w:rsid w:val="005F18F0"/>
    <w:rsid w:val="005F1A48"/>
    <w:rsid w:val="005F1D45"/>
    <w:rsid w:val="005F1E31"/>
    <w:rsid w:val="005F1F06"/>
    <w:rsid w:val="005F200C"/>
    <w:rsid w:val="005F2029"/>
    <w:rsid w:val="005F2118"/>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3B7A"/>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BC"/>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4ACC"/>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252"/>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64D"/>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48"/>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32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90"/>
    <w:rsid w:val="006C5AD0"/>
    <w:rsid w:val="006C5E84"/>
    <w:rsid w:val="006C6710"/>
    <w:rsid w:val="006C6AC7"/>
    <w:rsid w:val="006C6EEC"/>
    <w:rsid w:val="006C6EFC"/>
    <w:rsid w:val="006C7247"/>
    <w:rsid w:val="006C72E0"/>
    <w:rsid w:val="006C7B92"/>
    <w:rsid w:val="006D022D"/>
    <w:rsid w:val="006D0294"/>
    <w:rsid w:val="006D0384"/>
    <w:rsid w:val="006D049A"/>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90E"/>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AA"/>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695"/>
    <w:rsid w:val="007358DB"/>
    <w:rsid w:val="007359BF"/>
    <w:rsid w:val="00735ACD"/>
    <w:rsid w:val="00735B4A"/>
    <w:rsid w:val="00736090"/>
    <w:rsid w:val="007360EC"/>
    <w:rsid w:val="00736A42"/>
    <w:rsid w:val="00736BF0"/>
    <w:rsid w:val="00736DA6"/>
    <w:rsid w:val="00737081"/>
    <w:rsid w:val="00737305"/>
    <w:rsid w:val="007373DC"/>
    <w:rsid w:val="007375D0"/>
    <w:rsid w:val="00737715"/>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756"/>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478F4"/>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827"/>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27"/>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50D"/>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A92"/>
    <w:rsid w:val="007B5D90"/>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93D"/>
    <w:rsid w:val="007C5A7A"/>
    <w:rsid w:val="007C5D58"/>
    <w:rsid w:val="007C5E6B"/>
    <w:rsid w:val="007C60DE"/>
    <w:rsid w:val="007C63D6"/>
    <w:rsid w:val="007C6560"/>
    <w:rsid w:val="007C6713"/>
    <w:rsid w:val="007C68AB"/>
    <w:rsid w:val="007C6BB8"/>
    <w:rsid w:val="007C728F"/>
    <w:rsid w:val="007C72C7"/>
    <w:rsid w:val="007C7384"/>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C3"/>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31"/>
    <w:rsid w:val="007D4FD5"/>
    <w:rsid w:val="007D5403"/>
    <w:rsid w:val="007D54A7"/>
    <w:rsid w:val="007D56C1"/>
    <w:rsid w:val="007D58BE"/>
    <w:rsid w:val="007D601C"/>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7DD"/>
    <w:rsid w:val="007E6946"/>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5B7"/>
    <w:rsid w:val="0080660C"/>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DA6"/>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BE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7DB"/>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67E2D"/>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419"/>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1BE"/>
    <w:rsid w:val="00890A4B"/>
    <w:rsid w:val="00890AD7"/>
    <w:rsid w:val="00890F62"/>
    <w:rsid w:val="0089136C"/>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3D91"/>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4BFC"/>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B7D"/>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E76"/>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C6"/>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9C4"/>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30"/>
    <w:rsid w:val="009260F4"/>
    <w:rsid w:val="00926365"/>
    <w:rsid w:val="00926553"/>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38"/>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1656"/>
    <w:rsid w:val="009721F2"/>
    <w:rsid w:val="009729A3"/>
    <w:rsid w:val="00972B6A"/>
    <w:rsid w:val="00972D78"/>
    <w:rsid w:val="009730F4"/>
    <w:rsid w:val="009731D4"/>
    <w:rsid w:val="009733F5"/>
    <w:rsid w:val="00973446"/>
    <w:rsid w:val="009737ED"/>
    <w:rsid w:val="00973B19"/>
    <w:rsid w:val="00973F86"/>
    <w:rsid w:val="0097413F"/>
    <w:rsid w:val="009742ED"/>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97F"/>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18F"/>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0A7"/>
    <w:rsid w:val="009D32C6"/>
    <w:rsid w:val="009D32CD"/>
    <w:rsid w:val="009D35E5"/>
    <w:rsid w:val="009D374B"/>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96A"/>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2D3"/>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6FAC"/>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09A6"/>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D7"/>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3FC"/>
    <w:rsid w:val="00A83767"/>
    <w:rsid w:val="00A83C7D"/>
    <w:rsid w:val="00A83DAE"/>
    <w:rsid w:val="00A83F45"/>
    <w:rsid w:val="00A845A6"/>
    <w:rsid w:val="00A8479A"/>
    <w:rsid w:val="00A849B4"/>
    <w:rsid w:val="00A849D1"/>
    <w:rsid w:val="00A84A56"/>
    <w:rsid w:val="00A8514A"/>
    <w:rsid w:val="00A853FD"/>
    <w:rsid w:val="00A85579"/>
    <w:rsid w:val="00A85637"/>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D72"/>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1EA1"/>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153"/>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48"/>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99"/>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4FB6"/>
    <w:rsid w:val="00AF5E42"/>
    <w:rsid w:val="00AF66EC"/>
    <w:rsid w:val="00AF6EA8"/>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3B8F"/>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27BC3"/>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CD3"/>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3D4"/>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5D1E"/>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B4C"/>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C12"/>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8AB"/>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335"/>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C62"/>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003"/>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82B"/>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56"/>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84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32F"/>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940"/>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40"/>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DD"/>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BAD"/>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A21"/>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0A5"/>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79"/>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779"/>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6DD"/>
    <w:rsid w:val="00E47B0A"/>
    <w:rsid w:val="00E47F64"/>
    <w:rsid w:val="00E500A4"/>
    <w:rsid w:val="00E50341"/>
    <w:rsid w:val="00E505C4"/>
    <w:rsid w:val="00E50631"/>
    <w:rsid w:val="00E50D7C"/>
    <w:rsid w:val="00E50E05"/>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47"/>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96"/>
    <w:rsid w:val="00E570EC"/>
    <w:rsid w:val="00E57675"/>
    <w:rsid w:val="00E57AAD"/>
    <w:rsid w:val="00E57B74"/>
    <w:rsid w:val="00E57D6F"/>
    <w:rsid w:val="00E60019"/>
    <w:rsid w:val="00E603F2"/>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179"/>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8EA"/>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BA"/>
    <w:rsid w:val="00EA37F3"/>
    <w:rsid w:val="00EA3854"/>
    <w:rsid w:val="00EA3AB1"/>
    <w:rsid w:val="00EA3E76"/>
    <w:rsid w:val="00EA3F3B"/>
    <w:rsid w:val="00EA402A"/>
    <w:rsid w:val="00EA4487"/>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3E5B"/>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C7"/>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4E3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599"/>
    <w:rsid w:val="00F05609"/>
    <w:rsid w:val="00F05655"/>
    <w:rsid w:val="00F056E2"/>
    <w:rsid w:val="00F0570E"/>
    <w:rsid w:val="00F05EFF"/>
    <w:rsid w:val="00F0639F"/>
    <w:rsid w:val="00F063BB"/>
    <w:rsid w:val="00F0741A"/>
    <w:rsid w:val="00F07618"/>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CFC"/>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536"/>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07A"/>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01A"/>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3DE"/>
    <w:rsid w:val="00FA1419"/>
    <w:rsid w:val="00FA2099"/>
    <w:rsid w:val="00FA2193"/>
    <w:rsid w:val="00FA2570"/>
    <w:rsid w:val="00FA258A"/>
    <w:rsid w:val="00FA290E"/>
    <w:rsid w:val="00FA2D2D"/>
    <w:rsid w:val="00FA343F"/>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4AF"/>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1DD7"/>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241"/>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305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 w:type="paragraph" w:customStyle="1" w:styleId="3GPPText">
    <w:name w:val="3GPP Text"/>
    <w:basedOn w:val="a"/>
    <w:link w:val="3GPPTextChar"/>
    <w:qFormat/>
    <w:rsid w:val="00DB33DD"/>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DB33DD"/>
    <w:rPr>
      <w:rFonts w:ascii="Times New Roman" w:eastAsia="SimSun" w:hAnsi="Times New Roman"/>
      <w:sz w:val="22"/>
      <w:lang w:eastAsia="en-US"/>
    </w:rPr>
  </w:style>
  <w:style w:type="character" w:customStyle="1" w:styleId="apple-converted-space">
    <w:name w:val="apple-converted-space"/>
    <w:qFormat/>
    <w:rsid w:val="003C77C2"/>
  </w:style>
  <w:style w:type="paragraph" w:customStyle="1" w:styleId="xmsonormal">
    <w:name w:val="x_msonormal"/>
    <w:basedOn w:val="a"/>
    <w:qFormat/>
    <w:rsid w:val="004662D1"/>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017569">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0454673">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A62D0-2A18-4584-A5A6-51C1CB40E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1805</Words>
  <Characters>10295</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森本涼太/研究員</cp:lastModifiedBy>
  <cp:revision>3</cp:revision>
  <cp:lastPrinted>2019-03-18T06:48:00Z</cp:lastPrinted>
  <dcterms:created xsi:type="dcterms:W3CDTF">2023-08-11T01:21:00Z</dcterms:created>
  <dcterms:modified xsi:type="dcterms:W3CDTF">2023-08-11T06:55:00Z</dcterms:modified>
</cp:coreProperties>
</file>