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52A9CBBB"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FF78BC">
        <w:rPr>
          <w:rFonts w:cs="Arial"/>
          <w:noProof w:val="0"/>
          <w:sz w:val="28"/>
          <w:szCs w:val="28"/>
          <w:lang w:val="en-US"/>
        </w:rPr>
        <w:t>4</w:t>
      </w:r>
      <w:r>
        <w:rPr>
          <w:rFonts w:cs="Arial"/>
          <w:noProof w:val="0"/>
          <w:sz w:val="28"/>
          <w:szCs w:val="28"/>
          <w:lang w:val="en-US"/>
        </w:rPr>
        <w:tab/>
      </w:r>
      <w:r w:rsidR="003B5C12" w:rsidRPr="003B5C12">
        <w:rPr>
          <w:rFonts w:cs="Arial"/>
          <w:sz w:val="28"/>
          <w:szCs w:val="28"/>
          <w:lang w:val="en-US"/>
        </w:rPr>
        <w:t>R1-2307431</w:t>
      </w:r>
    </w:p>
    <w:bookmarkEnd w:id="0"/>
    <w:p w14:paraId="6DCFB82B" w14:textId="2F05A297" w:rsidR="001E4E22" w:rsidRDefault="00FF78BC" w:rsidP="001E4E22">
      <w:pPr>
        <w:tabs>
          <w:tab w:val="center" w:pos="4536"/>
          <w:tab w:val="right" w:pos="9072"/>
        </w:tabs>
        <w:rPr>
          <w:rFonts w:ascii="Arial" w:eastAsia="ＭＳ 明朝" w:hAnsi="Arial" w:cs="Arial"/>
          <w:b/>
          <w:bCs/>
          <w:sz w:val="28"/>
        </w:rPr>
      </w:pPr>
      <w:r>
        <w:rPr>
          <w:rFonts w:ascii="Arial" w:eastAsia="ＭＳ 明朝" w:hAnsi="Arial" w:cs="Arial"/>
          <w:b/>
          <w:bCs/>
          <w:sz w:val="28"/>
        </w:rPr>
        <w:t>Toulouse</w:t>
      </w:r>
      <w:r w:rsidR="009F035F" w:rsidRPr="009F035F">
        <w:rPr>
          <w:rFonts w:ascii="Arial" w:eastAsia="ＭＳ 明朝" w:hAnsi="Arial" w:cs="Arial"/>
          <w:b/>
          <w:bCs/>
          <w:sz w:val="28"/>
        </w:rPr>
        <w:t xml:space="preserve">, </w:t>
      </w:r>
      <w:r>
        <w:rPr>
          <w:rFonts w:ascii="Arial" w:eastAsia="ＭＳ 明朝" w:hAnsi="Arial" w:cs="Arial"/>
          <w:b/>
          <w:bCs/>
          <w:sz w:val="28"/>
        </w:rPr>
        <w:t>France</w:t>
      </w:r>
      <w:r w:rsidR="00AF10F1">
        <w:rPr>
          <w:rFonts w:ascii="Arial" w:eastAsia="ＭＳ 明朝" w:hAnsi="Arial" w:cs="Arial"/>
          <w:b/>
          <w:bCs/>
          <w:sz w:val="28"/>
        </w:rPr>
        <w:t xml:space="preserve">, </w:t>
      </w:r>
      <w:r w:rsidR="00126A5C">
        <w:rPr>
          <w:rFonts w:ascii="Arial" w:eastAsia="ＭＳ 明朝" w:hAnsi="Arial" w:cs="Arial"/>
          <w:b/>
          <w:noProof/>
          <w:sz w:val="28"/>
          <w:szCs w:val="28"/>
          <w:lang w:val="en-US"/>
        </w:rPr>
        <w:t>Aug</w:t>
      </w:r>
      <w:r w:rsidR="00126A5C"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21</w:t>
      </w:r>
      <w:r>
        <w:rPr>
          <w:rFonts w:ascii="Arial" w:eastAsia="ＭＳ 明朝" w:hAnsi="Arial" w:cs="Arial"/>
          <w:b/>
          <w:noProof/>
          <w:sz w:val="28"/>
          <w:szCs w:val="28"/>
          <w:vertAlign w:val="superscript"/>
          <w:lang w:val="en-US"/>
        </w:rPr>
        <w:t>st</w:t>
      </w:r>
      <w:r w:rsidR="00820F45">
        <w:rPr>
          <w:rFonts w:ascii="Arial" w:eastAsia="ＭＳ 明朝" w:hAnsi="Arial" w:cs="Arial"/>
          <w:b/>
          <w:noProof/>
          <w:sz w:val="28"/>
          <w:szCs w:val="28"/>
          <w:lang w:val="en-US"/>
        </w:rPr>
        <w:t xml:space="preserve"> </w:t>
      </w:r>
      <w:r w:rsidR="00820F45" w:rsidRPr="00AA3A72">
        <w:rPr>
          <w:rFonts w:ascii="Arial" w:eastAsia="ＭＳ 明朝" w:hAnsi="Arial" w:cs="Arial"/>
          <w:b/>
          <w:noProof/>
          <w:sz w:val="28"/>
          <w:szCs w:val="28"/>
          <w:lang w:val="en-US"/>
        </w:rPr>
        <w:t>–</w:t>
      </w:r>
      <w:r w:rsidR="00820F45">
        <w:rPr>
          <w:rFonts w:ascii="Arial" w:eastAsia="ＭＳ 明朝" w:hAnsi="Arial" w:cs="Arial"/>
          <w:b/>
          <w:noProof/>
          <w:sz w:val="28"/>
          <w:szCs w:val="28"/>
          <w:lang w:val="en-US"/>
        </w:rPr>
        <w:t xml:space="preserve"> </w:t>
      </w:r>
      <w:r>
        <w:rPr>
          <w:rFonts w:ascii="Arial" w:eastAsia="ＭＳ 明朝" w:hAnsi="Arial" w:cs="Arial"/>
          <w:b/>
          <w:noProof/>
          <w:sz w:val="28"/>
          <w:szCs w:val="28"/>
          <w:lang w:val="en-US"/>
        </w:rPr>
        <w:t>25</w:t>
      </w:r>
      <w:r w:rsidR="00BD1D19">
        <w:rPr>
          <w:rFonts w:ascii="Arial" w:eastAsia="ＭＳ 明朝" w:hAnsi="Arial" w:cs="Arial"/>
          <w:b/>
          <w:noProof/>
          <w:sz w:val="28"/>
          <w:szCs w:val="28"/>
          <w:vertAlign w:val="superscript"/>
          <w:lang w:val="en-US"/>
        </w:rPr>
        <w:t>th</w:t>
      </w:r>
      <w:r w:rsidR="00820F45" w:rsidRPr="00AA3A72">
        <w:rPr>
          <w:rFonts w:ascii="Arial" w:eastAsia="ＭＳ 明朝" w:hAnsi="Arial" w:cs="Arial"/>
          <w:b/>
          <w:noProof/>
          <w:sz w:val="28"/>
          <w:szCs w:val="28"/>
          <w:lang w:val="en-US"/>
        </w:rPr>
        <w:t>, 202</w:t>
      </w:r>
      <w:r w:rsidR="00820F45">
        <w:rPr>
          <w:rFonts w:ascii="Arial" w:eastAsia="ＭＳ 明朝" w:hAnsi="Arial" w:cs="Arial"/>
          <w:b/>
          <w:noProof/>
          <w:sz w:val="28"/>
          <w:szCs w:val="28"/>
          <w:lang w:val="en-US"/>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5275563"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Discussions </w:t>
      </w:r>
      <w:r w:rsidR="000D59A9">
        <w:rPr>
          <w:rFonts w:ascii="Arial" w:hAnsi="Arial" w:cs="Arial"/>
          <w:b/>
          <w:color w:val="000000" w:themeColor="text1"/>
          <w:sz w:val="28"/>
          <w:szCs w:val="28"/>
          <w:lang w:val="en-US"/>
        </w:rPr>
        <w:t xml:space="preserve">on Coverage enhancement for NR </w:t>
      </w:r>
      <w:r w:rsidR="00F21815">
        <w:rPr>
          <w:rFonts w:ascii="Arial" w:hAnsi="Arial" w:cs="Arial"/>
          <w:b/>
          <w:color w:val="000000" w:themeColor="text1"/>
          <w:sz w:val="28"/>
          <w:szCs w:val="28"/>
          <w:lang w:val="en-US"/>
        </w:rPr>
        <w:t>NTN</w:t>
      </w:r>
    </w:p>
    <w:p w14:paraId="369A72EC" w14:textId="4C829F9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001962">
        <w:rPr>
          <w:rFonts w:ascii="Arial" w:hAnsi="Arial" w:cs="Arial" w:hint="eastAsia"/>
          <w:b/>
          <w:color w:val="000000" w:themeColor="text1"/>
          <w:sz w:val="28"/>
          <w:szCs w:val="28"/>
          <w:lang w:val="en-US"/>
        </w:rPr>
        <w:t>9</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0FEFEC97" w14:textId="6DA22328" w:rsidR="00935905" w:rsidRDefault="00935905" w:rsidP="000E514D">
      <w:pPr>
        <w:spacing w:before="240" w:after="240" w:afterAutospacing="0"/>
        <w:rPr>
          <w:rFonts w:eastAsia="ＭＳ 明朝"/>
          <w:color w:val="000000" w:themeColor="text1"/>
        </w:rPr>
      </w:pPr>
      <w:bookmarkStart w:id="3" w:name="_Hlk101443289"/>
      <w:bookmarkStart w:id="4" w:name="OLE_LINK1"/>
      <w:r w:rsidRPr="00683FDE">
        <w:rPr>
          <w:rFonts w:eastAsia="ＭＳ 明朝"/>
          <w:color w:val="000000" w:themeColor="text1"/>
        </w:rPr>
        <w:t>In this contribution, we</w:t>
      </w:r>
      <w:r>
        <w:rPr>
          <w:rFonts w:eastAsia="ＭＳ 明朝"/>
          <w:color w:val="000000" w:themeColor="text1"/>
        </w:rPr>
        <w:t xml:space="preserve"> share </w:t>
      </w:r>
      <w:r w:rsidR="00BD2A9B">
        <w:rPr>
          <w:rFonts w:eastAsia="ＭＳ 明朝"/>
          <w:color w:val="000000" w:themeColor="text1"/>
        </w:rPr>
        <w:t>our</w:t>
      </w:r>
      <w:r>
        <w:rPr>
          <w:rFonts w:eastAsia="ＭＳ 明朝"/>
          <w:color w:val="000000" w:themeColor="text1"/>
        </w:rPr>
        <w:t xml:space="preserve"> view</w:t>
      </w:r>
      <w:r w:rsidR="00BD2A9B">
        <w:rPr>
          <w:rFonts w:eastAsia="ＭＳ 明朝"/>
          <w:color w:val="000000" w:themeColor="text1"/>
        </w:rPr>
        <w:t>s</w:t>
      </w:r>
      <w:r>
        <w:rPr>
          <w:rFonts w:eastAsia="ＭＳ 明朝"/>
          <w:color w:val="000000" w:themeColor="text1"/>
        </w:rPr>
        <w:t xml:space="preserve"> o</w:t>
      </w:r>
      <w:r w:rsidR="00404C4C">
        <w:rPr>
          <w:rFonts w:eastAsia="ＭＳ 明朝"/>
          <w:color w:val="000000" w:themeColor="text1"/>
        </w:rPr>
        <w:t>n</w:t>
      </w:r>
      <w:r w:rsidR="00404C4C" w:rsidRPr="00404C4C">
        <w:t xml:space="preserve"> </w:t>
      </w:r>
      <w:r w:rsidR="00BD2A9B">
        <w:rPr>
          <w:rFonts w:eastAsia="ＭＳ 明朝"/>
          <w:color w:val="000000" w:themeColor="text1"/>
        </w:rPr>
        <w:t>c</w:t>
      </w:r>
      <w:r w:rsidR="00BD2A9B" w:rsidRPr="00BD2A9B">
        <w:rPr>
          <w:rFonts w:eastAsia="ＭＳ 明朝"/>
          <w:color w:val="000000" w:themeColor="text1"/>
        </w:rPr>
        <w:t>overage enhancement for NR NTN</w:t>
      </w:r>
      <w:r w:rsidRPr="00683FDE">
        <w:rPr>
          <w:rFonts w:eastAsia="ＭＳ 明朝"/>
          <w:color w:val="000000" w:themeColor="text1"/>
        </w:rPr>
        <w:t>.</w:t>
      </w:r>
    </w:p>
    <w:bookmarkEnd w:id="3"/>
    <w:p w14:paraId="1986F4E5" w14:textId="142C2EFF" w:rsidR="00AD63E7" w:rsidRDefault="00656E99" w:rsidP="00AD63E7">
      <w:pPr>
        <w:pStyle w:val="10"/>
        <w:spacing w:after="180"/>
        <w:rPr>
          <w:color w:val="000000" w:themeColor="text1"/>
          <w:lang w:val="en-US"/>
        </w:rPr>
      </w:pPr>
      <w:r w:rsidRPr="00683FDE">
        <w:rPr>
          <w:color w:val="000000" w:themeColor="text1"/>
          <w:lang w:val="en-US"/>
        </w:rPr>
        <w:t>Discussions</w:t>
      </w:r>
    </w:p>
    <w:p w14:paraId="5A290EE6" w14:textId="1C9D2FD3" w:rsidR="007B0F75" w:rsidRPr="007E3D80" w:rsidRDefault="00AD63E7">
      <w:pPr>
        <w:pStyle w:val="20"/>
        <w:rPr>
          <w:lang w:val="en-US"/>
        </w:rPr>
      </w:pPr>
      <w:r>
        <w:rPr>
          <w:lang w:val="en-US"/>
        </w:rPr>
        <w:t>NTN-specific PUSCH DMRS bundling</w:t>
      </w:r>
    </w:p>
    <w:p w14:paraId="688343A6" w14:textId="77777777" w:rsidR="002C426F" w:rsidRDefault="002C426F" w:rsidP="002C426F">
      <w:pPr>
        <w:pStyle w:val="30"/>
        <w:rPr>
          <w:lang w:val="en-US"/>
        </w:rPr>
      </w:pPr>
      <w:r>
        <w:rPr>
          <w:lang w:val="en-US"/>
        </w:rPr>
        <w:t>Event for actual TDW determination</w:t>
      </w:r>
      <w:r w:rsidRPr="002C426F">
        <w:rPr>
          <w:lang w:val="en-US"/>
        </w:rPr>
        <w:t xml:space="preserve"> </w:t>
      </w:r>
    </w:p>
    <w:p w14:paraId="0CEBCA6A" w14:textId="78BE2DFD" w:rsidR="002C426F" w:rsidRPr="002C426F" w:rsidRDefault="00804DBB" w:rsidP="002C426F">
      <w:pPr>
        <w:pStyle w:val="4"/>
        <w:ind w:right="480"/>
        <w:jc w:val="both"/>
        <w:rPr>
          <w:lang w:val="en-US"/>
        </w:rPr>
      </w:pPr>
      <w:r>
        <w:rPr>
          <w:lang w:val="en-US"/>
        </w:rPr>
        <w:t xml:space="preserve">Necessity </w:t>
      </w:r>
      <w:r w:rsidR="008D4FC2">
        <w:rPr>
          <w:lang w:val="en-US"/>
        </w:rPr>
        <w:t>of new</w:t>
      </w:r>
      <w:r>
        <w:rPr>
          <w:lang w:val="en-US"/>
        </w:rPr>
        <w:t xml:space="preserve"> e</w:t>
      </w:r>
      <w:r w:rsidR="002C426F">
        <w:rPr>
          <w:lang w:val="en-US"/>
        </w:rPr>
        <w:t xml:space="preserve">vent </w:t>
      </w:r>
      <w:r>
        <w:rPr>
          <w:lang w:val="en-US"/>
        </w:rPr>
        <w:t>for</w:t>
      </w:r>
      <w:r w:rsidR="002C426F">
        <w:rPr>
          <w:lang w:val="en-US"/>
        </w:rPr>
        <w:t xml:space="preserve"> TA pre-compensation timing</w:t>
      </w:r>
    </w:p>
    <w:p w14:paraId="0A22D9B8" w14:textId="7E2A3A5A" w:rsidR="00AD63E7" w:rsidRDefault="00251E22" w:rsidP="00AD63E7">
      <w:pPr>
        <w:rPr>
          <w:lang w:val="en-US"/>
        </w:rPr>
      </w:pPr>
      <w:r>
        <w:rPr>
          <w:rFonts w:hint="eastAsia"/>
          <w:lang w:val="en-US"/>
        </w:rPr>
        <w:t>I</w:t>
      </w:r>
      <w:r>
        <w:rPr>
          <w:lang w:val="en-US"/>
        </w:rPr>
        <w:t>n the last meeting, the following</w:t>
      </w:r>
      <w:r w:rsidR="00D60F13">
        <w:rPr>
          <w:lang w:val="en-US"/>
        </w:rPr>
        <w:t xml:space="preserve"> </w:t>
      </w:r>
      <w:r w:rsidR="0099657F">
        <w:rPr>
          <w:lang w:val="en-US"/>
        </w:rPr>
        <w:t>agreement [</w:t>
      </w:r>
      <w:r w:rsidR="00E95089">
        <w:rPr>
          <w:lang w:val="en-US"/>
        </w:rPr>
        <w:t>1]</w:t>
      </w:r>
      <w:r>
        <w:rPr>
          <w:lang w:val="en-US"/>
        </w:rPr>
        <w:t xml:space="preserve"> w</w:t>
      </w:r>
      <w:r w:rsidR="0002714A">
        <w:rPr>
          <w:lang w:val="en-US"/>
        </w:rPr>
        <w:t>as</w:t>
      </w:r>
      <w:r>
        <w:rPr>
          <w:lang w:val="en-US"/>
        </w:rPr>
        <w:t xml:space="preserve"> agreed</w:t>
      </w:r>
      <w:r w:rsidR="00D60F13">
        <w:rPr>
          <w:lang w:val="en-US"/>
        </w:rPr>
        <w:t xml:space="preserve"> for event for actual TDW determination</w:t>
      </w:r>
      <w:r>
        <w:rPr>
          <w:lang w:val="en-US"/>
        </w:rPr>
        <w:t>.</w:t>
      </w:r>
    </w:p>
    <w:tbl>
      <w:tblPr>
        <w:tblStyle w:val="af2"/>
        <w:tblW w:w="0" w:type="auto"/>
        <w:tblLook w:val="04A0" w:firstRow="1" w:lastRow="0" w:firstColumn="1" w:lastColumn="0" w:noHBand="0" w:noVBand="1"/>
      </w:tblPr>
      <w:tblGrid>
        <w:gridCol w:w="9954"/>
      </w:tblGrid>
      <w:tr w:rsidR="00251E22" w14:paraId="3E9CE85C" w14:textId="77777777" w:rsidTr="00251E22">
        <w:tc>
          <w:tcPr>
            <w:tcW w:w="9954" w:type="dxa"/>
          </w:tcPr>
          <w:p w14:paraId="41E09E9B" w14:textId="77777777" w:rsidR="00251E22" w:rsidRDefault="00251E22" w:rsidP="00804DBB">
            <w:pPr>
              <w:spacing w:after="0" w:afterAutospacing="0"/>
              <w:rPr>
                <w:b/>
                <w:szCs w:val="14"/>
                <w:lang w:eastAsia="zh-CN"/>
              </w:rPr>
            </w:pPr>
            <w:r w:rsidRPr="00EB42BF">
              <w:rPr>
                <w:b/>
                <w:szCs w:val="14"/>
                <w:highlight w:val="green"/>
                <w:lang w:eastAsia="zh-CN"/>
              </w:rPr>
              <w:t>Agreement</w:t>
            </w:r>
          </w:p>
          <w:p w14:paraId="613178A6" w14:textId="77777777" w:rsidR="00251E22" w:rsidRPr="0004459C" w:rsidRDefault="00251E22" w:rsidP="00804DBB">
            <w:pPr>
              <w:spacing w:after="0" w:afterAutospacing="0"/>
              <w:rPr>
                <w:rFonts w:eastAsia="DengXian"/>
                <w:szCs w:val="16"/>
                <w:lang w:val="en-US"/>
              </w:rPr>
            </w:pPr>
            <w:r>
              <w:rPr>
                <w:szCs w:val="18"/>
                <w:lang w:val="en-US"/>
              </w:rPr>
              <w:t>For NTN-specific PUSCH DMRS bundling, one or more of the following is down-selected for actual TDW determination.</w:t>
            </w:r>
          </w:p>
          <w:p w14:paraId="41EE5810" w14:textId="77777777" w:rsidR="00251E22" w:rsidRDefault="00251E22" w:rsidP="000E514D">
            <w:pPr>
              <w:numPr>
                <w:ilvl w:val="0"/>
                <w:numId w:val="14"/>
              </w:numPr>
              <w:spacing w:after="0" w:afterAutospacing="0"/>
              <w:ind w:left="720"/>
              <w:jc w:val="left"/>
              <w:rPr>
                <w:szCs w:val="16"/>
                <w:lang w:val="en-US"/>
              </w:rPr>
            </w:pPr>
            <w:r w:rsidRPr="0004459C">
              <w:rPr>
                <w:rFonts w:eastAsia="DengXian"/>
                <w:szCs w:val="16"/>
                <w:lang w:val="en-US"/>
              </w:rPr>
              <w:t>Actual TDW is determined by the existing events and,</w:t>
            </w:r>
          </w:p>
          <w:p w14:paraId="6FB53CE5" w14:textId="77777777" w:rsidR="00251E22" w:rsidRPr="00FF1CE5" w:rsidRDefault="00251E22" w:rsidP="000E514D">
            <w:pPr>
              <w:numPr>
                <w:ilvl w:val="1"/>
                <w:numId w:val="14"/>
              </w:numPr>
              <w:spacing w:after="0" w:afterAutospacing="0"/>
              <w:jc w:val="left"/>
              <w:rPr>
                <w:szCs w:val="16"/>
                <w:lang w:val="en-US"/>
              </w:rPr>
            </w:pPr>
            <w:r w:rsidRPr="0004459C">
              <w:rPr>
                <w:rFonts w:eastAsia="DengXian" w:hint="eastAsia"/>
                <w:szCs w:val="16"/>
                <w:lang w:val="en-US"/>
              </w:rPr>
              <w:t>A</w:t>
            </w:r>
            <w:r w:rsidRPr="0004459C">
              <w:rPr>
                <w:rFonts w:eastAsia="DengXian"/>
                <w:szCs w:val="16"/>
                <w:lang w:val="en-US"/>
              </w:rPr>
              <w:t>lt A: No additional event</w:t>
            </w:r>
          </w:p>
          <w:p w14:paraId="16EE0A4A" w14:textId="77777777" w:rsidR="00251E22" w:rsidRDefault="00251E22" w:rsidP="000E514D">
            <w:pPr>
              <w:numPr>
                <w:ilvl w:val="2"/>
                <w:numId w:val="14"/>
              </w:numPr>
              <w:spacing w:after="0" w:afterAutospacing="0"/>
              <w:jc w:val="left"/>
              <w:rPr>
                <w:szCs w:val="16"/>
                <w:lang w:val="en-US"/>
              </w:rPr>
            </w:pPr>
            <w:r w:rsidRPr="0004459C">
              <w:rPr>
                <w:rFonts w:eastAsia="DengXian" w:hint="eastAsia"/>
                <w:szCs w:val="16"/>
                <w:lang w:val="en-US"/>
              </w:rPr>
              <w:t>i</w:t>
            </w:r>
            <w:r w:rsidRPr="0004459C">
              <w:rPr>
                <w:rFonts w:eastAsia="DengXian"/>
                <w:szCs w:val="16"/>
                <w:lang w:val="en-US"/>
              </w:rPr>
              <w:t>.e., no spec impact is assumed for actual TDW determination.</w:t>
            </w:r>
          </w:p>
          <w:p w14:paraId="450D7E57" w14:textId="77777777" w:rsidR="00251E22" w:rsidRPr="00FF1CE5" w:rsidRDefault="00251E22" w:rsidP="000E514D">
            <w:pPr>
              <w:numPr>
                <w:ilvl w:val="1"/>
                <w:numId w:val="14"/>
              </w:numPr>
              <w:spacing w:after="0" w:afterAutospacing="0"/>
              <w:jc w:val="left"/>
              <w:rPr>
                <w:szCs w:val="16"/>
                <w:lang w:val="en-US"/>
              </w:rPr>
            </w:pPr>
            <w:r w:rsidRPr="0004459C">
              <w:rPr>
                <w:rFonts w:eastAsia="DengXian" w:hint="eastAsia"/>
                <w:szCs w:val="16"/>
                <w:lang w:val="en-US"/>
              </w:rPr>
              <w:t>A</w:t>
            </w:r>
            <w:r w:rsidRPr="0004459C">
              <w:rPr>
                <w:rFonts w:eastAsia="DengXian"/>
                <w:szCs w:val="16"/>
                <w:lang w:val="en-US"/>
              </w:rPr>
              <w:t>lt B: New event of TA pre-compensation timing dynamically indicated by gNB</w:t>
            </w:r>
          </w:p>
          <w:p w14:paraId="31B4B80F" w14:textId="77777777" w:rsidR="00251E22" w:rsidRPr="00FF1CE5" w:rsidRDefault="00251E22" w:rsidP="000E514D">
            <w:pPr>
              <w:numPr>
                <w:ilvl w:val="2"/>
                <w:numId w:val="14"/>
              </w:numPr>
              <w:spacing w:after="0" w:afterAutospacing="0"/>
              <w:jc w:val="left"/>
              <w:rPr>
                <w:szCs w:val="16"/>
                <w:lang w:val="en-US"/>
              </w:rPr>
            </w:pPr>
            <w:r w:rsidRPr="0004459C">
              <w:rPr>
                <w:rFonts w:eastAsia="DengXian" w:hint="eastAsia"/>
                <w:szCs w:val="16"/>
                <w:lang w:val="en-US"/>
              </w:rPr>
              <w:t>i</w:t>
            </w:r>
            <w:r w:rsidRPr="0004459C">
              <w:rPr>
                <w:rFonts w:eastAsia="DengXian"/>
                <w:szCs w:val="16"/>
                <w:lang w:val="en-US"/>
              </w:rPr>
              <w:t>.e., TA pre-compensation timing can be dynamically indicated by gNB</w:t>
            </w:r>
          </w:p>
          <w:p w14:paraId="7D05D2DD" w14:textId="77777777" w:rsidR="00251E22" w:rsidRPr="00FF1CE5" w:rsidRDefault="00251E22" w:rsidP="000E514D">
            <w:pPr>
              <w:numPr>
                <w:ilvl w:val="2"/>
                <w:numId w:val="14"/>
              </w:numPr>
              <w:spacing w:after="0" w:afterAutospacing="0"/>
              <w:jc w:val="left"/>
              <w:rPr>
                <w:szCs w:val="16"/>
                <w:lang w:val="en-US"/>
              </w:rPr>
            </w:pPr>
            <w:r w:rsidRPr="0004459C">
              <w:rPr>
                <w:rFonts w:eastAsia="DengXian" w:hint="eastAsia"/>
                <w:szCs w:val="16"/>
                <w:lang w:val="en-US"/>
              </w:rPr>
              <w:t>N</w:t>
            </w:r>
            <w:r w:rsidRPr="0004459C">
              <w:rPr>
                <w:rFonts w:eastAsia="DengXian"/>
                <w:szCs w:val="16"/>
                <w:lang w:val="en-US"/>
              </w:rPr>
              <w:t>ote: UE can perform TA pre-compensation update at the indicated timing</w:t>
            </w:r>
          </w:p>
          <w:p w14:paraId="63776A0F" w14:textId="77777777" w:rsidR="00251E22" w:rsidRPr="00FF1CE5" w:rsidRDefault="00251E22" w:rsidP="000E514D">
            <w:pPr>
              <w:numPr>
                <w:ilvl w:val="2"/>
                <w:numId w:val="14"/>
              </w:numPr>
              <w:spacing w:after="0" w:afterAutospacing="0"/>
              <w:jc w:val="left"/>
              <w:rPr>
                <w:szCs w:val="16"/>
                <w:lang w:val="en-US"/>
              </w:rPr>
            </w:pPr>
            <w:r w:rsidRPr="0004459C">
              <w:rPr>
                <w:rFonts w:eastAsia="DengXian" w:hint="eastAsia"/>
                <w:szCs w:val="16"/>
                <w:lang w:val="en-US"/>
              </w:rPr>
              <w:t>F</w:t>
            </w:r>
            <w:r w:rsidRPr="0004459C">
              <w:rPr>
                <w:rFonts w:eastAsia="DengXian"/>
                <w:szCs w:val="16"/>
                <w:lang w:val="en-US"/>
              </w:rPr>
              <w:t>FS: detailed indication</w:t>
            </w:r>
          </w:p>
          <w:p w14:paraId="772CB25D" w14:textId="77777777" w:rsidR="00251E22" w:rsidRPr="00FF1CE5" w:rsidRDefault="00251E22" w:rsidP="000E514D">
            <w:pPr>
              <w:numPr>
                <w:ilvl w:val="1"/>
                <w:numId w:val="14"/>
              </w:numPr>
              <w:spacing w:after="0" w:afterAutospacing="0"/>
              <w:jc w:val="left"/>
              <w:rPr>
                <w:szCs w:val="16"/>
                <w:lang w:val="en-US"/>
              </w:rPr>
            </w:pPr>
            <w:r w:rsidRPr="0004459C">
              <w:rPr>
                <w:rFonts w:eastAsia="DengXian" w:hint="eastAsia"/>
                <w:szCs w:val="16"/>
                <w:lang w:val="en-US"/>
              </w:rPr>
              <w:t>A</w:t>
            </w:r>
            <w:r w:rsidRPr="0004459C">
              <w:rPr>
                <w:rFonts w:eastAsia="DengXian"/>
                <w:szCs w:val="16"/>
                <w:lang w:val="en-US"/>
              </w:rPr>
              <w:t>lt C: as dynamically indicated by gNB</w:t>
            </w:r>
          </w:p>
          <w:p w14:paraId="08C38FBA" w14:textId="77777777" w:rsidR="00251E22" w:rsidRPr="00FF1CE5" w:rsidRDefault="00251E22" w:rsidP="000E514D">
            <w:pPr>
              <w:numPr>
                <w:ilvl w:val="2"/>
                <w:numId w:val="14"/>
              </w:numPr>
              <w:spacing w:after="0" w:afterAutospacing="0"/>
              <w:jc w:val="left"/>
              <w:rPr>
                <w:szCs w:val="16"/>
                <w:lang w:val="en-US"/>
              </w:rPr>
            </w:pPr>
            <w:r w:rsidRPr="0004459C">
              <w:rPr>
                <w:rFonts w:eastAsia="DengXian" w:hint="eastAsia"/>
                <w:szCs w:val="16"/>
                <w:lang w:val="en-US"/>
              </w:rPr>
              <w:t>i</w:t>
            </w:r>
            <w:r w:rsidRPr="0004459C">
              <w:rPr>
                <w:rFonts w:eastAsia="DengXian"/>
                <w:szCs w:val="16"/>
                <w:lang w:val="en-US"/>
              </w:rPr>
              <w:t>.e., actual TDW can be dynamically indicated by gNB</w:t>
            </w:r>
          </w:p>
          <w:p w14:paraId="516D8273" w14:textId="77777777" w:rsidR="00251E22" w:rsidRPr="00FF1CE5" w:rsidRDefault="00251E22" w:rsidP="000E514D">
            <w:pPr>
              <w:numPr>
                <w:ilvl w:val="2"/>
                <w:numId w:val="14"/>
              </w:numPr>
              <w:spacing w:after="0" w:afterAutospacing="0"/>
              <w:jc w:val="left"/>
              <w:rPr>
                <w:szCs w:val="16"/>
                <w:lang w:val="en-US"/>
              </w:rPr>
            </w:pPr>
            <w:r w:rsidRPr="0004459C">
              <w:rPr>
                <w:rFonts w:eastAsia="DengXian" w:hint="eastAsia"/>
                <w:szCs w:val="16"/>
                <w:lang w:val="en-US"/>
              </w:rPr>
              <w:t>F</w:t>
            </w:r>
            <w:r w:rsidRPr="0004459C">
              <w:rPr>
                <w:rFonts w:eastAsia="DengXian"/>
                <w:szCs w:val="16"/>
                <w:lang w:val="en-US"/>
              </w:rPr>
              <w:t>FS: detailed indication</w:t>
            </w:r>
          </w:p>
          <w:p w14:paraId="7132523C" w14:textId="77777777" w:rsidR="00251E22" w:rsidRPr="00FF1CE5" w:rsidRDefault="00251E22" w:rsidP="000E514D">
            <w:pPr>
              <w:numPr>
                <w:ilvl w:val="1"/>
                <w:numId w:val="14"/>
              </w:numPr>
              <w:spacing w:after="0" w:afterAutospacing="0"/>
              <w:jc w:val="left"/>
              <w:rPr>
                <w:szCs w:val="16"/>
                <w:lang w:val="en-US"/>
              </w:rPr>
            </w:pPr>
            <w:r w:rsidRPr="0004459C">
              <w:rPr>
                <w:rFonts w:eastAsia="DengXian"/>
                <w:szCs w:val="16"/>
                <w:lang w:val="en-US"/>
              </w:rPr>
              <w:t>Alt D: New event based on epoch time</w:t>
            </w:r>
          </w:p>
          <w:p w14:paraId="3289CD8C" w14:textId="77777777" w:rsidR="00251E22" w:rsidRPr="00FF1CE5" w:rsidRDefault="00251E22" w:rsidP="000E514D">
            <w:pPr>
              <w:numPr>
                <w:ilvl w:val="2"/>
                <w:numId w:val="14"/>
              </w:numPr>
              <w:spacing w:after="0" w:afterAutospacing="0"/>
              <w:jc w:val="left"/>
              <w:rPr>
                <w:szCs w:val="16"/>
                <w:lang w:val="en-US"/>
              </w:rPr>
            </w:pPr>
            <w:r w:rsidRPr="0004459C">
              <w:rPr>
                <w:rFonts w:eastAsia="DengXian" w:hint="eastAsia"/>
                <w:szCs w:val="16"/>
                <w:lang w:val="en-US"/>
              </w:rPr>
              <w:t>F</w:t>
            </w:r>
            <w:r w:rsidRPr="0004459C">
              <w:rPr>
                <w:rFonts w:eastAsia="DengXian"/>
                <w:szCs w:val="16"/>
                <w:lang w:val="en-US"/>
              </w:rPr>
              <w:t>FS details</w:t>
            </w:r>
          </w:p>
          <w:p w14:paraId="00F7D46C" w14:textId="03614007" w:rsidR="00251E22" w:rsidRPr="00511F12" w:rsidRDefault="00251E22" w:rsidP="000E514D">
            <w:pPr>
              <w:numPr>
                <w:ilvl w:val="1"/>
                <w:numId w:val="14"/>
              </w:numPr>
              <w:spacing w:after="0" w:afterAutospacing="0"/>
              <w:jc w:val="left"/>
              <w:rPr>
                <w:szCs w:val="16"/>
                <w:lang w:val="en-US"/>
              </w:rPr>
            </w:pPr>
            <w:r w:rsidRPr="0004459C">
              <w:rPr>
                <w:rFonts w:eastAsia="DengXian" w:hint="eastAsia"/>
                <w:szCs w:val="16"/>
                <w:lang w:val="en-US"/>
              </w:rPr>
              <w:t>A</w:t>
            </w:r>
            <w:r w:rsidRPr="0004459C">
              <w:rPr>
                <w:rFonts w:eastAsia="DengXian"/>
                <w:szCs w:val="16"/>
                <w:lang w:val="en-US"/>
              </w:rPr>
              <w:t>lt E: New event based on antenna switching</w:t>
            </w:r>
          </w:p>
        </w:tc>
      </w:tr>
    </w:tbl>
    <w:p w14:paraId="1D927E22" w14:textId="2F47CDD7" w:rsidR="00E96A26" w:rsidRDefault="00E96A26" w:rsidP="00804DBB">
      <w:pPr>
        <w:spacing w:after="240" w:afterAutospacing="0"/>
        <w:rPr>
          <w:b/>
          <w:u w:val="single"/>
          <w:lang w:val="en-US"/>
        </w:rPr>
      </w:pPr>
    </w:p>
    <w:p w14:paraId="5563103F" w14:textId="38F397A9" w:rsidR="00615743" w:rsidRPr="000E514D" w:rsidRDefault="004224C8" w:rsidP="000E514D">
      <w:pPr>
        <w:spacing w:after="240" w:afterAutospacing="0"/>
        <w:rPr>
          <w:lang w:val="en-US"/>
        </w:rPr>
      </w:pPr>
      <w:r w:rsidRPr="000E514D">
        <w:rPr>
          <w:lang w:val="en-US"/>
        </w:rPr>
        <w:t>In the legacy specification</w:t>
      </w:r>
      <w:r w:rsidR="00CE014F" w:rsidRPr="000E514D">
        <w:rPr>
          <w:lang w:val="en-US"/>
        </w:rPr>
        <w:t xml:space="preserve"> (38.213 - clause 4.2</w:t>
      </w:r>
      <w:r w:rsidR="00E95089">
        <w:rPr>
          <w:lang w:val="en-US"/>
        </w:rPr>
        <w:t>[2]</w:t>
      </w:r>
      <w:r w:rsidR="00615743" w:rsidRPr="000E514D">
        <w:rPr>
          <w:lang w:val="en-US"/>
        </w:rPr>
        <w:t>, as shown in below</w:t>
      </w:r>
      <w:r w:rsidR="00CE014F" w:rsidRPr="000E514D">
        <w:rPr>
          <w:lang w:val="en-US"/>
        </w:rPr>
        <w:t>)</w:t>
      </w:r>
      <w:r w:rsidRPr="000E514D">
        <w:rPr>
          <w:lang w:val="en-US"/>
        </w:rPr>
        <w:t>, timing advance is adjusted by TA command via MAC CE indicated by gNB as</w:t>
      </w:r>
      <w:r w:rsidR="00BA67C5" w:rsidRPr="000E514D">
        <w:rPr>
          <w:lang w:val="en-US"/>
        </w:rPr>
        <w:t xml:space="preserve"> a</w:t>
      </w:r>
      <w:r w:rsidRPr="000E514D">
        <w:rPr>
          <w:lang w:val="en-US"/>
        </w:rPr>
        <w:t xml:space="preserve"> </w:t>
      </w:r>
      <w:r w:rsidR="005758C5" w:rsidRPr="000E514D">
        <w:rPr>
          <w:lang w:val="en-US"/>
        </w:rPr>
        <w:t>well-known</w:t>
      </w:r>
      <w:r w:rsidR="00BA67C5" w:rsidRPr="000E514D">
        <w:rPr>
          <w:lang w:val="en-US"/>
        </w:rPr>
        <w:t xml:space="preserve"> way</w:t>
      </w:r>
      <w:r w:rsidRPr="000E514D">
        <w:rPr>
          <w:lang w:val="en-US"/>
        </w:rPr>
        <w:t>.</w:t>
      </w:r>
      <w:r w:rsidR="00BA67C5" w:rsidRPr="000E514D">
        <w:rPr>
          <w:lang w:val="en-US"/>
        </w:rPr>
        <w:t xml:space="preserve"> The other adjustment way is UE autonomous timing adjustment due to change of downlink receiving timing. </w:t>
      </w:r>
      <w:r w:rsidR="005758C5" w:rsidRPr="000E514D">
        <w:rPr>
          <w:lang w:val="en-US"/>
        </w:rPr>
        <w:t>In other words, the gNB is not aware of when the UE perform UE autonomous timing adjustment.</w:t>
      </w:r>
      <w:r w:rsidR="005758C5">
        <w:rPr>
          <w:lang w:val="en-US"/>
        </w:rPr>
        <w:t xml:space="preserve"> </w:t>
      </w:r>
      <w:r w:rsidR="005758C5" w:rsidRPr="000E514D">
        <w:rPr>
          <w:lang w:val="en-US"/>
        </w:rPr>
        <w:t xml:space="preserve">This is similar to the TA pre-compensation for NTN, but it has been introduced since Rel-15. </w:t>
      </w:r>
    </w:p>
    <w:tbl>
      <w:tblPr>
        <w:tblStyle w:val="af2"/>
        <w:tblW w:w="0" w:type="auto"/>
        <w:tblLook w:val="04A0" w:firstRow="1" w:lastRow="0" w:firstColumn="1" w:lastColumn="0" w:noHBand="0" w:noVBand="1"/>
      </w:tblPr>
      <w:tblGrid>
        <w:gridCol w:w="9954"/>
      </w:tblGrid>
      <w:tr w:rsidR="00615743" w14:paraId="09E4D43F" w14:textId="77777777" w:rsidTr="00E95089">
        <w:trPr>
          <w:trHeight w:val="927"/>
        </w:trPr>
        <w:tc>
          <w:tcPr>
            <w:tcW w:w="9954" w:type="dxa"/>
          </w:tcPr>
          <w:p w14:paraId="3B5C8719" w14:textId="2F33E378" w:rsidR="00615743" w:rsidRDefault="00615743" w:rsidP="00E95089">
            <w:pPr>
              <w:rPr>
                <w:rFonts w:eastAsia="ＭＳ 明朝"/>
              </w:rPr>
            </w:pPr>
            <w:r>
              <w:rPr>
                <w:rFonts w:eastAsia="ＭＳ 明朝" w:hint="eastAsia"/>
              </w:rPr>
              <w:lastRenderedPageBreak/>
              <w:t>3</w:t>
            </w:r>
            <w:r>
              <w:rPr>
                <w:rFonts w:eastAsia="ＭＳ 明朝"/>
              </w:rPr>
              <w:t>8.213 – 4.2 description [</w:t>
            </w:r>
            <w:r w:rsidR="00E95089">
              <w:rPr>
                <w:rFonts w:eastAsia="ＭＳ 明朝"/>
              </w:rPr>
              <w:t>2</w:t>
            </w:r>
            <w:r>
              <w:rPr>
                <w:rFonts w:eastAsia="ＭＳ 明朝"/>
              </w:rPr>
              <w:t>]</w:t>
            </w:r>
          </w:p>
          <w:p w14:paraId="14F9DECB" w14:textId="77777777" w:rsidR="00615743" w:rsidRPr="00B916EC" w:rsidRDefault="00615743" w:rsidP="00615743">
            <w:pPr>
              <w:rPr>
                <w:rFonts w:eastAsia="ＭＳ 明朝"/>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hAnsi="Cambria Math"/>
                      <w:i/>
                    </w:rPr>
                  </m:ctrlPr>
                </m:sSubPr>
                <m:e>
                  <m:r>
                    <w:rPr>
                      <w:rFonts w:ascii="Cambria Math" w:hAnsi="Cambria Math"/>
                    </w:rPr>
                    <m:t>N</m:t>
                  </m:r>
                </m:e>
                <m:sub>
                  <m:r>
                    <m:rPr>
                      <m:nor/>
                    </m:rPr>
                    <w:rPr>
                      <w:rFonts w:ascii="Cambria Math" w:hAnsi="Cambria Math"/>
                    </w:rPr>
                    <m:t>TA</m:t>
                  </m:r>
                  <m:ctrlPr>
                    <w:rPr>
                      <w:rFonts w:ascii="Cambria Math" w:hAnsi="Cambria Math"/>
                    </w:rPr>
                  </m:ctrlP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0E514D">
              <w:t xml:space="preserve"> = 0, 1, 2, ..., 3846</w:t>
            </w:r>
            <w:r w:rsidRPr="00615743">
              <w:t>, w</w:t>
            </w:r>
            <w:r w:rsidRPr="00B916EC">
              <w:rPr>
                <w:rFonts w:hint="eastAsia"/>
              </w:rPr>
              <w:t>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⋅15</m:t>
              </m:r>
            </m:oMath>
            <w:r w:rsidRPr="00B916EC">
              <w:t xml:space="preserve"> kHz</w:t>
            </w:r>
            <w:r w:rsidRPr="00B916EC">
              <w:rPr>
                <w:rFonts w:hint="eastAsia"/>
              </w:rPr>
              <w:t xml:space="preserve"> is </w:t>
            </w:r>
            <m:oMath>
              <m:sSub>
                <m:sSubPr>
                  <m:ctrlPr>
                    <w:rPr>
                      <w:rFonts w:ascii="Cambria Math" w:hAnsi="Cambria Math"/>
                      <w:i/>
                    </w:rPr>
                  </m:ctrlPr>
                </m:sSubPr>
                <m:e>
                  <m:r>
                    <w:rPr>
                      <w:rFonts w:ascii="Cambria Math" w:hAnsi="Cambria Math"/>
                    </w:rPr>
                    <m:t>N</m:t>
                  </m:r>
                </m:e>
                <m:sub>
                  <m:r>
                    <m:rPr>
                      <m:nor/>
                    </m:rPr>
                    <w:rPr>
                      <w:rFonts w:ascii="Cambria Math" w:hAnsi="Cambria Math"/>
                    </w:rPr>
                    <m:t>TA</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f>
                <m:fPr>
                  <m:type m:val="lin"/>
                  <m:ctrlPr>
                    <w:rPr>
                      <w:rFonts w:ascii="Cambria Math" w:hAnsi="Cambria Math"/>
                      <w:i/>
                    </w:rPr>
                  </m:ctrlPr>
                </m:fPr>
                <m:num>
                  <m:r>
                    <w:rPr>
                      <w:rFonts w:ascii="Cambria Math" w:hAnsi="Cambria Math"/>
                    </w:rPr>
                    <m:t>16⋅64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Pr="00B916EC">
              <w:rPr>
                <w:rFonts w:hint="eastAsia"/>
              </w:rPr>
              <w:t xml:space="preserv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B916EC">
              <w:rPr>
                <w:rFonts w:eastAsia="ＭＳ 明朝" w:hint="eastAsia"/>
                <w:i/>
                <w:vertAlign w:val="subscript"/>
              </w:rPr>
              <w:t xml:space="preserve"> </w:t>
            </w:r>
            <w:r w:rsidRPr="00B916EC">
              <w:rPr>
                <w:rFonts w:eastAsia="ＭＳ 明朝" w:hint="eastAsia"/>
              </w:rPr>
              <w:t xml:space="preserve">is defined in </w:t>
            </w:r>
            <w:r w:rsidRPr="00B916EC">
              <w:t>[4, TS 38.211</w:t>
            </w:r>
            <w:r w:rsidRPr="00B916EC">
              <w:rPr>
                <w:rFonts w:eastAsia="ＭＳ 明朝" w:hint="eastAsia"/>
              </w:rPr>
              <w:t>]</w:t>
            </w:r>
            <w:r w:rsidRPr="00B916EC">
              <w:rPr>
                <w:rFonts w:eastAsia="ＭＳ 明朝"/>
              </w:rPr>
              <w:t xml:space="preserve"> and is relative to the </w:t>
            </w:r>
            <w:r>
              <w:rPr>
                <w:rFonts w:eastAsia="ＭＳ 明朝"/>
              </w:rPr>
              <w:t>SCS</w:t>
            </w:r>
            <w:r w:rsidRPr="00B916EC">
              <w:rPr>
                <w:rFonts w:eastAsia="ＭＳ 明朝"/>
              </w:rPr>
              <w:t xml:space="preserve"> of the </w:t>
            </w:r>
            <w:r>
              <w:rPr>
                <w:rFonts w:eastAsia="ＭＳ 明朝"/>
              </w:rPr>
              <w:t>first uplink transmission from the UE after the reception of the random access response</w:t>
            </w:r>
            <w:r w:rsidRPr="00B916EC">
              <w:rPr>
                <w:rFonts w:eastAsia="ＭＳ 明朝" w:hint="eastAsia"/>
              </w:rPr>
              <w:t>.</w:t>
            </w:r>
          </w:p>
          <w:p w14:paraId="50E4D15C" w14:textId="7540986D" w:rsidR="00615743" w:rsidRDefault="00615743" w:rsidP="00615743">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B916EC">
              <w:rPr>
                <w:rFonts w:hint="eastAsia"/>
              </w:rPr>
              <w:t xml:space="preserve">, </w:t>
            </w:r>
            <w:r w:rsidRPr="00B916EC">
              <w:t>for a TAG</w:t>
            </w:r>
            <w:r w:rsidRPr="00B916EC">
              <w:rPr>
                <w:rFonts w:hint="eastAsia"/>
              </w:rPr>
              <w:t xml:space="preserve"> indicates </w:t>
            </w:r>
            <w:r w:rsidRPr="00B916EC">
              <w:rPr>
                <w:rFonts w:eastAsia="ＭＳ 明朝" w:hint="eastAsia"/>
              </w:rPr>
              <w:t>adjustment of</w:t>
            </w:r>
            <w:r w:rsidRPr="00B916EC">
              <w:rPr>
                <w:rFonts w:hint="eastAsia"/>
              </w:rPr>
              <w:t xml:space="preserve"> </w:t>
            </w:r>
            <w:r>
              <w:t>a</w:t>
            </w:r>
            <w:r w:rsidRPr="00B916EC">
              <w:rPr>
                <w:rFonts w:hint="eastAsia"/>
              </w:rPr>
              <w:t xml:space="preserve"> current</w:t>
            </w:r>
            <w:r w:rsidRPr="00B916EC">
              <w:rPr>
                <w:rFonts w:eastAsia="ＭＳ 明朝" w:hint="eastAsia"/>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ctrlPr>
                    <w:rPr>
                      <w:rFonts w:ascii="Cambria Math" w:hAnsi="Cambria Math"/>
                    </w:rPr>
                  </m:ctrlPr>
                </m:sub>
              </m:sSub>
            </m:oMath>
            <w:r w:rsidRPr="00B916EC">
              <w:rPr>
                <w:rFonts w:hint="eastAsia"/>
                <w:i/>
              </w:rPr>
              <w:t xml:space="preserve"> </w:t>
            </w:r>
            <w:r w:rsidRPr="00B916EC">
              <w:rPr>
                <w:rFonts w:hint="eastAsia"/>
              </w:rPr>
              <w:t xml:space="preserve">value, </w:t>
            </w:r>
            <m:oMath>
              <m:sSub>
                <m:sSubPr>
                  <m:ctrlPr>
                    <w:rPr>
                      <w:rFonts w:ascii="Cambria Math" w:hAnsi="Cambria Math"/>
                      <w:i/>
                    </w:rPr>
                  </m:ctrlPr>
                </m:sSubPr>
                <m:e>
                  <m:r>
                    <w:rPr>
                      <w:rFonts w:ascii="Cambria Math" w:hAnsi="Cambria Math"/>
                    </w:rPr>
                    <m:t>N</m:t>
                  </m:r>
                </m:e>
                <m:sub>
                  <m:r>
                    <m:rPr>
                      <m:nor/>
                    </m:rPr>
                    <w:rPr>
                      <w:rFonts w:ascii="Cambria Math" w:hAnsi="Cambria Math"/>
                    </w:rPr>
                    <m:t>TA_old</m:t>
                  </m:r>
                  <m:ctrlPr>
                    <w:rPr>
                      <w:rFonts w:ascii="Cambria Math" w:hAnsi="Cambria Math"/>
                    </w:rPr>
                  </m:ctrlPr>
                </m:sub>
              </m:sSub>
            </m:oMath>
            <w:r w:rsidRPr="00B916EC">
              <w:rPr>
                <w:rFonts w:hint="eastAsia"/>
              </w:rPr>
              <w:t xml:space="preserve">, to the new </w:t>
            </w:r>
            <m:oMath>
              <m:sSub>
                <m:sSubPr>
                  <m:ctrlPr>
                    <w:rPr>
                      <w:rFonts w:ascii="Cambria Math" w:hAnsi="Cambria Math"/>
                      <w:i/>
                    </w:rPr>
                  </m:ctrlPr>
                </m:sSubPr>
                <m:e>
                  <m:r>
                    <w:rPr>
                      <w:rFonts w:ascii="Cambria Math" w:hAnsi="Cambria Math"/>
                    </w:rPr>
                    <m:t>N</m:t>
                  </m:r>
                </m:e>
                <m:sub>
                  <m:r>
                    <m:rPr>
                      <m:nor/>
                    </m:rPr>
                    <w:rPr>
                      <w:rFonts w:ascii="Cambria Math" w:hAnsi="Cambria Math"/>
                    </w:rPr>
                    <m:t>TA</m:t>
                  </m:r>
                  <m:ctrlPr>
                    <w:rPr>
                      <w:rFonts w:ascii="Cambria Math" w:hAnsi="Cambria Math"/>
                    </w:rPr>
                  </m:ctrlPr>
                </m:sub>
              </m:sSub>
            </m:oMath>
            <w:r w:rsidRPr="00B916EC">
              <w:rPr>
                <w:rFonts w:hint="eastAsia"/>
                <w:i/>
              </w:rPr>
              <w:t xml:space="preserve"> </w:t>
            </w:r>
            <w:r w:rsidRPr="00B916EC">
              <w:rPr>
                <w:rFonts w:hint="eastAsia"/>
              </w:rPr>
              <w:t xml:space="preserve">value, </w:t>
            </w:r>
            <m:oMath>
              <m:sSub>
                <m:sSubPr>
                  <m:ctrlPr>
                    <w:rPr>
                      <w:rFonts w:ascii="Cambria Math" w:hAnsi="Cambria Math"/>
                      <w:i/>
                    </w:rPr>
                  </m:ctrlPr>
                </m:sSubPr>
                <m:e>
                  <m:r>
                    <w:rPr>
                      <w:rFonts w:ascii="Cambria Math" w:hAnsi="Cambria Math"/>
                    </w:rPr>
                    <m:t>N</m:t>
                  </m:r>
                </m:e>
                <m:sub>
                  <m:r>
                    <m:rPr>
                      <m:nor/>
                    </m:rPr>
                    <w:rPr>
                      <w:rFonts w:ascii="Cambria Math" w:hAnsi="Cambria Math"/>
                    </w:rPr>
                    <m:t>TA_new</m:t>
                  </m:r>
                  <m:ctrlPr>
                    <w:rPr>
                      <w:rFonts w:ascii="Cambria Math" w:hAnsi="Cambria Math"/>
                    </w:rPr>
                  </m:ctrlPr>
                </m:sub>
              </m:sSub>
            </m:oMath>
            <w:r w:rsidRPr="00B916EC">
              <w:rPr>
                <w:rFonts w:hint="eastAsia"/>
              </w:rPr>
              <w:t>,</w:t>
            </w:r>
            <w:r w:rsidRPr="00B916EC">
              <w:rPr>
                <w:rFonts w:eastAsia="ＭＳ 明朝" w:hint="eastAsia"/>
              </w:rPr>
              <w:t xml:space="preserve"> by</w:t>
            </w:r>
            <w:r w:rsidRPr="00B916EC">
              <w:rPr>
                <w:rFonts w:hint="eastAsia"/>
              </w:rPr>
              <w:t xml:space="preserve"> index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ＭＳ 明朝"/>
              </w:rPr>
              <w:t>SCS</w:t>
            </w:r>
            <w:r w:rsidRPr="00B916EC">
              <w:rPr>
                <w:rFonts w:eastAsia="ＭＳ 明朝"/>
              </w:rPr>
              <w:t xml:space="preserve"> of </w:t>
            </w:r>
            <m:oMath>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⋅15</m:t>
              </m:r>
            </m:oMath>
            <w:r w:rsidRPr="00B916EC">
              <w:t xml:space="preserve"> kHz, </w:t>
            </w:r>
            <m:oMath>
              <m:sSub>
                <m:sSubPr>
                  <m:ctrlPr>
                    <w:rPr>
                      <w:rFonts w:ascii="Cambria Math" w:hAnsi="Cambria Math"/>
                      <w:i/>
                    </w:rPr>
                  </m:ctrlPr>
                </m:sSubPr>
                <m:e>
                  <m:r>
                    <w:rPr>
                      <w:rFonts w:ascii="Cambria Math"/>
                    </w:rPr>
                    <m:t>N</m:t>
                  </m:r>
                </m:e>
                <m:sub>
                  <m:r>
                    <m:rPr>
                      <m:nor/>
                    </m:rPr>
                    <w:rPr>
                      <w:rFonts w:ascii="Cambria Math"/>
                    </w:rPr>
                    <m:t>TA_new</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TA_old</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A</m:t>
                      </m:r>
                    </m:sub>
                  </m:sSub>
                  <m:r>
                    <w:rPr>
                      <w:rFonts w:ascii="Cambria Math"/>
                    </w:rPr>
                    <m:t>-</m:t>
                  </m:r>
                  <m:r>
                    <w:rPr>
                      <w:rFonts w:ascii="Cambria Math"/>
                    </w:rPr>
                    <m:t>31</m:t>
                  </m:r>
                </m:e>
              </m:d>
              <m:r>
                <w:rPr>
                  <w:rFonts w:ascii="Cambria Math" w:hAnsi="Cambria Math" w:cs="Cambria Math"/>
                </w:rPr>
                <m:t>⋅</m:t>
              </m:r>
              <m:f>
                <m:fPr>
                  <m:type m:val="lin"/>
                  <m:ctrlPr>
                    <w:rPr>
                      <w:rFonts w:ascii="Cambria Math" w:hAnsi="Cambria Math"/>
                      <w:i/>
                    </w:rPr>
                  </m:ctrlPr>
                </m:fPr>
                <m:num>
                  <m:r>
                    <w:rPr>
                      <w:rFonts w:ascii="Cambria Math"/>
                    </w:rPr>
                    <m:t>16</m:t>
                  </m:r>
                  <m:r>
                    <w:rPr>
                      <w:rFonts w:ascii="Cambria Math" w:hAnsi="Cambria Math" w:cs="Cambria Math"/>
                    </w:rPr>
                    <m:t>⋅</m:t>
                  </m:r>
                  <m:r>
                    <w:rPr>
                      <w:rFonts w:ascii="Cambria Math"/>
                    </w:rPr>
                    <m:t>64</m:t>
                  </m:r>
                </m:num>
                <m:den>
                  <m:sSup>
                    <m:sSupPr>
                      <m:ctrlPr>
                        <w:rPr>
                          <w:rFonts w:ascii="Cambria Math" w:hAnsi="Cambria Math"/>
                          <w:i/>
                        </w:rPr>
                      </m:ctrlPr>
                    </m:sSupPr>
                    <m:e>
                      <m:r>
                        <w:rPr>
                          <w:rFonts w:ascii="Cambria Math"/>
                        </w:rPr>
                        <m:t>2</m:t>
                      </m:r>
                    </m:e>
                    <m:sup>
                      <m:r>
                        <w:rPr>
                          <w:rFonts w:ascii="Cambria Math"/>
                        </w:rPr>
                        <m:t>μ</m:t>
                      </m:r>
                    </m:sup>
                  </m:sSup>
                </m:den>
              </m:f>
            </m:oMath>
            <w:r w:rsidRPr="00B916EC">
              <w:rPr>
                <w:rFonts w:hint="eastAsia"/>
              </w:rPr>
              <w:t>.</w:t>
            </w:r>
            <w:r w:rsidRPr="00B916EC">
              <w:t xml:space="preserve"> </w:t>
            </w:r>
          </w:p>
          <w:p w14:paraId="4A247DEA" w14:textId="05EC33D6" w:rsidR="00615743" w:rsidRDefault="00615743" w:rsidP="00615743">
            <w:r>
              <w:t>…</w:t>
            </w:r>
          </w:p>
          <w:p w14:paraId="67B79BE7" w14:textId="77777777" w:rsidR="00615743" w:rsidRPr="00E96A26" w:rsidRDefault="00615743" w:rsidP="00E95089">
            <w:pPr>
              <w:rPr>
                <w:rFonts w:eastAsia="ＭＳ 明朝"/>
              </w:rPr>
            </w:pPr>
            <w:r w:rsidRPr="00B916EC">
              <w:rPr>
                <w:rFonts w:eastAsia="ＭＳ 明朝"/>
              </w:rPr>
              <w:t xml:space="preserve">If the received downlink timing changes and is not compensated or is only partly compensated by </w:t>
            </w:r>
            <w:r w:rsidRPr="00B916EC">
              <w:rPr>
                <w:rFonts w:eastAsia="ＭＳ 明朝" w:hint="eastAsia"/>
              </w:rPr>
              <w:t xml:space="preserve">the </w:t>
            </w:r>
            <w:r w:rsidRPr="00B916EC">
              <w:rPr>
                <w:rFonts w:eastAsia="ＭＳ 明朝"/>
              </w:rPr>
              <w:t xml:space="preserve">uplink timing adjustment </w:t>
            </w:r>
            <w:r w:rsidRPr="00B916EC">
              <w:rPr>
                <w:rFonts w:eastAsia="ＭＳ 明朝" w:hint="eastAsia"/>
              </w:rPr>
              <w:t xml:space="preserve">without timing advance command </w:t>
            </w:r>
            <w:r w:rsidRPr="00B916EC">
              <w:rPr>
                <w:rFonts w:eastAsia="ＭＳ 明朝"/>
              </w:rPr>
              <w:t xml:space="preserve">as </w:t>
            </w:r>
            <w:r>
              <w:rPr>
                <w:rFonts w:eastAsia="ＭＳ 明朝"/>
              </w:rPr>
              <w:t>described</w:t>
            </w:r>
            <w:r w:rsidRPr="00B916EC">
              <w:rPr>
                <w:rFonts w:eastAsia="ＭＳ 明朝"/>
              </w:rPr>
              <w:t xml:space="preserve"> in </w:t>
            </w:r>
            <w:r w:rsidRPr="00B916EC">
              <w:t>[10, TS 38.133]</w:t>
            </w:r>
            <w:r w:rsidRPr="00B916EC">
              <w:rPr>
                <w:rFonts w:eastAsia="ＭＳ 明朝"/>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ＭＳ 明朝"/>
              </w:rPr>
              <w:t xml:space="preserve"> accordingly. </w:t>
            </w:r>
          </w:p>
        </w:tc>
      </w:tr>
    </w:tbl>
    <w:p w14:paraId="568C4EB4" w14:textId="3FF8D78A" w:rsidR="0092786E" w:rsidRPr="000E514D" w:rsidRDefault="0092786E">
      <w:pPr>
        <w:spacing w:after="240" w:afterAutospacing="0"/>
        <w:rPr>
          <w:lang w:val="en-US"/>
        </w:rPr>
      </w:pPr>
    </w:p>
    <w:p w14:paraId="7601C4E9" w14:textId="69318820" w:rsidR="0092786E" w:rsidRDefault="0092786E" w:rsidP="0092786E">
      <w:pPr>
        <w:spacing w:after="0" w:afterAutospacing="0"/>
        <w:rPr>
          <w:lang w:val="en-US"/>
        </w:rPr>
      </w:pPr>
      <w:r w:rsidRPr="00BB7326">
        <w:rPr>
          <w:b/>
          <w:u w:val="single"/>
          <w:lang w:val="en-US"/>
        </w:rPr>
        <w:t>Observation</w:t>
      </w:r>
      <w:r>
        <w:rPr>
          <w:b/>
          <w:u w:val="single"/>
          <w:lang w:val="en-US"/>
        </w:rPr>
        <w:t xml:space="preserve"> 1</w:t>
      </w:r>
      <w:r w:rsidRPr="00BB7326">
        <w:rPr>
          <w:b/>
          <w:u w:val="single"/>
          <w:lang w:val="en-US"/>
        </w:rPr>
        <w:t>:</w:t>
      </w:r>
      <w:r>
        <w:rPr>
          <w:lang w:val="en-US"/>
        </w:rPr>
        <w:t xml:space="preserve"> For Rel-15/16/17 TA adjustment, the specifications have</w:t>
      </w:r>
      <w:r w:rsidR="005758C5">
        <w:rPr>
          <w:lang w:val="en-US"/>
        </w:rPr>
        <w:t xml:space="preserve"> been</w:t>
      </w:r>
      <w:r>
        <w:rPr>
          <w:lang w:val="en-US"/>
        </w:rPr>
        <w:t xml:space="preserve"> specified the following ways:</w:t>
      </w:r>
    </w:p>
    <w:p w14:paraId="3CEC0F7D" w14:textId="77777777" w:rsidR="0092786E" w:rsidRDefault="0092786E" w:rsidP="005758C5">
      <w:pPr>
        <w:pStyle w:val="aff9"/>
        <w:numPr>
          <w:ilvl w:val="0"/>
          <w:numId w:val="22"/>
        </w:numPr>
        <w:spacing w:after="0" w:afterAutospacing="0"/>
        <w:ind w:firstLineChars="0"/>
        <w:rPr>
          <w:lang w:val="en-US"/>
        </w:rPr>
      </w:pPr>
      <w:r>
        <w:rPr>
          <w:lang w:val="en-US"/>
        </w:rPr>
        <w:t>adjustment by TA command indicated by gNB.</w:t>
      </w:r>
    </w:p>
    <w:p w14:paraId="471AF72A" w14:textId="77777777" w:rsidR="0092786E" w:rsidRPr="00A42DC3" w:rsidRDefault="0092786E" w:rsidP="005758C5">
      <w:pPr>
        <w:pStyle w:val="aff9"/>
        <w:numPr>
          <w:ilvl w:val="0"/>
          <w:numId w:val="22"/>
        </w:numPr>
        <w:spacing w:after="240" w:afterAutospacing="0"/>
        <w:ind w:firstLineChars="0"/>
        <w:rPr>
          <w:lang w:val="en-US"/>
        </w:rPr>
      </w:pPr>
      <w:r>
        <w:rPr>
          <w:lang w:val="en-US"/>
        </w:rPr>
        <w:t>UE autonomous timing adjustment due to change of downlink receiving timing.</w:t>
      </w:r>
    </w:p>
    <w:p w14:paraId="104D0692" w14:textId="6F7A65E7" w:rsidR="0092786E" w:rsidRPr="0092786E" w:rsidRDefault="0092786E">
      <w:pPr>
        <w:spacing w:after="240" w:afterAutospacing="0"/>
        <w:rPr>
          <w:u w:val="single"/>
          <w:lang w:val="en-US"/>
        </w:rPr>
      </w:pPr>
      <w:r w:rsidRPr="00BB7326">
        <w:rPr>
          <w:b/>
          <w:u w:val="single"/>
          <w:lang w:val="en-US"/>
        </w:rPr>
        <w:t>Observation</w:t>
      </w:r>
      <w:r>
        <w:rPr>
          <w:b/>
          <w:u w:val="single"/>
          <w:lang w:val="en-US"/>
        </w:rPr>
        <w:t xml:space="preserve"> 2</w:t>
      </w:r>
      <w:r w:rsidRPr="00BB7326">
        <w:rPr>
          <w:b/>
          <w:u w:val="single"/>
          <w:lang w:val="en-US"/>
        </w:rPr>
        <w:t>:</w:t>
      </w:r>
      <w:r>
        <w:rPr>
          <w:lang w:val="en-US"/>
        </w:rPr>
        <w:t xml:space="preserve"> The gNB is not aware of when the UE perform</w:t>
      </w:r>
      <w:r w:rsidR="005758C5">
        <w:rPr>
          <w:lang w:val="en-US"/>
        </w:rPr>
        <w:t>s</w:t>
      </w:r>
      <w:r>
        <w:rPr>
          <w:lang w:val="en-US"/>
        </w:rPr>
        <w:t xml:space="preserve"> UE autonomous timing adjustment.</w:t>
      </w:r>
    </w:p>
    <w:p w14:paraId="78CB02F8" w14:textId="54423768" w:rsidR="004224C8" w:rsidRDefault="00020C96">
      <w:pPr>
        <w:spacing w:after="240" w:afterAutospacing="0"/>
        <w:rPr>
          <w:lang w:val="en-US"/>
        </w:rPr>
      </w:pPr>
      <w:r>
        <w:rPr>
          <w:lang w:val="en-US"/>
        </w:rPr>
        <w:t>Although</w:t>
      </w:r>
      <w:r w:rsidR="00615743">
        <w:rPr>
          <w:lang w:val="en-US"/>
        </w:rPr>
        <w:t xml:space="preserve"> the UE autonomous TA adjustment is introduced since Rel-15, f</w:t>
      </w:r>
      <w:r w:rsidR="00CE014F">
        <w:rPr>
          <w:lang w:val="en-US"/>
        </w:rPr>
        <w:t>or Rel-17 PUSCH DMRS bundling, specifications are not describing whether/when UE autonomous TA adjustment</w:t>
      </w:r>
      <w:r w:rsidR="0092786E">
        <w:rPr>
          <w:lang w:val="en-US"/>
        </w:rPr>
        <w:t xml:space="preserve"> within the nominal TDW</w:t>
      </w:r>
      <w:r w:rsidR="00CE014F">
        <w:rPr>
          <w:lang w:val="en-US"/>
        </w:rPr>
        <w:t xml:space="preserve"> is allowed or prohibited. The specifications specify only requirements of power consistency and phase continuity within an actual TDW. </w:t>
      </w:r>
      <w:r w:rsidR="00615743">
        <w:rPr>
          <w:lang w:val="en-US"/>
        </w:rPr>
        <w:t>Therefore, f</w:t>
      </w:r>
      <w:r w:rsidR="00CE014F">
        <w:rPr>
          <w:lang w:val="en-US"/>
        </w:rPr>
        <w:t>or Rel-18 NTN PUSCH DMRS bundling specification, restriction of UE autonomous TA pre-compensation timing does not need to be explicitly specified.</w:t>
      </w:r>
    </w:p>
    <w:p w14:paraId="28659CEB" w14:textId="45C50977" w:rsidR="0092786E" w:rsidRDefault="0092786E" w:rsidP="0092786E">
      <w:pPr>
        <w:spacing w:after="240" w:afterAutospacing="0"/>
        <w:rPr>
          <w:lang w:val="en-US"/>
        </w:rPr>
      </w:pPr>
      <w:r w:rsidRPr="00BB7326">
        <w:rPr>
          <w:b/>
          <w:u w:val="single"/>
          <w:lang w:val="en-US"/>
        </w:rPr>
        <w:t>Observation</w:t>
      </w:r>
      <w:r>
        <w:rPr>
          <w:b/>
          <w:u w:val="single"/>
          <w:lang w:val="en-US"/>
        </w:rPr>
        <w:t xml:space="preserve"> 3</w:t>
      </w:r>
      <w:r w:rsidRPr="00BB7326">
        <w:rPr>
          <w:b/>
          <w:u w:val="single"/>
          <w:lang w:val="en-US"/>
        </w:rPr>
        <w:t>:</w:t>
      </w:r>
      <w:r>
        <w:rPr>
          <w:lang w:val="en-US"/>
        </w:rPr>
        <w:t xml:space="preserve"> For Rel-17 PUSCH DMRS bundling, specifications are not describing whether/when UE autonomous TA adjustment is allowed or prohibited. The specifications specify only requirements of power consistency and phase continuity within an actual TDW.</w:t>
      </w:r>
    </w:p>
    <w:p w14:paraId="474EBFA1" w14:textId="0B547A6F" w:rsidR="00B66D5A" w:rsidRPr="00020C96" w:rsidRDefault="0092786E" w:rsidP="00804DBB">
      <w:pPr>
        <w:spacing w:after="240" w:afterAutospacing="0"/>
        <w:rPr>
          <w:lang w:val="en-US"/>
        </w:rPr>
      </w:pPr>
      <w:r w:rsidRPr="00BB7326">
        <w:rPr>
          <w:b/>
          <w:u w:val="single"/>
          <w:lang w:val="en-US"/>
        </w:rPr>
        <w:t>Proposal</w:t>
      </w:r>
      <w:r>
        <w:rPr>
          <w:b/>
          <w:u w:val="single"/>
          <w:lang w:val="en-US"/>
        </w:rPr>
        <w:t xml:space="preserve"> 1</w:t>
      </w:r>
      <w:r w:rsidRPr="00BB7326">
        <w:rPr>
          <w:b/>
          <w:u w:val="single"/>
          <w:lang w:val="en-US"/>
        </w:rPr>
        <w:t>:</w:t>
      </w:r>
      <w:r>
        <w:rPr>
          <w:lang w:val="en-US"/>
        </w:rPr>
        <w:t xml:space="preserve"> For Rel-18 NTN PUSCH DMRS bundling specification, restriction of UE autonomous TA pre-compensation timing does not need to be explicitly specified.</w:t>
      </w:r>
    </w:p>
    <w:p w14:paraId="737C43F1" w14:textId="4686F4B6" w:rsidR="00AC283D" w:rsidRDefault="0005275C" w:rsidP="00804DBB">
      <w:pPr>
        <w:spacing w:after="240" w:afterAutospacing="0"/>
        <w:rPr>
          <w:lang w:val="en-US"/>
        </w:rPr>
      </w:pPr>
      <w:r>
        <w:rPr>
          <w:lang w:val="en-US"/>
        </w:rPr>
        <w:t>For Rel-17 PUSCH DMRS bundling, uplink timing adjustment in response to a TA command is specified as an event</w:t>
      </w:r>
      <w:r w:rsidR="00B70CC0">
        <w:rPr>
          <w:lang w:val="en-US"/>
        </w:rPr>
        <w:t xml:space="preserve"> </w:t>
      </w:r>
      <w:r w:rsidR="00BD17AC">
        <w:rPr>
          <w:lang w:val="en-US"/>
        </w:rPr>
        <w:t xml:space="preserve">as </w:t>
      </w:r>
      <w:r w:rsidR="00B70CC0">
        <w:rPr>
          <w:lang w:val="en-US"/>
        </w:rPr>
        <w:t>described in TS 38.214 clause 6.1.7</w:t>
      </w:r>
      <w:r w:rsidR="00E95089">
        <w:rPr>
          <w:lang w:val="en-US"/>
        </w:rPr>
        <w:t xml:space="preserve"> [3]</w:t>
      </w:r>
      <w:r>
        <w:rPr>
          <w:lang w:val="en-US"/>
        </w:rPr>
        <w:t xml:space="preserve">. </w:t>
      </w:r>
      <w:r w:rsidR="00AC283D" w:rsidRPr="00AC283D">
        <w:rPr>
          <w:lang w:val="en-US"/>
        </w:rPr>
        <w:t xml:space="preserve">In our understanding, if UE receives a TA command from a gNB within a nominal TDW, </w:t>
      </w:r>
      <w:r w:rsidR="00B70CC0">
        <w:rPr>
          <w:lang w:val="en-US"/>
        </w:rPr>
        <w:t xml:space="preserve">the </w:t>
      </w:r>
      <w:r w:rsidR="00AC283D" w:rsidRPr="00AC283D">
        <w:rPr>
          <w:lang w:val="en-US"/>
        </w:rPr>
        <w:t xml:space="preserve">UE determines the timing </w:t>
      </w:r>
      <w:r w:rsidR="00B70CC0">
        <w:rPr>
          <w:lang w:val="en-US"/>
        </w:rPr>
        <w:t>that</w:t>
      </w:r>
      <w:r w:rsidR="00B70CC0" w:rsidRPr="00AC283D">
        <w:rPr>
          <w:lang w:val="en-US"/>
        </w:rPr>
        <w:t xml:space="preserve"> </w:t>
      </w:r>
      <w:r w:rsidR="00AC283D" w:rsidRPr="00AC283D">
        <w:rPr>
          <w:lang w:val="en-US"/>
        </w:rPr>
        <w:t xml:space="preserve">the TA command is applied as event which cause power consistency and phase continuity not to be maintained, even if the TA command indicate the TA is </w:t>
      </w:r>
      <w:r w:rsidR="00BD17AC">
        <w:rPr>
          <w:lang w:val="en-US"/>
        </w:rPr>
        <w:t xml:space="preserve">not </w:t>
      </w:r>
      <w:r w:rsidR="00AC283D" w:rsidRPr="00AC283D">
        <w:rPr>
          <w:lang w:val="en-US"/>
        </w:rPr>
        <w:t>to be</w:t>
      </w:r>
      <w:r w:rsidR="00BD17AC">
        <w:rPr>
          <w:lang w:val="en-US"/>
        </w:rPr>
        <w:t xml:space="preserve"> </w:t>
      </w:r>
      <w:r w:rsidR="00AC283D" w:rsidRPr="00AC283D">
        <w:rPr>
          <w:lang w:val="en-US"/>
        </w:rPr>
        <w:t>changed</w:t>
      </w:r>
      <w:r w:rsidR="00AC283D">
        <w:rPr>
          <w:lang w:val="en-US"/>
        </w:rPr>
        <w:t xml:space="preserve"> (i.e. </w:t>
      </w:r>
      <w:r>
        <w:rPr>
          <w:lang w:val="en-US"/>
        </w:rPr>
        <w:t>gNB indicate</w:t>
      </w:r>
      <w:r w:rsidR="000F4056">
        <w:rPr>
          <w:lang w:val="en-US"/>
        </w:rPr>
        <w:t>s</w:t>
      </w:r>
      <w:r>
        <w:rPr>
          <w:lang w:val="en-US"/>
        </w:rPr>
        <w:t xml:space="preserve"> TA command with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A</m:t>
            </m:r>
          </m:sub>
        </m:sSub>
        <m:r>
          <w:rPr>
            <w:rFonts w:ascii="Cambria Math" w:hAnsi="Cambria Math"/>
            <w:lang w:val="en-US"/>
          </w:rPr>
          <m:t>=31</m:t>
        </m:r>
      </m:oMath>
      <w:r w:rsidR="00AC283D">
        <w:rPr>
          <w:lang w:val="en-US"/>
        </w:rPr>
        <w:t>)</w:t>
      </w:r>
      <w:r w:rsidR="00AC283D" w:rsidRPr="00AC283D">
        <w:rPr>
          <w:lang w:val="en-US"/>
        </w:rPr>
        <w:t>.</w:t>
      </w:r>
      <w:r w:rsidR="004D2CF2">
        <w:rPr>
          <w:lang w:val="en-US"/>
        </w:rPr>
        <w:t xml:space="preserve"> </w:t>
      </w:r>
      <w:r>
        <w:rPr>
          <w:lang w:val="en-US"/>
        </w:rPr>
        <w:t>Therefore, a gNB can indicate to a UE the timing to allow for the UE to perform TA pre-compensation update by transmitting existing TA command</w:t>
      </w:r>
      <w:r w:rsidR="00BD17AC">
        <w:rPr>
          <w:lang w:val="en-US"/>
        </w:rPr>
        <w:t xml:space="preserve"> without new event</w:t>
      </w:r>
      <w:r>
        <w:rPr>
          <w:lang w:val="en-US"/>
        </w:rPr>
        <w:t>.</w:t>
      </w:r>
    </w:p>
    <w:tbl>
      <w:tblPr>
        <w:tblStyle w:val="af2"/>
        <w:tblW w:w="0" w:type="auto"/>
        <w:tblLook w:val="04A0" w:firstRow="1" w:lastRow="0" w:firstColumn="1" w:lastColumn="0" w:noHBand="0" w:noVBand="1"/>
      </w:tblPr>
      <w:tblGrid>
        <w:gridCol w:w="9954"/>
      </w:tblGrid>
      <w:tr w:rsidR="00B70CC0" w14:paraId="63A2DC33" w14:textId="77777777" w:rsidTr="00E95089">
        <w:tc>
          <w:tcPr>
            <w:tcW w:w="9954" w:type="dxa"/>
          </w:tcPr>
          <w:p w14:paraId="0DC4ADE9" w14:textId="546A8284" w:rsidR="00B70CC0" w:rsidRDefault="00B70CC0" w:rsidP="00E95089">
            <w:pPr>
              <w:rPr>
                <w:rFonts w:eastAsia="ＭＳ 明朝"/>
              </w:rPr>
            </w:pPr>
            <w:r>
              <w:rPr>
                <w:rFonts w:eastAsia="ＭＳ 明朝" w:hint="eastAsia"/>
              </w:rPr>
              <w:lastRenderedPageBreak/>
              <w:t>3</w:t>
            </w:r>
            <w:r>
              <w:rPr>
                <w:rFonts w:eastAsia="ＭＳ 明朝"/>
              </w:rPr>
              <w:t>8.214 – 6.1.7 description [</w:t>
            </w:r>
            <w:r w:rsidR="00E95089">
              <w:rPr>
                <w:rFonts w:eastAsia="ＭＳ 明朝"/>
              </w:rPr>
              <w:t>3</w:t>
            </w:r>
            <w:r>
              <w:rPr>
                <w:rFonts w:eastAsia="ＭＳ 明朝"/>
              </w:rPr>
              <w:t>]</w:t>
            </w:r>
          </w:p>
          <w:p w14:paraId="4D5086C8" w14:textId="77777777" w:rsidR="00B70CC0" w:rsidRPr="00BB7326" w:rsidRDefault="00B70CC0" w:rsidP="00E95089">
            <w:pPr>
              <w:spacing w:after="0" w:afterAutospacing="0"/>
            </w:pPr>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254F76E8" w14:textId="77777777" w:rsidR="00B70CC0" w:rsidRDefault="00B70CC0" w:rsidP="00E95089">
            <w:pPr>
              <w:pStyle w:val="aff9"/>
              <w:spacing w:after="0" w:afterAutospacing="0"/>
              <w:ind w:left="420" w:firstLineChars="0" w:firstLine="0"/>
              <w:rPr>
                <w:rFonts w:eastAsia="ＭＳ 明朝"/>
              </w:rPr>
            </w:pPr>
            <w:r>
              <w:rPr>
                <w:rFonts w:eastAsia="ＭＳ 明朝" w:hint="eastAsia"/>
              </w:rPr>
              <w:t>…</w:t>
            </w:r>
          </w:p>
          <w:p w14:paraId="74916A5C" w14:textId="77777777" w:rsidR="00B70CC0" w:rsidRDefault="00B70CC0" w:rsidP="00B70CC0">
            <w:pPr>
              <w:pStyle w:val="aff9"/>
              <w:numPr>
                <w:ilvl w:val="0"/>
                <w:numId w:val="16"/>
              </w:numPr>
              <w:spacing w:after="0" w:afterAutospacing="0"/>
              <w:ind w:firstLineChars="0"/>
              <w:rPr>
                <w:rFonts w:eastAsia="ＭＳ 明朝"/>
              </w:rPr>
            </w:pPr>
            <w:r w:rsidRPr="00BB7326">
              <w:rPr>
                <w:rFonts w:eastAsia="ＭＳ 明朝"/>
              </w:rPr>
              <w:t>Uplink timing adjustment in response to a timing advance command according to clause 4.2 of [6, TS 38.213].</w:t>
            </w:r>
          </w:p>
          <w:p w14:paraId="09AA4196" w14:textId="77777777" w:rsidR="00B70CC0" w:rsidRPr="00E17369" w:rsidRDefault="00B70CC0" w:rsidP="00E95089">
            <w:pPr>
              <w:pStyle w:val="aff9"/>
              <w:spacing w:after="0" w:afterAutospacing="0"/>
              <w:ind w:left="420" w:firstLineChars="0" w:firstLine="0"/>
              <w:rPr>
                <w:rFonts w:eastAsia="ＭＳ 明朝"/>
              </w:rPr>
            </w:pPr>
            <w:r>
              <w:rPr>
                <w:rFonts w:eastAsia="ＭＳ 明朝" w:hint="eastAsia"/>
              </w:rPr>
              <w:t>…</w:t>
            </w:r>
          </w:p>
        </w:tc>
      </w:tr>
      <w:tr w:rsidR="00B70CC0" w14:paraId="57E50127" w14:textId="77777777" w:rsidTr="00E95089">
        <w:tc>
          <w:tcPr>
            <w:tcW w:w="9954" w:type="dxa"/>
          </w:tcPr>
          <w:p w14:paraId="79E68004" w14:textId="3EED35DF" w:rsidR="00B70CC0" w:rsidRPr="00BB0BC2" w:rsidRDefault="00B70CC0" w:rsidP="00E95089">
            <w:pPr>
              <w:rPr>
                <w:rFonts w:eastAsia="ＭＳ 明朝"/>
              </w:rPr>
            </w:pPr>
            <w:r>
              <w:rPr>
                <w:rFonts w:eastAsia="ＭＳ 明朝" w:hint="eastAsia"/>
              </w:rPr>
              <w:t>3</w:t>
            </w:r>
            <w:r>
              <w:rPr>
                <w:rFonts w:eastAsia="ＭＳ 明朝"/>
              </w:rPr>
              <w:t>8.213 – 4.2 description [</w:t>
            </w:r>
            <w:r w:rsidR="00E95089">
              <w:rPr>
                <w:rFonts w:eastAsia="ＭＳ 明朝"/>
              </w:rPr>
              <w:t>2</w:t>
            </w:r>
            <w:r>
              <w:rPr>
                <w:rFonts w:eastAsia="ＭＳ 明朝"/>
              </w:rPr>
              <w:t>]</w:t>
            </w:r>
          </w:p>
          <w:p w14:paraId="1ACA2473" w14:textId="77777777" w:rsidR="00B70CC0" w:rsidRPr="00EF5973" w:rsidRDefault="00B70CC0" w:rsidP="00E95089">
            <w:pPr>
              <w:rPr>
                <w:szCs w:val="24"/>
              </w:rPr>
            </w:pPr>
            <w:r w:rsidRPr="00EF5973">
              <w:rPr>
                <w:szCs w:val="24"/>
              </w:rPr>
              <w:t>In other cases, a timing advance command [1</w:t>
            </w:r>
            <w:r w:rsidRPr="00EF5973">
              <w:rPr>
                <w:szCs w:val="24"/>
                <w:lang w:val="en-US"/>
              </w:rPr>
              <w:t>1</w:t>
            </w:r>
            <w:r w:rsidRPr="006C1124">
              <w:rPr>
                <w:szCs w:val="24"/>
              </w:rPr>
              <w:t>, TS 38.3</w:t>
            </w:r>
            <w:r w:rsidRPr="006C1124">
              <w:rPr>
                <w:szCs w:val="24"/>
                <w:lang w:val="en-US"/>
              </w:rPr>
              <w:t>2</w:t>
            </w:r>
            <w:r w:rsidRPr="006C1124">
              <w:rPr>
                <w:szCs w:val="24"/>
              </w:rPr>
              <w:t xml:space="preserve">1], </w:t>
            </w:r>
            <m:oMath>
              <m:sSub>
                <m:sSubPr>
                  <m:ctrlPr>
                    <w:rPr>
                      <w:rFonts w:ascii="Cambria Math" w:eastAsia="DengXian" w:hAnsi="Cambria Math"/>
                      <w:i/>
                      <w:szCs w:val="24"/>
                      <w:lang w:eastAsia="zh-CN"/>
                    </w:rPr>
                  </m:ctrlPr>
                </m:sSubPr>
                <m:e>
                  <m:r>
                    <w:rPr>
                      <w:rFonts w:ascii="Cambria Math" w:eastAsia="DengXian" w:hAnsi="Cambria Math"/>
                      <w:szCs w:val="24"/>
                      <w:lang w:eastAsia="zh-CN"/>
                    </w:rPr>
                    <m:t>T</m:t>
                  </m:r>
                </m:e>
                <m:sub>
                  <m:r>
                    <m:rPr>
                      <m:sty m:val="p"/>
                    </m:rPr>
                    <w:rPr>
                      <w:rFonts w:ascii="Cambria Math" w:eastAsia="DengXian" w:hAnsi="Cambria Math"/>
                      <w:szCs w:val="24"/>
                      <w:lang w:eastAsia="zh-CN"/>
                    </w:rPr>
                    <m:t>A</m:t>
                  </m:r>
                </m:sub>
              </m:sSub>
            </m:oMath>
            <w:r w:rsidRPr="00EF5973">
              <w:rPr>
                <w:szCs w:val="24"/>
              </w:rPr>
              <w:t xml:space="preserve">, for a TAG indicates </w:t>
            </w:r>
            <w:r w:rsidRPr="00EF5973">
              <w:rPr>
                <w:rFonts w:eastAsia="ＭＳ 明朝"/>
                <w:szCs w:val="24"/>
              </w:rPr>
              <w:t>adjustment of</w:t>
            </w:r>
            <w:r w:rsidRPr="006C1124">
              <w:rPr>
                <w:szCs w:val="24"/>
              </w:rPr>
              <w:t xml:space="preserve"> a current</w:t>
            </w:r>
            <w:r w:rsidRPr="006C1124">
              <w:rPr>
                <w:rFonts w:eastAsia="ＭＳ 明朝"/>
                <w:szCs w:val="24"/>
              </w:rPr>
              <w:t xml:space="preserve">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m:t>
                  </m:r>
                </m:sub>
              </m:sSub>
            </m:oMath>
            <w:r w:rsidRPr="00EF5973">
              <w:rPr>
                <w:i/>
                <w:szCs w:val="24"/>
              </w:rPr>
              <w:t xml:space="preserve"> </w:t>
            </w:r>
            <w:r w:rsidRPr="00EF5973">
              <w:rPr>
                <w:szCs w:val="24"/>
              </w:rPr>
              <w:t xml:space="preserve">value,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TA_old</m:t>
                  </m:r>
                </m:sub>
              </m:sSub>
            </m:oMath>
            <w:r w:rsidRPr="00EF5973">
              <w:rPr>
                <w:szCs w:val="24"/>
              </w:rPr>
              <w:t xml:space="preserve">, to the new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m:t>
                  </m:r>
                </m:sub>
              </m:sSub>
            </m:oMath>
            <w:r w:rsidRPr="00EF5973">
              <w:rPr>
                <w:i/>
                <w:szCs w:val="24"/>
              </w:rPr>
              <w:t xml:space="preserve"> </w:t>
            </w:r>
            <w:r w:rsidRPr="00EF5973">
              <w:rPr>
                <w:szCs w:val="24"/>
              </w:rPr>
              <w:t xml:space="preserve">value,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TA_new</m:t>
                  </m:r>
                </m:sub>
              </m:sSub>
            </m:oMath>
            <w:r w:rsidRPr="00EF5973">
              <w:rPr>
                <w:szCs w:val="24"/>
              </w:rPr>
              <w:t>,</w:t>
            </w:r>
            <w:r w:rsidRPr="00EF5973">
              <w:rPr>
                <w:rFonts w:eastAsia="ＭＳ 明朝"/>
                <w:szCs w:val="24"/>
              </w:rPr>
              <w:t xml:space="preserve"> by</w:t>
            </w:r>
            <w:r w:rsidRPr="006C1124">
              <w:rPr>
                <w:szCs w:val="24"/>
              </w:rPr>
              <w:t xml:space="preserve"> index values of </w:t>
            </w:r>
            <m:oMath>
              <m:sSub>
                <m:sSubPr>
                  <m:ctrlPr>
                    <w:rPr>
                      <w:rFonts w:ascii="Cambria Math" w:eastAsia="DengXian" w:hAnsi="Cambria Math"/>
                      <w:i/>
                      <w:szCs w:val="24"/>
                      <w:lang w:eastAsia="zh-CN"/>
                    </w:rPr>
                  </m:ctrlPr>
                </m:sSubPr>
                <m:e>
                  <m:r>
                    <w:rPr>
                      <w:rFonts w:ascii="Cambria Math" w:eastAsia="DengXian" w:hAnsi="Cambria Math"/>
                      <w:szCs w:val="24"/>
                      <w:lang w:eastAsia="zh-CN"/>
                    </w:rPr>
                    <m:t>T</m:t>
                  </m:r>
                </m:e>
                <m:sub>
                  <m:r>
                    <m:rPr>
                      <m:sty m:val="p"/>
                    </m:rPr>
                    <w:rPr>
                      <w:rFonts w:ascii="Cambria Math" w:eastAsia="DengXian" w:hAnsi="Cambria Math"/>
                      <w:szCs w:val="24"/>
                      <w:lang w:eastAsia="zh-CN"/>
                    </w:rPr>
                    <m:t>A</m:t>
                  </m:r>
                </m:sub>
              </m:sSub>
            </m:oMath>
            <w:r w:rsidRPr="00EF5973">
              <w:rPr>
                <w:szCs w:val="24"/>
              </w:rPr>
              <w:t xml:space="preserve"> = 0, 1, 2,..., 63, where for a </w:t>
            </w:r>
            <w:r w:rsidRPr="00EF5973">
              <w:rPr>
                <w:rFonts w:eastAsia="ＭＳ 明朝"/>
                <w:szCs w:val="24"/>
              </w:rPr>
              <w:t xml:space="preserve">SCS of </w:t>
            </w:r>
            <m:oMath>
              <m:sSup>
                <m:sSupPr>
                  <m:ctrlPr>
                    <w:rPr>
                      <w:rFonts w:ascii="Cambria Math" w:hAnsi="Cambria Math" w:cs="Calibri"/>
                      <w:i/>
                      <w:szCs w:val="24"/>
                    </w:rPr>
                  </m:ctrlPr>
                </m:sSupPr>
                <m:e>
                  <m:r>
                    <w:rPr>
                      <w:rFonts w:ascii="Cambria Math" w:hAnsi="Cambria Math" w:cs="Calibri"/>
                      <w:szCs w:val="24"/>
                    </w:rPr>
                    <m:t>2</m:t>
                  </m:r>
                </m:e>
                <m:sup>
                  <m:r>
                    <w:rPr>
                      <w:rFonts w:ascii="Cambria Math" w:hAnsi="Cambria Math" w:cs="Calibri"/>
                      <w:szCs w:val="24"/>
                    </w:rPr>
                    <m:t>μ</m:t>
                  </m:r>
                </m:sup>
              </m:sSup>
              <m:r>
                <m:rPr>
                  <m:sty m:val="p"/>
                </m:rPr>
                <w:rPr>
                  <w:rFonts w:ascii="Cambria Math" w:hAnsi="Cambria Math" w:cs="Calibri"/>
                  <w:szCs w:val="24"/>
                </w:rPr>
                <m:t>∙15</m:t>
              </m:r>
            </m:oMath>
            <w:r w:rsidRPr="00EF5973">
              <w:rPr>
                <w:szCs w:val="24"/>
              </w:rPr>
              <w:t xml:space="preserve"> kHz,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TA_new</m:t>
                  </m:r>
                </m:sub>
              </m:sSub>
              <m:r>
                <w:rPr>
                  <w:rFonts w:ascii="Cambria Math" w:eastAsia="DengXian" w:hAnsi="Cambria Math"/>
                  <w:szCs w:val="24"/>
                  <w:lang w:eastAsia="zh-CN"/>
                </w:rPr>
                <m:t>=</m:t>
              </m:r>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TA_old</m:t>
                  </m:r>
                </m:sub>
              </m:sSub>
              <m:r>
                <w:rPr>
                  <w:rFonts w:ascii="Cambria Math" w:eastAsia="DengXian" w:hAnsi="Cambria Math"/>
                  <w:szCs w:val="24"/>
                  <w:lang w:eastAsia="zh-CN"/>
                </w:rPr>
                <m:t>+</m:t>
              </m:r>
              <m:d>
                <m:dPr>
                  <m:ctrlPr>
                    <w:rPr>
                      <w:rFonts w:ascii="Cambria Math" w:eastAsia="DengXian" w:hAnsi="Cambria Math"/>
                      <w:i/>
                      <w:szCs w:val="24"/>
                      <w:lang w:eastAsia="zh-CN"/>
                    </w:rPr>
                  </m:ctrlPr>
                </m:dPr>
                <m:e>
                  <m:sSub>
                    <m:sSubPr>
                      <m:ctrlPr>
                        <w:rPr>
                          <w:rFonts w:ascii="Cambria Math" w:eastAsia="DengXian" w:hAnsi="Cambria Math"/>
                          <w:i/>
                          <w:szCs w:val="24"/>
                          <w:lang w:eastAsia="zh-CN"/>
                        </w:rPr>
                      </m:ctrlPr>
                    </m:sSubPr>
                    <m:e>
                      <m:r>
                        <w:rPr>
                          <w:rFonts w:ascii="Cambria Math" w:eastAsia="DengXian" w:hAnsi="Cambria Math"/>
                          <w:szCs w:val="24"/>
                          <w:lang w:eastAsia="zh-CN"/>
                        </w:rPr>
                        <m:t>T</m:t>
                      </m:r>
                    </m:e>
                    <m:sub>
                      <m:r>
                        <m:rPr>
                          <m:sty m:val="p"/>
                        </m:rPr>
                        <w:rPr>
                          <w:rFonts w:ascii="Cambria Math" w:eastAsia="DengXian" w:hAnsi="Cambria Math"/>
                          <w:szCs w:val="24"/>
                          <w:lang w:eastAsia="zh-CN"/>
                        </w:rPr>
                        <m:t>A</m:t>
                      </m:r>
                    </m:sub>
                  </m:sSub>
                  <m:r>
                    <w:rPr>
                      <w:rFonts w:ascii="Cambria Math" w:eastAsia="DengXian" w:hAnsi="Cambria Math"/>
                      <w:szCs w:val="24"/>
                      <w:lang w:eastAsia="zh-CN"/>
                    </w:rPr>
                    <m:t>-31</m:t>
                  </m:r>
                </m:e>
              </m:d>
              <m:r>
                <m:rPr>
                  <m:sty m:val="p"/>
                </m:rPr>
                <w:rPr>
                  <w:rFonts w:ascii="Cambria Math" w:hAnsi="Cambria Math" w:cs="Calibri"/>
                  <w:szCs w:val="24"/>
                </w:rPr>
                <m:t>∙16∙</m:t>
              </m:r>
              <m:f>
                <m:fPr>
                  <m:type m:val="lin"/>
                  <m:ctrlPr>
                    <w:rPr>
                      <w:rFonts w:ascii="Cambria Math" w:hAnsi="Cambria Math" w:cs="Calibri"/>
                      <w:szCs w:val="24"/>
                    </w:rPr>
                  </m:ctrlPr>
                </m:fPr>
                <m:num>
                  <m:r>
                    <w:rPr>
                      <w:rFonts w:ascii="Cambria Math" w:hAnsi="Cambria Math" w:cs="Calibri"/>
                      <w:szCs w:val="24"/>
                    </w:rPr>
                    <m:t>64</m:t>
                  </m:r>
                </m:num>
                <m:den>
                  <m:sSup>
                    <m:sSupPr>
                      <m:ctrlPr>
                        <w:rPr>
                          <w:rFonts w:ascii="Cambria Math" w:hAnsi="Cambria Math" w:cs="Calibri"/>
                          <w:i/>
                          <w:szCs w:val="24"/>
                        </w:rPr>
                      </m:ctrlPr>
                    </m:sSupPr>
                    <m:e>
                      <m:r>
                        <w:rPr>
                          <w:rFonts w:ascii="Cambria Math" w:hAnsi="Cambria Math" w:cs="Calibri"/>
                          <w:szCs w:val="24"/>
                        </w:rPr>
                        <m:t>2</m:t>
                      </m:r>
                    </m:e>
                    <m:sup>
                      <m:r>
                        <w:rPr>
                          <w:rFonts w:ascii="Cambria Math" w:hAnsi="Cambria Math" w:cs="Calibri"/>
                          <w:szCs w:val="24"/>
                        </w:rPr>
                        <m:t>μ</m:t>
                      </m:r>
                    </m:sup>
                  </m:sSup>
                </m:den>
              </m:f>
            </m:oMath>
            <w:r w:rsidRPr="008B20A6">
              <w:rPr>
                <w:szCs w:val="24"/>
              </w:rPr>
              <w:t xml:space="preserve">. </w:t>
            </w:r>
          </w:p>
        </w:tc>
      </w:tr>
    </w:tbl>
    <w:p w14:paraId="100AEA21" w14:textId="77777777" w:rsidR="00B70CC0" w:rsidRPr="000E514D" w:rsidRDefault="00B70CC0" w:rsidP="00804DBB">
      <w:pPr>
        <w:spacing w:after="240" w:afterAutospacing="0"/>
      </w:pPr>
    </w:p>
    <w:p w14:paraId="76E81CD5" w14:textId="4040D7E5" w:rsidR="00CE37E5" w:rsidRPr="00CE37E5" w:rsidRDefault="00CE37E5" w:rsidP="00804DBB">
      <w:pPr>
        <w:spacing w:after="240" w:afterAutospacing="0"/>
        <w:rPr>
          <w:lang w:val="en-US"/>
        </w:rPr>
      </w:pPr>
      <w:r w:rsidRPr="00B9320C">
        <w:rPr>
          <w:b/>
          <w:u w:val="single"/>
          <w:lang w:val="en-US"/>
        </w:rPr>
        <w:t>Observation</w:t>
      </w:r>
      <w:r>
        <w:rPr>
          <w:b/>
          <w:u w:val="single"/>
          <w:lang w:val="en-US"/>
        </w:rPr>
        <w:t xml:space="preserve"> 4</w:t>
      </w:r>
      <w:r w:rsidRPr="00B9320C">
        <w:rPr>
          <w:b/>
          <w:u w:val="single"/>
          <w:lang w:val="en-US"/>
        </w:rPr>
        <w:t>:</w:t>
      </w:r>
      <w:r>
        <w:rPr>
          <w:lang w:val="en-US"/>
        </w:rPr>
        <w:t xml:space="preserve"> For Rel-17 PUSCH DMRS bundling, uplink timing adjustment in response to a TA command is specified as an event.</w:t>
      </w:r>
    </w:p>
    <w:p w14:paraId="69D53FB2" w14:textId="3DF91CD2" w:rsidR="008E4D74" w:rsidRDefault="00804DBB" w:rsidP="0002714A">
      <w:pPr>
        <w:spacing w:after="240" w:afterAutospacing="0"/>
        <w:rPr>
          <w:lang w:val="en-US"/>
        </w:rPr>
      </w:pPr>
      <w:r>
        <w:rPr>
          <w:b/>
          <w:u w:val="single"/>
          <w:lang w:val="en-US"/>
        </w:rPr>
        <w:t>Observation</w:t>
      </w:r>
      <w:r w:rsidR="00093E67">
        <w:rPr>
          <w:b/>
          <w:u w:val="single"/>
          <w:lang w:val="en-US"/>
        </w:rPr>
        <w:t xml:space="preserve"> 5</w:t>
      </w:r>
      <w:r w:rsidRPr="00E66A45">
        <w:rPr>
          <w:b/>
          <w:u w:val="single"/>
          <w:lang w:val="en-US"/>
        </w:rPr>
        <w:t>:</w:t>
      </w:r>
      <w:r>
        <w:rPr>
          <w:lang w:val="en-US"/>
        </w:rPr>
        <w:t xml:space="preserve"> </w:t>
      </w:r>
      <w:r w:rsidR="00B82F58">
        <w:rPr>
          <w:rFonts w:hint="eastAsia"/>
          <w:lang w:val="en-US"/>
        </w:rPr>
        <w:t>A</w:t>
      </w:r>
      <w:r w:rsidR="00B82F58">
        <w:rPr>
          <w:lang w:val="en-US"/>
        </w:rPr>
        <w:t xml:space="preserve"> gNB can reuse the existing TA command based dynamic event, so as to inform the UE of the boundary across which the gNB does not combine DMRS</w:t>
      </w:r>
      <w:r w:rsidR="00D01724">
        <w:rPr>
          <w:lang w:val="en-US"/>
        </w:rPr>
        <w:t xml:space="preserve"> </w:t>
      </w:r>
      <w:r w:rsidR="00D01724">
        <w:rPr>
          <w:rFonts w:hint="eastAsia"/>
          <w:lang w:val="en-US"/>
        </w:rPr>
        <w:t>(</w:t>
      </w:r>
      <w:r w:rsidR="00D01724">
        <w:rPr>
          <w:lang w:val="en-US"/>
        </w:rPr>
        <w:t>i.e. potential TA pre-compensation timing)</w:t>
      </w:r>
      <w:r w:rsidR="00B82F58">
        <w:rPr>
          <w:lang w:val="en-US"/>
        </w:rPr>
        <w:t>.</w:t>
      </w:r>
    </w:p>
    <w:p w14:paraId="04A6DB83" w14:textId="68D90D04" w:rsidR="0002714A" w:rsidRDefault="00804DBB" w:rsidP="0002714A">
      <w:pPr>
        <w:spacing w:after="240" w:afterAutospacing="0"/>
        <w:rPr>
          <w:lang w:val="en-US"/>
        </w:rPr>
      </w:pPr>
      <w:r w:rsidRPr="00E66A45">
        <w:rPr>
          <w:b/>
          <w:u w:val="single"/>
          <w:lang w:val="en-US"/>
        </w:rPr>
        <w:t>Proposal</w:t>
      </w:r>
      <w:r w:rsidR="00093E67">
        <w:rPr>
          <w:b/>
          <w:u w:val="single"/>
          <w:lang w:val="en-US"/>
        </w:rPr>
        <w:t xml:space="preserve"> 2</w:t>
      </w:r>
      <w:r w:rsidRPr="00E66A45">
        <w:rPr>
          <w:b/>
          <w:u w:val="single"/>
          <w:lang w:val="en-US"/>
        </w:rPr>
        <w:t>:</w:t>
      </w:r>
      <w:r>
        <w:rPr>
          <w:lang w:val="en-US"/>
        </w:rPr>
        <w:t xml:space="preserve"> </w:t>
      </w:r>
      <w:r w:rsidR="008D4FC2">
        <w:rPr>
          <w:lang w:val="en-US"/>
        </w:rPr>
        <w:t xml:space="preserve">For </w:t>
      </w:r>
      <w:r w:rsidR="009A5367">
        <w:rPr>
          <w:lang w:val="en-US"/>
        </w:rPr>
        <w:t xml:space="preserve">Rel-18 </w:t>
      </w:r>
      <w:r w:rsidR="008D4FC2">
        <w:rPr>
          <w:lang w:val="en-US"/>
        </w:rPr>
        <w:t xml:space="preserve">NTN PUSCH DMRS bundling, additional event for </w:t>
      </w:r>
      <w:r w:rsidR="006F6800">
        <w:rPr>
          <w:rFonts w:hint="eastAsia"/>
          <w:lang w:val="en-US"/>
        </w:rPr>
        <w:t xml:space="preserve">TA </w:t>
      </w:r>
      <w:r w:rsidR="008D4FC2">
        <w:rPr>
          <w:lang w:val="en-US"/>
        </w:rPr>
        <w:t>pre-compensation timing is not necessary.</w:t>
      </w:r>
    </w:p>
    <w:p w14:paraId="7361883E" w14:textId="77777777" w:rsidR="006A1D68" w:rsidRDefault="006A1D68" w:rsidP="0002714A">
      <w:pPr>
        <w:spacing w:after="240" w:afterAutospacing="0"/>
        <w:rPr>
          <w:lang w:val="en-US"/>
        </w:rPr>
      </w:pPr>
    </w:p>
    <w:p w14:paraId="3A9B6526" w14:textId="322A7F79" w:rsidR="0002714A" w:rsidRDefault="0002714A" w:rsidP="0002714A">
      <w:pPr>
        <w:pStyle w:val="4"/>
        <w:ind w:right="480"/>
        <w:jc w:val="both"/>
        <w:rPr>
          <w:lang w:val="en-US"/>
        </w:rPr>
      </w:pPr>
      <w:r>
        <w:rPr>
          <w:lang w:val="en-US"/>
        </w:rPr>
        <w:t>New event based on antenna switching</w:t>
      </w:r>
    </w:p>
    <w:p w14:paraId="23690C71" w14:textId="6A09F673" w:rsidR="00E95089" w:rsidRPr="000E514D" w:rsidRDefault="00645C1B" w:rsidP="000E514D">
      <w:pPr>
        <w:rPr>
          <w:lang w:val="en-US"/>
        </w:rPr>
      </w:pPr>
      <w:r>
        <w:rPr>
          <w:rFonts w:hint="eastAsia"/>
          <w:lang w:val="en-US"/>
        </w:rPr>
        <w:t>I</w:t>
      </w:r>
      <w:r>
        <w:rPr>
          <w:lang w:val="en-US"/>
        </w:rPr>
        <w:t>n addition to the event for TA pre-compensation timing,</w:t>
      </w:r>
      <w:r w:rsidR="00172E27">
        <w:rPr>
          <w:lang w:val="en-US"/>
        </w:rPr>
        <w:t xml:space="preserve"> </w:t>
      </w:r>
      <w:r>
        <w:rPr>
          <w:lang w:val="en-US"/>
        </w:rPr>
        <w:t>the event for antenna switching</w:t>
      </w:r>
      <w:r w:rsidR="00172E27">
        <w:rPr>
          <w:rFonts w:hint="eastAsia"/>
          <w:lang w:val="en-US"/>
        </w:rPr>
        <w:t xml:space="preserve"> </w:t>
      </w:r>
      <w:r w:rsidR="00172E27">
        <w:rPr>
          <w:lang w:val="en-US"/>
        </w:rPr>
        <w:t>has been discussed.</w:t>
      </w:r>
    </w:p>
    <w:p w14:paraId="25C78B74" w14:textId="2DE8E3B1" w:rsidR="00EC3F36" w:rsidRPr="00EC3F36" w:rsidRDefault="00AC1A26">
      <w:pPr>
        <w:rPr>
          <w:lang w:val="en-US"/>
        </w:rPr>
      </w:pPr>
      <w:r>
        <w:rPr>
          <w:rFonts w:hint="eastAsia"/>
          <w:lang w:val="en-US"/>
        </w:rPr>
        <w:t>From</w:t>
      </w:r>
      <w:r>
        <w:rPr>
          <w:lang w:val="en-US"/>
        </w:rPr>
        <w:t xml:space="preserve"> RAN1 perspective, the specification does not restrict to prohibit antenna switching. </w:t>
      </w:r>
      <w:r w:rsidR="00EC3F36">
        <w:rPr>
          <w:lang w:val="en-US"/>
        </w:rPr>
        <w:t xml:space="preserve">According to </w:t>
      </w:r>
      <w:r w:rsidR="00AD0FE5">
        <w:rPr>
          <w:lang w:val="en-US"/>
        </w:rPr>
        <w:t xml:space="preserve">the </w:t>
      </w:r>
      <w:r w:rsidR="00130244">
        <w:rPr>
          <w:lang w:val="en-US"/>
        </w:rPr>
        <w:t>contribution [</w:t>
      </w:r>
      <w:r w:rsidR="00297DAF">
        <w:rPr>
          <w:lang w:val="en-US"/>
        </w:rPr>
        <w:t>4]</w:t>
      </w:r>
      <w:r w:rsidR="00AD0FE5">
        <w:rPr>
          <w:lang w:val="en-US"/>
        </w:rPr>
        <w:t xml:space="preserve"> </w:t>
      </w:r>
      <w:r w:rsidR="00297DAF">
        <w:rPr>
          <w:lang w:val="en-US"/>
        </w:rPr>
        <w:t>(</w:t>
      </w:r>
      <w:r w:rsidR="00EC3F36">
        <w:rPr>
          <w:lang w:val="en-US"/>
        </w:rPr>
        <w:t>R4-1910745</w:t>
      </w:r>
      <w:r w:rsidR="00297DAF">
        <w:rPr>
          <w:lang w:val="en-US"/>
        </w:rPr>
        <w:t>)</w:t>
      </w:r>
      <w:r w:rsidR="00EC3F36">
        <w:rPr>
          <w:lang w:val="en-US"/>
        </w:rPr>
        <w:t xml:space="preserve"> from Qualcomm,</w:t>
      </w:r>
      <w:r w:rsidR="00CD1054">
        <w:rPr>
          <w:rFonts w:hint="eastAsia"/>
          <w:lang w:val="en-US"/>
        </w:rPr>
        <w:t xml:space="preserve"> t</w:t>
      </w:r>
      <w:r w:rsidR="00CD1054">
        <w:rPr>
          <w:lang w:val="en-US"/>
        </w:rPr>
        <w:t xml:space="preserve">o perform antenna switching, a UE needs to satisfy the requirement for UL MIMO and Power Class 2. </w:t>
      </w:r>
      <w:r w:rsidR="00AD0FE5">
        <w:rPr>
          <w:lang w:val="en-US"/>
        </w:rPr>
        <w:t>In the contribution</w:t>
      </w:r>
      <w:r w:rsidR="00CD1054">
        <w:rPr>
          <w:lang w:val="en-US"/>
        </w:rPr>
        <w:t>, t</w:t>
      </w:r>
      <w:r w:rsidR="00EC3F36">
        <w:rPr>
          <w:lang w:val="en-US"/>
        </w:rPr>
        <w:t xml:space="preserve">hey propose to define separate requirement for </w:t>
      </w:r>
      <w:proofErr w:type="spellStart"/>
      <w:r w:rsidR="00EC3F36">
        <w:rPr>
          <w:lang w:val="en-US"/>
        </w:rPr>
        <w:t>TxD</w:t>
      </w:r>
      <w:proofErr w:type="spellEnd"/>
      <w:r w:rsidR="00EC3F36">
        <w:rPr>
          <w:lang w:val="en-US"/>
        </w:rPr>
        <w:t xml:space="preserve"> but it</w:t>
      </w:r>
      <w:r w:rsidR="00AD2459">
        <w:rPr>
          <w:lang w:val="en-US"/>
        </w:rPr>
        <w:t xml:space="preserve"> was</w:t>
      </w:r>
      <w:r w:rsidR="00EC3F36">
        <w:rPr>
          <w:lang w:val="en-US"/>
        </w:rPr>
        <w:t xml:space="preserve"> rejected in RAN4. Therefore, the UE which performs antenna switching is still required to support both PC2 and UL MIMO in Rel-17.</w:t>
      </w:r>
    </w:p>
    <w:p w14:paraId="57EA2B23" w14:textId="104FD92F" w:rsidR="0021010B" w:rsidRPr="0021010B" w:rsidRDefault="0021010B">
      <w:pPr>
        <w:rPr>
          <w:lang w:val="en-US"/>
        </w:rPr>
      </w:pPr>
      <w:r w:rsidRPr="000237E0">
        <w:rPr>
          <w:b/>
          <w:u w:val="single"/>
          <w:lang w:val="en-US"/>
        </w:rPr>
        <w:t>Observation</w:t>
      </w:r>
      <w:r w:rsidR="000920F4">
        <w:rPr>
          <w:b/>
          <w:u w:val="single"/>
          <w:lang w:val="en-US"/>
        </w:rPr>
        <w:t xml:space="preserve"> 6</w:t>
      </w:r>
      <w:r w:rsidRPr="000237E0">
        <w:rPr>
          <w:b/>
          <w:u w:val="single"/>
          <w:lang w:val="en-US"/>
        </w:rPr>
        <w:t>:</w:t>
      </w:r>
      <w:r>
        <w:rPr>
          <w:lang w:val="en-US"/>
        </w:rPr>
        <w:t xml:space="preserve"> </w:t>
      </w:r>
      <w:r w:rsidR="006122C4">
        <w:rPr>
          <w:lang w:val="en-US"/>
        </w:rPr>
        <w:t>According to the past RAN4 discussion</w:t>
      </w:r>
      <w:r>
        <w:rPr>
          <w:lang w:val="en-US"/>
        </w:rPr>
        <w:t xml:space="preserve">, </w:t>
      </w:r>
      <w:r w:rsidR="006122C4">
        <w:rPr>
          <w:lang w:val="en-US"/>
        </w:rPr>
        <w:t>transparent antenna switching</w:t>
      </w:r>
      <w:r w:rsidR="000920F4">
        <w:rPr>
          <w:lang w:val="en-US"/>
        </w:rPr>
        <w:t xml:space="preserve"> </w:t>
      </w:r>
      <w:r w:rsidR="006122C4">
        <w:rPr>
          <w:lang w:val="en-US"/>
        </w:rPr>
        <w:t>requires a UE</w:t>
      </w:r>
      <w:r w:rsidR="000920F4">
        <w:rPr>
          <w:lang w:val="en-US"/>
        </w:rPr>
        <w:t xml:space="preserve"> to support implementation </w:t>
      </w:r>
      <w:r w:rsidR="002E0C3D">
        <w:rPr>
          <w:lang w:val="en-US"/>
        </w:rPr>
        <w:t>for</w:t>
      </w:r>
      <w:r w:rsidR="000920F4">
        <w:rPr>
          <w:lang w:val="en-US"/>
        </w:rPr>
        <w:t xml:space="preserve"> Power Class 2 and UL MIMO.</w:t>
      </w:r>
    </w:p>
    <w:p w14:paraId="52E172C7" w14:textId="1802A60F" w:rsidR="001268B9" w:rsidRDefault="00A97F54" w:rsidP="001268B9">
      <w:pPr>
        <w:rPr>
          <w:lang w:val="en-US"/>
        </w:rPr>
      </w:pPr>
      <w:r>
        <w:rPr>
          <w:lang w:val="en-US"/>
        </w:rPr>
        <w:t xml:space="preserve">In </w:t>
      </w:r>
      <w:r>
        <w:rPr>
          <w:rFonts w:hint="eastAsia"/>
          <w:lang w:val="en-US"/>
        </w:rPr>
        <w:t>R</w:t>
      </w:r>
      <w:r>
        <w:rPr>
          <w:lang w:val="en-US"/>
        </w:rPr>
        <w:t xml:space="preserve">el-18, since there is no discussion to introduce the separate requirement for </w:t>
      </w:r>
      <w:proofErr w:type="spellStart"/>
      <w:r>
        <w:rPr>
          <w:lang w:val="en-US"/>
        </w:rPr>
        <w:t>TxD</w:t>
      </w:r>
      <w:proofErr w:type="spellEnd"/>
      <w:r>
        <w:rPr>
          <w:lang w:val="en-US"/>
        </w:rPr>
        <w:t xml:space="preserve"> in RAN4, the implementation for PC2 and UL MIMO is still required</w:t>
      </w:r>
      <w:r w:rsidR="001268B9">
        <w:rPr>
          <w:lang w:val="en-US"/>
        </w:rPr>
        <w:t xml:space="preserve"> to perform antenna switching in NTN DMRS bundling</w:t>
      </w:r>
      <w:r>
        <w:rPr>
          <w:lang w:val="en-US"/>
        </w:rPr>
        <w:t>.</w:t>
      </w:r>
      <w:r w:rsidR="001268B9">
        <w:rPr>
          <w:lang w:val="en-US"/>
        </w:rPr>
        <w:t xml:space="preserve"> Therefore, for NTN PUSCH DMRS bundling, antenna switching should not be specified in RAN1</w:t>
      </w:r>
      <w:r w:rsidR="00DB4045">
        <w:rPr>
          <w:lang w:val="en-US"/>
        </w:rPr>
        <w:t xml:space="preserve"> and the new event based on antenna switching is not needed.</w:t>
      </w:r>
    </w:p>
    <w:p w14:paraId="024D2650" w14:textId="06B9C9BA" w:rsidR="00C666E9" w:rsidRDefault="00C666E9">
      <w:pPr>
        <w:rPr>
          <w:lang w:val="en-US"/>
        </w:rPr>
      </w:pPr>
      <w:r w:rsidRPr="00BB7326">
        <w:rPr>
          <w:b/>
          <w:u w:val="single"/>
          <w:lang w:val="en-US"/>
        </w:rPr>
        <w:lastRenderedPageBreak/>
        <w:t>Observation</w:t>
      </w:r>
      <w:r w:rsidR="000920F4">
        <w:rPr>
          <w:b/>
          <w:u w:val="single"/>
          <w:lang w:val="en-US"/>
        </w:rPr>
        <w:t xml:space="preserve"> 7</w:t>
      </w:r>
      <w:r w:rsidRPr="00BB7326">
        <w:rPr>
          <w:b/>
          <w:u w:val="single"/>
          <w:lang w:val="en-US"/>
        </w:rPr>
        <w:t>:</w:t>
      </w:r>
      <w:r>
        <w:rPr>
          <w:lang w:val="en-US"/>
        </w:rPr>
        <w:t xml:space="preserve"> </w:t>
      </w:r>
      <w:r w:rsidR="000920F4">
        <w:rPr>
          <w:lang w:val="en-US"/>
        </w:rPr>
        <w:t xml:space="preserve">RAN4 </w:t>
      </w:r>
      <w:r w:rsidR="0010248B">
        <w:rPr>
          <w:rFonts w:hint="eastAsia"/>
          <w:lang w:val="en-US"/>
        </w:rPr>
        <w:t>h</w:t>
      </w:r>
      <w:r w:rsidR="0010248B">
        <w:rPr>
          <w:lang w:val="en-US"/>
        </w:rPr>
        <w:t xml:space="preserve">as </w:t>
      </w:r>
      <w:r w:rsidR="000920F4">
        <w:rPr>
          <w:lang w:val="en-US"/>
        </w:rPr>
        <w:t>not discuss</w:t>
      </w:r>
      <w:r w:rsidR="0010248B">
        <w:rPr>
          <w:lang w:val="en-US"/>
        </w:rPr>
        <w:t>ed</w:t>
      </w:r>
      <w:r w:rsidR="000920F4">
        <w:rPr>
          <w:lang w:val="en-US"/>
        </w:rPr>
        <w:t xml:space="preserve"> to support the separate requirement for </w:t>
      </w:r>
      <w:proofErr w:type="spellStart"/>
      <w:r w:rsidR="000920F4">
        <w:rPr>
          <w:lang w:val="en-US"/>
        </w:rPr>
        <w:t>TxD</w:t>
      </w:r>
      <w:proofErr w:type="spellEnd"/>
      <w:r w:rsidR="008E4D74">
        <w:rPr>
          <w:lang w:val="en-US"/>
        </w:rPr>
        <w:t xml:space="preserve"> in Rel-18</w:t>
      </w:r>
      <w:r w:rsidR="000920F4">
        <w:rPr>
          <w:lang w:val="en-US"/>
        </w:rPr>
        <w:t>.</w:t>
      </w:r>
    </w:p>
    <w:p w14:paraId="255AA8F0" w14:textId="14AE926B" w:rsidR="006C1124" w:rsidRDefault="001778F3">
      <w:pPr>
        <w:rPr>
          <w:lang w:val="en-US"/>
        </w:rPr>
      </w:pPr>
      <w:r w:rsidRPr="00E66A45">
        <w:rPr>
          <w:b/>
          <w:u w:val="single"/>
          <w:lang w:val="en-US"/>
        </w:rPr>
        <w:t>Proposal</w:t>
      </w:r>
      <w:r>
        <w:rPr>
          <w:b/>
          <w:u w:val="single"/>
          <w:lang w:val="en-US"/>
        </w:rPr>
        <w:t xml:space="preserve"> </w:t>
      </w:r>
      <w:r w:rsidR="000920F4">
        <w:rPr>
          <w:b/>
          <w:u w:val="single"/>
          <w:lang w:val="en-US"/>
        </w:rPr>
        <w:t>3</w:t>
      </w:r>
      <w:r w:rsidRPr="00E66A45">
        <w:rPr>
          <w:b/>
          <w:u w:val="single"/>
          <w:lang w:val="en-US"/>
        </w:rPr>
        <w:t>:</w:t>
      </w:r>
      <w:r w:rsidRPr="00BB7326">
        <w:rPr>
          <w:lang w:val="en-US"/>
        </w:rPr>
        <w:t xml:space="preserve"> </w:t>
      </w:r>
      <w:r w:rsidR="00C16ECB">
        <w:rPr>
          <w:lang w:val="en-US"/>
        </w:rPr>
        <w:t xml:space="preserve">For NTN PUSCH DMRS bundling, </w:t>
      </w:r>
      <w:r w:rsidR="000920F4">
        <w:rPr>
          <w:lang w:val="en-US"/>
        </w:rPr>
        <w:t>antenna switching is not specified in RAN1.</w:t>
      </w:r>
    </w:p>
    <w:p w14:paraId="519C0F1B" w14:textId="485AF2D4" w:rsidR="000920F4" w:rsidRPr="0010248B" w:rsidRDefault="000920F4" w:rsidP="00BB7326">
      <w:pPr>
        <w:rPr>
          <w:lang w:val="en-US"/>
        </w:rPr>
      </w:pPr>
      <w:r w:rsidRPr="00E66A45">
        <w:rPr>
          <w:b/>
          <w:u w:val="single"/>
          <w:lang w:val="en-US"/>
        </w:rPr>
        <w:t>Proposal</w:t>
      </w:r>
      <w:r>
        <w:rPr>
          <w:b/>
          <w:u w:val="single"/>
          <w:lang w:val="en-US"/>
        </w:rPr>
        <w:t xml:space="preserve"> 4</w:t>
      </w:r>
      <w:r w:rsidRPr="00E66A45">
        <w:rPr>
          <w:b/>
          <w:u w:val="single"/>
          <w:lang w:val="en-US"/>
        </w:rPr>
        <w:t>:</w:t>
      </w:r>
      <w:r w:rsidRPr="000237E0">
        <w:rPr>
          <w:lang w:val="en-US"/>
        </w:rPr>
        <w:t xml:space="preserve"> </w:t>
      </w:r>
      <w:r>
        <w:rPr>
          <w:lang w:val="en-US"/>
        </w:rPr>
        <w:t>For NTN PUSCH DMRS bundling, the new event based on antenna switching is not needed.</w:t>
      </w:r>
    </w:p>
    <w:p w14:paraId="7684323A" w14:textId="39C0F4CF" w:rsidR="0002714A" w:rsidRDefault="0002714A" w:rsidP="0002714A">
      <w:pPr>
        <w:pStyle w:val="30"/>
        <w:rPr>
          <w:lang w:val="en-US"/>
        </w:rPr>
      </w:pPr>
      <w:r>
        <w:rPr>
          <w:lang w:val="en-US"/>
        </w:rPr>
        <w:t>Capability report and assistance information for nominal TDW determination</w:t>
      </w:r>
    </w:p>
    <w:p w14:paraId="710B2F74" w14:textId="037DE852" w:rsidR="0002714A" w:rsidRPr="0002714A" w:rsidRDefault="0002714A" w:rsidP="0002714A">
      <w:pPr>
        <w:rPr>
          <w:lang w:val="en-US"/>
        </w:rPr>
      </w:pPr>
      <w:r>
        <w:rPr>
          <w:rFonts w:hint="eastAsia"/>
          <w:lang w:val="en-US"/>
        </w:rPr>
        <w:t>I</w:t>
      </w:r>
      <w:r>
        <w:rPr>
          <w:lang w:val="en-US"/>
        </w:rPr>
        <w:t xml:space="preserve">n the last </w:t>
      </w:r>
      <w:r w:rsidR="00AD2459">
        <w:rPr>
          <w:lang w:val="en-US"/>
        </w:rPr>
        <w:t xml:space="preserve">RAN1 </w:t>
      </w:r>
      <w:r>
        <w:rPr>
          <w:lang w:val="en-US"/>
        </w:rPr>
        <w:t>meeting, the following working assumption and agreement</w:t>
      </w:r>
      <w:r w:rsidR="00037228">
        <w:rPr>
          <w:lang w:val="en-US"/>
        </w:rPr>
        <w:t xml:space="preserve">s </w:t>
      </w:r>
      <w:r w:rsidR="004E3CD9">
        <w:rPr>
          <w:lang w:val="en-US"/>
        </w:rPr>
        <w:t>regarding</w:t>
      </w:r>
      <w:r>
        <w:rPr>
          <w:lang w:val="en-US"/>
        </w:rPr>
        <w:t xml:space="preserve"> capability report and assistance information for nominal TDW determination</w:t>
      </w:r>
      <w:r w:rsidR="004E3CD9">
        <w:rPr>
          <w:lang w:val="en-US"/>
        </w:rPr>
        <w:t xml:space="preserve"> were agreed</w:t>
      </w:r>
      <w:r>
        <w:rPr>
          <w:lang w:val="en-US"/>
        </w:rPr>
        <w:t>.</w:t>
      </w:r>
    </w:p>
    <w:tbl>
      <w:tblPr>
        <w:tblStyle w:val="af2"/>
        <w:tblW w:w="0" w:type="auto"/>
        <w:tblLook w:val="04A0" w:firstRow="1" w:lastRow="0" w:firstColumn="1" w:lastColumn="0" w:noHBand="0" w:noVBand="1"/>
      </w:tblPr>
      <w:tblGrid>
        <w:gridCol w:w="9954"/>
      </w:tblGrid>
      <w:tr w:rsidR="0002714A" w14:paraId="0A8EB217" w14:textId="77777777" w:rsidTr="0002714A">
        <w:tc>
          <w:tcPr>
            <w:tcW w:w="9954" w:type="dxa"/>
          </w:tcPr>
          <w:p w14:paraId="4DE98B28" w14:textId="77777777" w:rsidR="0002714A" w:rsidRPr="00497DB1" w:rsidRDefault="0002714A" w:rsidP="0002714A">
            <w:pPr>
              <w:rPr>
                <w:b/>
                <w:sz w:val="22"/>
                <w:szCs w:val="14"/>
                <w:lang w:eastAsia="zh-CN"/>
              </w:rPr>
            </w:pPr>
            <w:r w:rsidRPr="0004459C">
              <w:rPr>
                <w:b/>
                <w:sz w:val="22"/>
                <w:szCs w:val="14"/>
                <w:highlight w:val="darkYellow"/>
                <w:lang w:eastAsia="zh-CN"/>
              </w:rPr>
              <w:t>Working assumption</w:t>
            </w:r>
          </w:p>
          <w:p w14:paraId="138C5A98" w14:textId="77777777" w:rsidR="0002714A" w:rsidRPr="00497DB1" w:rsidRDefault="0002714A" w:rsidP="0002714A">
            <w:pPr>
              <w:rPr>
                <w:sz w:val="22"/>
                <w:szCs w:val="18"/>
                <w:lang w:val="en-US"/>
              </w:rPr>
            </w:pPr>
            <w:r w:rsidRPr="00497DB1">
              <w:rPr>
                <w:sz w:val="22"/>
                <w:szCs w:val="18"/>
                <w:lang w:val="en-US"/>
              </w:rPr>
              <w:t xml:space="preserve">For NTN-specific PUSCH DMRS bundling, </w:t>
            </w:r>
            <w:r>
              <w:rPr>
                <w:sz w:val="22"/>
                <w:szCs w:val="18"/>
                <w:lang w:val="en-US"/>
              </w:rPr>
              <w:t xml:space="preserve">reuse </w:t>
            </w:r>
            <w:r w:rsidRPr="00497DB1">
              <w:rPr>
                <w:sz w:val="22"/>
                <w:szCs w:val="18"/>
                <w:lang w:val="en-US"/>
              </w:rPr>
              <w:t xml:space="preserve">clause 6.1.7 in TS38.214 for </w:t>
            </w:r>
            <w:r w:rsidRPr="00497DB1">
              <w:rPr>
                <w:rFonts w:eastAsia="DengXian"/>
                <w:sz w:val="22"/>
                <w:szCs w:val="16"/>
                <w:lang w:val="en-US"/>
              </w:rPr>
              <w:t>nominal TDW determination, except for aspects related to UE capabilities</w:t>
            </w:r>
            <w:r>
              <w:rPr>
                <w:rFonts w:eastAsia="DengXian"/>
                <w:sz w:val="22"/>
                <w:szCs w:val="16"/>
                <w:lang w:val="en-US"/>
              </w:rPr>
              <w:t xml:space="preserve"> and assistance information (if needed)</w:t>
            </w:r>
            <w:r w:rsidRPr="00497DB1">
              <w:rPr>
                <w:sz w:val="22"/>
                <w:szCs w:val="18"/>
                <w:lang w:val="en-US"/>
              </w:rPr>
              <w:t>.</w:t>
            </w:r>
          </w:p>
          <w:p w14:paraId="0A7C43A0" w14:textId="77777777" w:rsidR="0002714A" w:rsidRPr="00497DB1" w:rsidRDefault="0002714A" w:rsidP="000E514D">
            <w:pPr>
              <w:numPr>
                <w:ilvl w:val="0"/>
                <w:numId w:val="14"/>
              </w:numPr>
              <w:spacing w:after="0" w:afterAutospacing="0"/>
              <w:ind w:left="720"/>
              <w:jc w:val="left"/>
              <w:rPr>
                <w:sz w:val="22"/>
                <w:szCs w:val="16"/>
                <w:lang w:val="en-US"/>
              </w:rPr>
            </w:pPr>
            <w:r w:rsidRPr="00497DB1">
              <w:rPr>
                <w:rFonts w:eastAsia="DengXian" w:hint="eastAsia"/>
                <w:sz w:val="22"/>
                <w:szCs w:val="16"/>
                <w:lang w:val="en-US"/>
              </w:rPr>
              <w:t>i</w:t>
            </w:r>
            <w:r w:rsidRPr="00497DB1">
              <w:rPr>
                <w:rFonts w:eastAsia="DengXian"/>
                <w:sz w:val="22"/>
                <w:szCs w:val="16"/>
                <w:lang w:val="en-US"/>
              </w:rPr>
              <w:t>.e., if PUSCH-</w:t>
            </w:r>
            <w:proofErr w:type="spellStart"/>
            <w:r w:rsidRPr="00497DB1">
              <w:rPr>
                <w:rFonts w:eastAsia="DengXian"/>
                <w:sz w:val="22"/>
                <w:szCs w:val="16"/>
                <w:lang w:val="en-US"/>
              </w:rPr>
              <w:t>TimeDomainWindowLength</w:t>
            </w:r>
            <w:proofErr w:type="spellEnd"/>
            <w:r w:rsidRPr="00497DB1">
              <w:rPr>
                <w:rFonts w:eastAsia="DengXian"/>
                <w:sz w:val="22"/>
                <w:szCs w:val="16"/>
                <w:lang w:val="en-US"/>
              </w:rPr>
              <w:t xml:space="preserve"> is configured, nominal TDW is determined by PUSCH-</w:t>
            </w:r>
            <w:proofErr w:type="spellStart"/>
            <w:r w:rsidRPr="00497DB1">
              <w:rPr>
                <w:rFonts w:eastAsia="DengXian"/>
                <w:sz w:val="22"/>
                <w:szCs w:val="16"/>
                <w:lang w:val="en-US"/>
              </w:rPr>
              <w:t>TimeDomainWindowLength</w:t>
            </w:r>
            <w:proofErr w:type="spellEnd"/>
            <w:r w:rsidRPr="00497DB1">
              <w:rPr>
                <w:rFonts w:eastAsia="DengXian" w:hint="eastAsia"/>
                <w:sz w:val="22"/>
                <w:szCs w:val="16"/>
                <w:lang w:val="en-US"/>
              </w:rPr>
              <w:t>;</w:t>
            </w:r>
            <w:r w:rsidRPr="00497DB1">
              <w:rPr>
                <w:rFonts w:eastAsia="DengXian"/>
                <w:sz w:val="22"/>
                <w:szCs w:val="16"/>
                <w:lang w:val="en-US"/>
              </w:rPr>
              <w:t xml:space="preserve"> otherwise, nominal TDW is determined based on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w:t>
            </w:r>
          </w:p>
          <w:p w14:paraId="5C3B12C3" w14:textId="77777777" w:rsidR="0002714A" w:rsidRPr="00497DB1" w:rsidRDefault="0002714A" w:rsidP="000E514D">
            <w:pPr>
              <w:numPr>
                <w:ilvl w:val="0"/>
                <w:numId w:val="14"/>
              </w:numPr>
              <w:spacing w:after="0" w:afterAutospacing="0"/>
              <w:ind w:left="720"/>
              <w:jc w:val="left"/>
              <w:rPr>
                <w:sz w:val="22"/>
                <w:szCs w:val="16"/>
                <w:lang w:val="en-US"/>
              </w:rPr>
            </w:pPr>
            <w:r w:rsidRPr="00497DB1">
              <w:rPr>
                <w:rFonts w:eastAsia="DengXian" w:hint="eastAsia"/>
                <w:sz w:val="22"/>
                <w:szCs w:val="16"/>
                <w:lang w:val="en-US"/>
              </w:rPr>
              <w:t>F</w:t>
            </w:r>
            <w:r w:rsidRPr="00497DB1">
              <w:rPr>
                <w:rFonts w:eastAsia="DengXian"/>
                <w:sz w:val="22"/>
                <w:szCs w:val="16"/>
                <w:lang w:val="en-US"/>
              </w:rPr>
              <w:t>FS: which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 is(are) used</w:t>
            </w:r>
          </w:p>
          <w:p w14:paraId="614BA12C" w14:textId="77777777" w:rsidR="0002714A" w:rsidRPr="00FF78BC" w:rsidRDefault="0002714A" w:rsidP="000E514D">
            <w:pPr>
              <w:numPr>
                <w:ilvl w:val="0"/>
                <w:numId w:val="14"/>
              </w:numPr>
              <w:spacing w:after="0" w:afterAutospacing="0"/>
              <w:ind w:left="720"/>
              <w:jc w:val="left"/>
              <w:rPr>
                <w:sz w:val="22"/>
                <w:szCs w:val="16"/>
                <w:lang w:val="en-US"/>
              </w:rPr>
            </w:pPr>
            <w:r w:rsidRPr="00497DB1">
              <w:rPr>
                <w:rFonts w:eastAsia="DengXian" w:hint="eastAsia"/>
                <w:sz w:val="22"/>
                <w:szCs w:val="16"/>
                <w:lang w:val="en-US"/>
              </w:rPr>
              <w:t>F</w:t>
            </w:r>
            <w:r w:rsidRPr="00497DB1">
              <w:rPr>
                <w:rFonts w:eastAsia="DengXian"/>
                <w:sz w:val="22"/>
                <w:szCs w:val="16"/>
                <w:lang w:val="en-US"/>
              </w:rPr>
              <w:t>FS: whether/how to use UE assistance information, if supported</w:t>
            </w:r>
          </w:p>
          <w:p w14:paraId="1485E4E9" w14:textId="77777777" w:rsidR="0002714A" w:rsidRDefault="0002714A" w:rsidP="0002714A">
            <w:pPr>
              <w:rPr>
                <w:b/>
                <w:szCs w:val="14"/>
                <w:lang w:eastAsia="zh-CN"/>
              </w:rPr>
            </w:pPr>
            <w:r w:rsidRPr="002B48F3">
              <w:rPr>
                <w:b/>
                <w:szCs w:val="14"/>
                <w:highlight w:val="green"/>
                <w:lang w:eastAsia="zh-CN"/>
              </w:rPr>
              <w:t>Agreement</w:t>
            </w:r>
          </w:p>
          <w:p w14:paraId="6FAB6C46" w14:textId="77777777" w:rsidR="0002714A" w:rsidRPr="00EB42BF" w:rsidRDefault="0002714A" w:rsidP="0002714A">
            <w:pPr>
              <w:rPr>
                <w:rFonts w:eastAsia="DengXian"/>
                <w:szCs w:val="16"/>
                <w:lang w:val="en-US"/>
              </w:rPr>
            </w:pPr>
            <w:r>
              <w:rPr>
                <w:szCs w:val="18"/>
                <w:lang w:val="en-US"/>
              </w:rPr>
              <w:t>For NTN-specific PUSCH DMRS bu</w:t>
            </w:r>
            <w:r w:rsidRPr="00FF1CE5">
              <w:rPr>
                <w:szCs w:val="18"/>
                <w:lang w:val="en-US"/>
              </w:rPr>
              <w:t xml:space="preserve">ndling, </w:t>
            </w:r>
          </w:p>
          <w:p w14:paraId="1E65AB06" w14:textId="77777777" w:rsidR="0002714A" w:rsidRPr="00FF1CE5" w:rsidRDefault="0002714A" w:rsidP="000E514D">
            <w:pPr>
              <w:numPr>
                <w:ilvl w:val="0"/>
                <w:numId w:val="14"/>
              </w:numPr>
              <w:spacing w:after="0" w:afterAutospacing="0"/>
              <w:ind w:left="720"/>
              <w:jc w:val="left"/>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capability report (in addition to FG 44-2), </w:t>
            </w:r>
            <w:r w:rsidRPr="00FF1CE5">
              <w:rPr>
                <w:szCs w:val="18"/>
                <w:lang w:val="en-US"/>
              </w:rPr>
              <w:t>one or more of the following is down-selected.</w:t>
            </w:r>
          </w:p>
          <w:p w14:paraId="3D5EC6BE" w14:textId="77777777" w:rsidR="0002714A" w:rsidRPr="00FF1CE5"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1a: No new capability except for FG44-2</w:t>
            </w:r>
          </w:p>
          <w:p w14:paraId="77FB3E63" w14:textId="77777777" w:rsidR="0002714A" w:rsidRPr="00BB7660" w:rsidRDefault="0002714A" w:rsidP="000E514D">
            <w:pPr>
              <w:numPr>
                <w:ilvl w:val="2"/>
                <w:numId w:val="14"/>
              </w:numPr>
              <w:spacing w:after="0" w:afterAutospacing="0"/>
              <w:jc w:val="left"/>
              <w:rPr>
                <w:szCs w:val="16"/>
                <w:lang w:val="en-US"/>
              </w:rPr>
            </w:pPr>
            <w:r w:rsidRPr="00EB42BF">
              <w:rPr>
                <w:rFonts w:eastAsia="DengXian" w:hint="eastAsia"/>
                <w:szCs w:val="16"/>
                <w:lang w:val="en-US"/>
              </w:rPr>
              <w:t>N</w:t>
            </w:r>
            <w:r w:rsidRPr="00EB42BF">
              <w:rPr>
                <w:rFonts w:eastAsia="DengXian"/>
                <w:szCs w:val="16"/>
                <w:lang w:val="en-US"/>
              </w:rPr>
              <w:t>ote: FG 30-4 is reported [in consideration of pre-compensation to keep phase rotation due to timing drift within the phase difference limit and without taking TA pre-compensation update into account]</w:t>
            </w:r>
          </w:p>
          <w:p w14:paraId="7C955439" w14:textId="77777777" w:rsidR="0002714A" w:rsidRPr="00FF1CE5"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1b: Max TDW size when pre-compensation to keep phase rotation due to timing drift within the phase difference limit is performed and without taking TA pre-compensation update into account</w:t>
            </w:r>
          </w:p>
          <w:p w14:paraId="07CCFD15" w14:textId="77777777" w:rsidR="0002714A" w:rsidRPr="00FF1CE5" w:rsidRDefault="0002714A" w:rsidP="000E514D">
            <w:pPr>
              <w:numPr>
                <w:ilvl w:val="2"/>
                <w:numId w:val="14"/>
              </w:numPr>
              <w:spacing w:after="0" w:afterAutospacing="0"/>
              <w:jc w:val="left"/>
              <w:rPr>
                <w:szCs w:val="16"/>
                <w:lang w:val="en-US"/>
              </w:rPr>
            </w:pPr>
            <w:r w:rsidRPr="00EB42BF">
              <w:rPr>
                <w:rFonts w:eastAsia="DengXian" w:hint="eastAsia"/>
                <w:szCs w:val="16"/>
                <w:lang w:val="en-US"/>
              </w:rPr>
              <w:t>N</w:t>
            </w:r>
            <w:r w:rsidRPr="00EB42BF">
              <w:rPr>
                <w:rFonts w:eastAsia="DengXian"/>
                <w:szCs w:val="16"/>
                <w:lang w:val="en-US"/>
              </w:rPr>
              <w:t>ote: FG 30-4 is not reported for NTN band</w:t>
            </w:r>
          </w:p>
          <w:p w14:paraId="5E15B12B" w14:textId="77777777" w:rsidR="0002714A" w:rsidRPr="00FF1CE5"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1c: Support of antenna switching with DMRS bundling in NTN</w:t>
            </w:r>
          </w:p>
          <w:p w14:paraId="013AB4B6" w14:textId="77777777" w:rsidR="0002714A" w:rsidRPr="00FF1CE5"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1d: Max TDW size per NTN platform (e.g., LEO, MEO, GEO) with taking TA pre-compensation update into account</w:t>
            </w:r>
          </w:p>
          <w:p w14:paraId="443367C9" w14:textId="77777777" w:rsidR="0002714A" w:rsidRPr="00FF1CE5" w:rsidRDefault="0002714A" w:rsidP="000E514D">
            <w:pPr>
              <w:numPr>
                <w:ilvl w:val="2"/>
                <w:numId w:val="14"/>
              </w:numPr>
              <w:spacing w:after="0" w:afterAutospacing="0"/>
              <w:jc w:val="left"/>
              <w:rPr>
                <w:szCs w:val="16"/>
                <w:lang w:val="en-US"/>
              </w:rPr>
            </w:pPr>
            <w:r w:rsidRPr="00EB42BF">
              <w:rPr>
                <w:rFonts w:eastAsia="DengXian" w:hint="eastAsia"/>
                <w:szCs w:val="16"/>
                <w:lang w:val="en-US"/>
              </w:rPr>
              <w:t>F</w:t>
            </w:r>
            <w:r w:rsidRPr="00EB42BF">
              <w:rPr>
                <w:rFonts w:eastAsia="DengXian"/>
                <w:szCs w:val="16"/>
                <w:lang w:val="en-US"/>
              </w:rPr>
              <w:t>FS details</w:t>
            </w:r>
          </w:p>
          <w:p w14:paraId="0321504F" w14:textId="77777777" w:rsidR="0002714A" w:rsidRPr="00FF1CE5" w:rsidRDefault="0002714A" w:rsidP="000E514D">
            <w:pPr>
              <w:numPr>
                <w:ilvl w:val="1"/>
                <w:numId w:val="14"/>
              </w:numPr>
              <w:spacing w:after="0" w:afterAutospacing="0"/>
              <w:jc w:val="left"/>
              <w:rPr>
                <w:szCs w:val="16"/>
                <w:lang w:val="en-US"/>
              </w:rPr>
            </w:pPr>
            <w:r w:rsidRPr="00EB42BF">
              <w:rPr>
                <w:rFonts w:eastAsia="DengXian"/>
                <w:szCs w:val="16"/>
                <w:lang w:val="en-US"/>
              </w:rPr>
              <w:t>Option 1e: Max TDW size per elevation angle with taking TA pre-compensation update into account</w:t>
            </w:r>
          </w:p>
          <w:p w14:paraId="30128DD0" w14:textId="77777777" w:rsidR="0002714A" w:rsidRPr="00FF1CE5"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1f: Whether to support actual TDW across pre-compensation segments</w:t>
            </w:r>
          </w:p>
          <w:p w14:paraId="52D7375C" w14:textId="77777777" w:rsidR="0002714A" w:rsidRPr="00FF1CE5" w:rsidRDefault="0002714A" w:rsidP="000E514D">
            <w:pPr>
              <w:numPr>
                <w:ilvl w:val="2"/>
                <w:numId w:val="14"/>
              </w:numPr>
              <w:spacing w:after="0" w:afterAutospacing="0"/>
              <w:jc w:val="left"/>
              <w:rPr>
                <w:szCs w:val="16"/>
                <w:lang w:val="en-US"/>
              </w:rPr>
            </w:pPr>
            <w:r w:rsidRPr="00EB42BF">
              <w:rPr>
                <w:rFonts w:eastAsia="DengXian"/>
                <w:szCs w:val="16"/>
                <w:lang w:val="en-US"/>
              </w:rPr>
              <w:t>Segments defined in R17 IoT-NTN is baseline, FFS details</w:t>
            </w:r>
          </w:p>
          <w:p w14:paraId="2573AA40" w14:textId="77777777" w:rsidR="0002714A" w:rsidRPr="00FF1CE5"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1g: Whether to support TA pre-compensation update within an actual TDW that does not violate the phase difference limit</w:t>
            </w:r>
          </w:p>
          <w:p w14:paraId="61572D51" w14:textId="77777777" w:rsidR="0002714A" w:rsidRPr="00FF1CE5" w:rsidRDefault="0002714A" w:rsidP="000E514D">
            <w:pPr>
              <w:numPr>
                <w:ilvl w:val="0"/>
                <w:numId w:val="14"/>
              </w:numPr>
              <w:spacing w:after="0" w:afterAutospacing="0"/>
              <w:ind w:left="720"/>
              <w:jc w:val="left"/>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assistance information (i.e., report by signaling other than UE capability report (FFS details)), </w:t>
            </w:r>
            <w:r w:rsidRPr="00FF1CE5">
              <w:rPr>
                <w:szCs w:val="18"/>
                <w:lang w:val="en-US"/>
              </w:rPr>
              <w:t>one or more of the following is down-selected.</w:t>
            </w:r>
          </w:p>
          <w:p w14:paraId="687274FC" w14:textId="77777777" w:rsidR="0002714A" w:rsidRPr="00FF1CE5"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2a: No assistance information</w:t>
            </w:r>
          </w:p>
          <w:p w14:paraId="09FECB5B" w14:textId="77777777" w:rsidR="0002714A" w:rsidRPr="00FF1CE5" w:rsidRDefault="0002714A" w:rsidP="000E514D">
            <w:pPr>
              <w:numPr>
                <w:ilvl w:val="1"/>
                <w:numId w:val="14"/>
              </w:numPr>
              <w:spacing w:after="0" w:afterAutospacing="0"/>
              <w:jc w:val="left"/>
              <w:rPr>
                <w:szCs w:val="16"/>
                <w:lang w:val="en-US"/>
              </w:rPr>
            </w:pPr>
            <w:r w:rsidRPr="00EB42BF">
              <w:rPr>
                <w:rFonts w:eastAsia="DengXian" w:hint="eastAsia"/>
                <w:szCs w:val="16"/>
                <w:lang w:val="en-US"/>
              </w:rPr>
              <w:lastRenderedPageBreak/>
              <w:t>O</w:t>
            </w:r>
            <w:r w:rsidRPr="00EB42BF">
              <w:rPr>
                <w:rFonts w:eastAsia="DengXian"/>
                <w:szCs w:val="16"/>
                <w:lang w:val="en-US"/>
              </w:rPr>
              <w:t xml:space="preserve">ption 2b: </w:t>
            </w:r>
            <w:bookmarkStart w:id="5" w:name="_Hlk140761575"/>
            <w:r w:rsidRPr="00EB42BF">
              <w:rPr>
                <w:rFonts w:eastAsia="DengXian"/>
                <w:szCs w:val="16"/>
                <w:lang w:val="en-US"/>
              </w:rPr>
              <w:t>Max TDW size based on reporting timing</w:t>
            </w:r>
            <w:bookmarkEnd w:id="5"/>
          </w:p>
          <w:p w14:paraId="0ECC1371" w14:textId="77777777" w:rsidR="0002714A" w:rsidRPr="00FF1CE5" w:rsidRDefault="0002714A" w:rsidP="000E514D">
            <w:pPr>
              <w:numPr>
                <w:ilvl w:val="2"/>
                <w:numId w:val="14"/>
              </w:numPr>
              <w:spacing w:after="0" w:afterAutospacing="0"/>
              <w:jc w:val="left"/>
              <w:rPr>
                <w:szCs w:val="16"/>
                <w:lang w:val="en-US"/>
              </w:rPr>
            </w:pPr>
            <w:r w:rsidRPr="00EB42BF">
              <w:rPr>
                <w:rFonts w:eastAsia="DengXian" w:hint="eastAsia"/>
                <w:szCs w:val="16"/>
                <w:lang w:val="en-US"/>
              </w:rPr>
              <w:t>FFS</w:t>
            </w:r>
            <w:r w:rsidRPr="00EB42BF">
              <w:rPr>
                <w:rFonts w:eastAsia="DengXian"/>
                <w:szCs w:val="16"/>
                <w:lang w:val="en-US"/>
              </w:rPr>
              <w:t xml:space="preserve"> which timing is referred</w:t>
            </w:r>
          </w:p>
          <w:p w14:paraId="46127E10" w14:textId="77777777" w:rsidR="0002714A"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2c: TA adjustment timing</w:t>
            </w:r>
          </w:p>
          <w:p w14:paraId="4E7B0580" w14:textId="77777777" w:rsidR="0002714A" w:rsidRPr="00FF78BC" w:rsidRDefault="0002714A" w:rsidP="000E514D">
            <w:pPr>
              <w:numPr>
                <w:ilvl w:val="1"/>
                <w:numId w:val="14"/>
              </w:numPr>
              <w:spacing w:after="0" w:afterAutospacing="0"/>
              <w:jc w:val="left"/>
              <w:rPr>
                <w:szCs w:val="16"/>
                <w:lang w:val="en-US"/>
              </w:rPr>
            </w:pPr>
            <w:r w:rsidRPr="00EB42BF">
              <w:rPr>
                <w:rFonts w:eastAsia="DengXian" w:hint="eastAsia"/>
                <w:szCs w:val="16"/>
                <w:lang w:val="en-US"/>
              </w:rPr>
              <w:t>O</w:t>
            </w:r>
            <w:r w:rsidRPr="00EB42BF">
              <w:rPr>
                <w:rFonts w:eastAsia="DengXian"/>
                <w:szCs w:val="16"/>
                <w:lang w:val="en-US"/>
              </w:rPr>
              <w:t>ption 2d: Antenna switching interval</w:t>
            </w:r>
          </w:p>
          <w:p w14:paraId="69943587" w14:textId="77777777" w:rsidR="0002714A" w:rsidRDefault="0002714A" w:rsidP="0002714A">
            <w:pPr>
              <w:rPr>
                <w:lang w:val="en-US"/>
              </w:rPr>
            </w:pPr>
          </w:p>
          <w:p w14:paraId="6CE10650" w14:textId="77777777" w:rsidR="00040635" w:rsidRPr="00040635" w:rsidRDefault="00040635" w:rsidP="00040635">
            <w:pPr>
              <w:snapToGrid/>
              <w:spacing w:before="60" w:after="60" w:afterAutospacing="0" w:line="288" w:lineRule="auto"/>
              <w:ind w:firstLineChars="90" w:firstLine="180"/>
              <w:rPr>
                <w:rFonts w:ascii="Calibri" w:eastAsia="Malgun Gothic" w:hAnsi="Calibri" w:cs="Arial"/>
                <w:color w:val="000000"/>
                <w:sz w:val="20"/>
                <w:lang w:eastAsia="ko-KR"/>
              </w:rPr>
            </w:pPr>
            <w:r w:rsidRPr="00040635">
              <w:rPr>
                <w:rFonts w:ascii="Calibri" w:eastAsia="Malgun Gothic" w:hAnsi="Calibri" w:cs="Arial"/>
                <w:b/>
                <w:sz w:val="20"/>
                <w:highlight w:val="green"/>
                <w:lang w:eastAsia="ko-KR"/>
              </w:rPr>
              <w:t>Agreement:</w:t>
            </w:r>
            <w:r w:rsidRPr="00040635">
              <w:rPr>
                <w:rFonts w:ascii="Calibri" w:eastAsia="Malgun Gothic" w:hAnsi="Calibri" w:cs="Arial"/>
                <w:b/>
                <w:sz w:val="20"/>
                <w:lang w:eastAsia="ko-KR"/>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93"/>
              <w:gridCol w:w="1028"/>
              <w:gridCol w:w="1309"/>
              <w:gridCol w:w="458"/>
              <w:gridCol w:w="423"/>
              <w:gridCol w:w="370"/>
              <w:gridCol w:w="1089"/>
              <w:gridCol w:w="507"/>
              <w:gridCol w:w="417"/>
              <w:gridCol w:w="417"/>
              <w:gridCol w:w="417"/>
              <w:gridCol w:w="1093"/>
              <w:gridCol w:w="775"/>
            </w:tblGrid>
            <w:tr w:rsidR="00040635" w:rsidRPr="00040635" w14:paraId="3FBC08CA" w14:textId="77777777" w:rsidTr="00050E3E">
              <w:tc>
                <w:tcPr>
                  <w:tcW w:w="0" w:type="auto"/>
                  <w:shd w:val="clear" w:color="auto" w:fill="auto"/>
                </w:tcPr>
                <w:p w14:paraId="0FBC0FB2"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 xml:space="preserve">44. </w:t>
                  </w:r>
                  <w:proofErr w:type="spellStart"/>
                  <w:r w:rsidRPr="00040635">
                    <w:rPr>
                      <w:rFonts w:ascii="Arial" w:eastAsia="Malgun Gothic" w:hAnsi="Arial" w:cs="Arial"/>
                      <w:color w:val="000000"/>
                      <w:sz w:val="12"/>
                      <w:szCs w:val="12"/>
                      <w:lang w:eastAsia="zh-CN"/>
                    </w:rPr>
                    <w:t>NR_NTN_enh</w:t>
                  </w:r>
                  <w:proofErr w:type="spellEnd"/>
                  <w:r w:rsidRPr="00040635">
                    <w:rPr>
                      <w:rFonts w:ascii="Arial" w:eastAsia="Malgun Gothic" w:hAnsi="Arial" w:cs="Arial"/>
                      <w:color w:val="000000"/>
                      <w:sz w:val="12"/>
                      <w:szCs w:val="12"/>
                      <w:lang w:eastAsia="zh-CN"/>
                    </w:rPr>
                    <w:t>-Core</w:t>
                  </w:r>
                </w:p>
              </w:tc>
              <w:tc>
                <w:tcPr>
                  <w:tcW w:w="0" w:type="auto"/>
                  <w:shd w:val="clear" w:color="auto" w:fill="auto"/>
                </w:tcPr>
                <w:p w14:paraId="3CB2D10B"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44-2</w:t>
                  </w:r>
                </w:p>
              </w:tc>
              <w:tc>
                <w:tcPr>
                  <w:tcW w:w="0" w:type="auto"/>
                  <w:shd w:val="clear" w:color="auto" w:fill="auto"/>
                </w:tcPr>
                <w:p w14:paraId="330A615F"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ko-KR"/>
                    </w:rPr>
                    <w:t>NTN DMRS bundling enhancement for PUSCH</w:t>
                  </w:r>
                </w:p>
              </w:tc>
              <w:tc>
                <w:tcPr>
                  <w:tcW w:w="0" w:type="auto"/>
                  <w:shd w:val="clear" w:color="auto" w:fill="auto"/>
                </w:tcPr>
                <w:p w14:paraId="30465334" w14:textId="77777777" w:rsidR="00040635" w:rsidRPr="00040635" w:rsidRDefault="00040635" w:rsidP="00040635">
                  <w:pPr>
                    <w:keepNext/>
                    <w:keepLines/>
                    <w:snapToGrid/>
                    <w:spacing w:after="0" w:afterAutospacing="0"/>
                    <w:jc w:val="left"/>
                    <w:rPr>
                      <w:rFonts w:ascii="Arial" w:eastAsia="ＭＳ 明朝" w:hAnsi="Arial" w:cs="Arial"/>
                      <w:color w:val="000000"/>
                      <w:sz w:val="12"/>
                      <w:szCs w:val="12"/>
                      <w:lang w:eastAsia="en-US"/>
                    </w:rPr>
                  </w:pPr>
                  <w:r w:rsidRPr="00040635">
                    <w:rPr>
                      <w:rFonts w:ascii="Arial" w:eastAsia="ＭＳ 明朝" w:hAnsi="Arial" w:cs="Arial"/>
                      <w:color w:val="000000"/>
                      <w:sz w:val="12"/>
                      <w:szCs w:val="12"/>
                      <w:lang w:eastAsia="en-US"/>
                    </w:rPr>
                    <w:t>1. Support of DM-RS bundling for PUSCH over consecutive slots</w:t>
                  </w:r>
                </w:p>
                <w:p w14:paraId="14F2B5A1" w14:textId="77777777" w:rsidR="00040635" w:rsidRPr="00040635" w:rsidRDefault="00040635" w:rsidP="00040635">
                  <w:pPr>
                    <w:keepNext/>
                    <w:keepLines/>
                    <w:snapToGrid/>
                    <w:spacing w:after="0" w:afterAutospacing="0"/>
                    <w:jc w:val="left"/>
                    <w:rPr>
                      <w:rFonts w:ascii="Arial" w:eastAsia="ＭＳ 明朝" w:hAnsi="Arial" w:cs="Arial"/>
                      <w:color w:val="000000"/>
                      <w:sz w:val="12"/>
                      <w:szCs w:val="12"/>
                      <w:lang w:eastAsia="en-US"/>
                    </w:rPr>
                  </w:pPr>
                  <w:r w:rsidRPr="00040635">
                    <w:rPr>
                      <w:rFonts w:ascii="Arial" w:eastAsia="ＭＳ 明朝" w:hAnsi="Arial" w:cs="Arial"/>
                      <w:color w:val="000000"/>
                      <w:sz w:val="12"/>
                      <w:szCs w:val="12"/>
                      <w:lang w:val="en-US" w:eastAsia="en-US"/>
                    </w:rPr>
                    <w:t>2. Support of pre-compensation to keep phase rotation due to timing drift within the phase difference limit</w:t>
                  </w:r>
                </w:p>
                <w:p w14:paraId="3E2E9CC2"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highlight w:val="yellow"/>
                      <w:lang w:val="en-US" w:eastAsia="ko-KR"/>
                    </w:rPr>
                    <w:t>[3. Support not to perform TA pre-compensation update within an actual TDW if it causes phase discontinuity that may violate the phase difference limit.]</w:t>
                  </w:r>
                </w:p>
              </w:tc>
              <w:tc>
                <w:tcPr>
                  <w:tcW w:w="0" w:type="auto"/>
                  <w:shd w:val="clear" w:color="auto" w:fill="auto"/>
                </w:tcPr>
                <w:p w14:paraId="1D408BF4"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ko-KR"/>
                    </w:rPr>
                    <w:t>30-4a/b</w:t>
                  </w:r>
                </w:p>
              </w:tc>
              <w:tc>
                <w:tcPr>
                  <w:tcW w:w="0" w:type="auto"/>
                  <w:shd w:val="clear" w:color="auto" w:fill="auto"/>
                </w:tcPr>
                <w:p w14:paraId="5045E270"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Yes</w:t>
                  </w:r>
                </w:p>
              </w:tc>
              <w:tc>
                <w:tcPr>
                  <w:tcW w:w="0" w:type="auto"/>
                  <w:shd w:val="clear" w:color="auto" w:fill="auto"/>
                </w:tcPr>
                <w:p w14:paraId="240CB184"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No</w:t>
                  </w:r>
                </w:p>
              </w:tc>
              <w:tc>
                <w:tcPr>
                  <w:tcW w:w="0" w:type="auto"/>
                  <w:shd w:val="clear" w:color="auto" w:fill="auto"/>
                </w:tcPr>
                <w:p w14:paraId="1602CBBB"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ko-KR"/>
                    </w:rPr>
                    <w:t>UE does not support DM-RS bundling enhancement for PUSCH in NTN</w:t>
                  </w:r>
                </w:p>
              </w:tc>
              <w:tc>
                <w:tcPr>
                  <w:tcW w:w="0" w:type="auto"/>
                  <w:shd w:val="clear" w:color="auto" w:fill="auto"/>
                </w:tcPr>
                <w:p w14:paraId="044E6FF2"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Per Band</w:t>
                  </w:r>
                </w:p>
              </w:tc>
              <w:tc>
                <w:tcPr>
                  <w:tcW w:w="0" w:type="auto"/>
                  <w:shd w:val="clear" w:color="auto" w:fill="auto"/>
                </w:tcPr>
                <w:p w14:paraId="5029546E"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N/A</w:t>
                  </w:r>
                </w:p>
              </w:tc>
              <w:tc>
                <w:tcPr>
                  <w:tcW w:w="0" w:type="auto"/>
                  <w:shd w:val="clear" w:color="auto" w:fill="auto"/>
                </w:tcPr>
                <w:p w14:paraId="5C98DEAB"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N/A</w:t>
                  </w:r>
                </w:p>
              </w:tc>
              <w:tc>
                <w:tcPr>
                  <w:tcW w:w="0" w:type="auto"/>
                  <w:shd w:val="clear" w:color="auto" w:fill="auto"/>
                </w:tcPr>
                <w:p w14:paraId="6FA336BC"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N/A</w:t>
                  </w:r>
                </w:p>
              </w:tc>
              <w:tc>
                <w:tcPr>
                  <w:tcW w:w="0" w:type="auto"/>
                  <w:shd w:val="clear" w:color="auto" w:fill="auto"/>
                </w:tcPr>
                <w:p w14:paraId="6377CAB9"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ko-KR"/>
                    </w:rPr>
                    <w:t xml:space="preserve">Note: This UE feature group is applicable only for bands in Table 5.2.2-1 in TS 38.101-5 </w:t>
                  </w:r>
                  <w:r w:rsidRPr="00040635">
                    <w:rPr>
                      <w:rFonts w:ascii="Arial" w:eastAsia="Malgun Gothic" w:hAnsi="Arial" w:cs="Arial"/>
                      <w:color w:val="000000"/>
                      <w:sz w:val="12"/>
                      <w:szCs w:val="12"/>
                      <w:highlight w:val="yellow"/>
                      <w:lang w:eastAsia="ko-KR"/>
                    </w:rPr>
                    <w:t>[and HAPS operation bands in Clause 5.2 of TS 38.104]</w:t>
                  </w:r>
                </w:p>
              </w:tc>
              <w:tc>
                <w:tcPr>
                  <w:tcW w:w="0" w:type="auto"/>
                  <w:shd w:val="clear" w:color="auto" w:fill="auto"/>
                </w:tcPr>
                <w:p w14:paraId="05A901F0" w14:textId="77777777" w:rsidR="00040635" w:rsidRPr="00040635" w:rsidRDefault="00040635" w:rsidP="00040635">
                  <w:pPr>
                    <w:snapToGrid/>
                    <w:spacing w:before="60" w:after="60" w:afterAutospacing="0" w:line="288" w:lineRule="auto"/>
                    <w:jc w:val="left"/>
                    <w:rPr>
                      <w:rFonts w:ascii="Arial" w:eastAsia="Malgun Gothic" w:hAnsi="Arial" w:cs="Arial"/>
                      <w:color w:val="000000"/>
                      <w:sz w:val="12"/>
                      <w:szCs w:val="12"/>
                      <w:lang w:eastAsia="ko-KR"/>
                    </w:rPr>
                  </w:pPr>
                  <w:r w:rsidRPr="00040635">
                    <w:rPr>
                      <w:rFonts w:ascii="Arial" w:eastAsia="Malgun Gothic" w:hAnsi="Arial" w:cs="Arial"/>
                      <w:color w:val="000000"/>
                      <w:sz w:val="12"/>
                      <w:szCs w:val="12"/>
                      <w:lang w:eastAsia="zh-CN"/>
                    </w:rPr>
                    <w:t xml:space="preserve">Optional with capability </w:t>
                  </w:r>
                  <w:proofErr w:type="spellStart"/>
                  <w:r w:rsidRPr="00040635">
                    <w:rPr>
                      <w:rFonts w:ascii="Arial" w:eastAsia="Malgun Gothic" w:hAnsi="Arial" w:cs="Arial"/>
                      <w:color w:val="000000"/>
                      <w:sz w:val="12"/>
                      <w:szCs w:val="12"/>
                      <w:lang w:eastAsia="zh-CN"/>
                    </w:rPr>
                    <w:t>signaling</w:t>
                  </w:r>
                  <w:proofErr w:type="spellEnd"/>
                </w:p>
              </w:tc>
            </w:tr>
          </w:tbl>
          <w:p w14:paraId="49DEFCA2" w14:textId="6E9BC9A8" w:rsidR="000F692E" w:rsidRPr="0002714A" w:rsidRDefault="000F692E" w:rsidP="0002714A">
            <w:pPr>
              <w:rPr>
                <w:lang w:val="en-US"/>
              </w:rPr>
            </w:pPr>
          </w:p>
        </w:tc>
      </w:tr>
    </w:tbl>
    <w:p w14:paraId="51C298FE" w14:textId="45E00487" w:rsidR="00335DE4" w:rsidRDefault="00335DE4" w:rsidP="0002714A">
      <w:pPr>
        <w:rPr>
          <w:lang w:val="en-US"/>
        </w:rPr>
      </w:pPr>
    </w:p>
    <w:p w14:paraId="7DC0CD0D" w14:textId="7CD8CE5A" w:rsidR="00882A4B" w:rsidRPr="00BD17AC" w:rsidRDefault="00C968D2" w:rsidP="00AE4583">
      <w:pPr>
        <w:pStyle w:val="4"/>
        <w:jc w:val="left"/>
        <w:rPr>
          <w:lang w:val="en-US"/>
        </w:rPr>
      </w:pPr>
      <w:r>
        <w:rPr>
          <w:rFonts w:hint="eastAsia"/>
          <w:lang w:val="en-US"/>
        </w:rPr>
        <w:t>C</w:t>
      </w:r>
      <w:r>
        <w:rPr>
          <w:lang w:val="en-US"/>
        </w:rPr>
        <w:t>apability report</w:t>
      </w:r>
    </w:p>
    <w:p w14:paraId="394C9B17" w14:textId="2894C9C0" w:rsidR="00BC791D" w:rsidRDefault="00BC791D" w:rsidP="00BC791D">
      <w:pPr>
        <w:rPr>
          <w:lang w:val="en-US"/>
        </w:rPr>
      </w:pPr>
      <w:r>
        <w:rPr>
          <w:rFonts w:hint="eastAsia"/>
          <w:lang w:val="en-US"/>
        </w:rPr>
        <w:t>I</w:t>
      </w:r>
      <w:r>
        <w:rPr>
          <w:lang w:val="en-US"/>
        </w:rPr>
        <w:t>n the agreement on RAN1#113, the Option 1a/1b/</w:t>
      </w:r>
      <w:r w:rsidR="00BD17AC">
        <w:rPr>
          <w:lang w:val="en-US"/>
        </w:rPr>
        <w:t>1</w:t>
      </w:r>
      <w:r>
        <w:rPr>
          <w:lang w:val="en-US"/>
        </w:rPr>
        <w:t>d/</w:t>
      </w:r>
      <w:r w:rsidR="00BD17AC">
        <w:rPr>
          <w:lang w:val="en-US"/>
        </w:rPr>
        <w:t>1</w:t>
      </w:r>
      <w:r>
        <w:rPr>
          <w:lang w:val="en-US"/>
        </w:rPr>
        <w:t>e regard to capability of max TDW size.</w:t>
      </w:r>
    </w:p>
    <w:p w14:paraId="4AE687A3" w14:textId="77777777" w:rsidR="00BC791D" w:rsidRDefault="00BC791D" w:rsidP="00BC791D">
      <w:pPr>
        <w:rPr>
          <w:lang w:val="en-US"/>
        </w:rPr>
      </w:pPr>
      <w:r>
        <w:rPr>
          <w:rFonts w:hint="eastAsia"/>
          <w:lang w:val="en-US"/>
        </w:rPr>
        <w:t>I</w:t>
      </w:r>
      <w:r>
        <w:rPr>
          <w:lang w:val="en-US"/>
        </w:rPr>
        <w:t>n our understanding, for Option 1a and Option 1b, t</w:t>
      </w:r>
      <w:r w:rsidRPr="00112784">
        <w:rPr>
          <w:lang w:val="en-US"/>
        </w:rPr>
        <w:t xml:space="preserve">here is no substantial difference between </w:t>
      </w:r>
      <w:r>
        <w:rPr>
          <w:lang w:val="en-US"/>
        </w:rPr>
        <w:t xml:space="preserve">the option </w:t>
      </w:r>
      <w:r w:rsidRPr="00112784">
        <w:rPr>
          <w:lang w:val="en-US"/>
        </w:rPr>
        <w:t>1a and 1b</w:t>
      </w:r>
      <w:r>
        <w:rPr>
          <w:lang w:val="en-US"/>
        </w:rPr>
        <w:t xml:space="preserve"> because the legacy capability (FG 30-4) is specified as per band / per BC</w:t>
      </w:r>
      <w:r w:rsidRPr="00112784">
        <w:rPr>
          <w:lang w:val="en-US"/>
        </w:rPr>
        <w:t>.</w:t>
      </w:r>
      <w:r>
        <w:rPr>
          <w:lang w:val="en-US"/>
        </w:rPr>
        <w:t xml:space="preserve"> </w:t>
      </w:r>
    </w:p>
    <w:p w14:paraId="5A10CB1F" w14:textId="5E5563E7" w:rsidR="00843F92" w:rsidRDefault="00BC791D" w:rsidP="00BC791D">
      <w:pPr>
        <w:rPr>
          <w:lang w:val="en-US"/>
        </w:rPr>
      </w:pPr>
      <w:r w:rsidRPr="00760BE4">
        <w:rPr>
          <w:lang w:val="en-US"/>
        </w:rPr>
        <w:t>For</w:t>
      </w:r>
      <w:r>
        <w:rPr>
          <w:lang w:val="en-US"/>
        </w:rPr>
        <w:t xml:space="preserve"> the Option 1a and 1b</w:t>
      </w:r>
      <w:r w:rsidRPr="00760BE4">
        <w:rPr>
          <w:lang w:val="en-US"/>
        </w:rPr>
        <w:t>,</w:t>
      </w:r>
      <w:r>
        <w:rPr>
          <w:lang w:val="en-US"/>
        </w:rPr>
        <w:t xml:space="preserve"> </w:t>
      </w:r>
      <w:r w:rsidR="00037228">
        <w:rPr>
          <w:lang w:val="en-US"/>
        </w:rPr>
        <w:t xml:space="preserve">UE capability of </w:t>
      </w:r>
      <w:r>
        <w:rPr>
          <w:lang w:val="en-US"/>
        </w:rPr>
        <w:t xml:space="preserve">the max TDW size </w:t>
      </w:r>
      <w:r w:rsidR="00037228">
        <w:rPr>
          <w:lang w:val="en-US"/>
        </w:rPr>
        <w:t>should</w:t>
      </w:r>
      <w:r>
        <w:rPr>
          <w:lang w:val="en-US"/>
        </w:rPr>
        <w:t xml:space="preserve"> be determined based on specific satellite </w:t>
      </w:r>
      <w:r w:rsidR="00037228">
        <w:rPr>
          <w:lang w:val="en-US"/>
        </w:rPr>
        <w:t xml:space="preserve">conditions (e.g. specific NTN platform and/or elevation angle), then network allocate </w:t>
      </w:r>
      <w:proofErr w:type="spellStart"/>
      <w:r w:rsidR="00037228">
        <w:rPr>
          <w:lang w:val="en-US"/>
        </w:rPr>
        <w:t>nTDW</w:t>
      </w:r>
      <w:proofErr w:type="spellEnd"/>
      <w:r w:rsidR="00037228">
        <w:rPr>
          <w:lang w:val="en-US"/>
        </w:rPr>
        <w:t xml:space="preserve"> </w:t>
      </w:r>
      <w:r w:rsidR="00037228">
        <w:rPr>
          <w:lang w:val="en-US"/>
        </w:rPr>
        <w:lastRenderedPageBreak/>
        <w:t>based on the reported capability</w:t>
      </w:r>
      <w:r>
        <w:rPr>
          <w:lang w:val="en-US"/>
        </w:rPr>
        <w:t xml:space="preserve">. </w:t>
      </w:r>
      <w:r w:rsidR="00652A1D">
        <w:rPr>
          <w:lang w:val="en-US"/>
        </w:rPr>
        <w:t xml:space="preserve">Therefore, the network may not allocate </w:t>
      </w:r>
      <w:proofErr w:type="spellStart"/>
      <w:r w:rsidR="00652A1D">
        <w:rPr>
          <w:lang w:val="en-US"/>
        </w:rPr>
        <w:t>nTDW</w:t>
      </w:r>
      <w:proofErr w:type="spellEnd"/>
      <w:r w:rsidR="00652A1D">
        <w:rPr>
          <w:lang w:val="en-US"/>
        </w:rPr>
        <w:t xml:space="preserve"> in the case which is higher </w:t>
      </w:r>
      <w:r w:rsidR="00037228">
        <w:rPr>
          <w:lang w:val="en-US"/>
        </w:rPr>
        <w:t>timing drift</w:t>
      </w:r>
      <w:r w:rsidR="00652A1D">
        <w:rPr>
          <w:lang w:val="en-US"/>
        </w:rPr>
        <w:t xml:space="preserve"> rate than that of </w:t>
      </w:r>
      <w:r w:rsidR="00037228">
        <w:rPr>
          <w:lang w:val="en-US"/>
        </w:rPr>
        <w:t xml:space="preserve">the </w:t>
      </w:r>
      <w:r w:rsidR="00652A1D">
        <w:rPr>
          <w:lang w:val="en-US"/>
        </w:rPr>
        <w:t>reported case. Therefore, t</w:t>
      </w:r>
      <w:r w:rsidRPr="00811A65">
        <w:rPr>
          <w:lang w:val="en-US"/>
        </w:rPr>
        <w:t xml:space="preserve">o support more </w:t>
      </w:r>
      <w:r>
        <w:rPr>
          <w:lang w:val="en-US"/>
        </w:rPr>
        <w:t>NTN cases</w:t>
      </w:r>
      <w:r w:rsidRPr="00811A65">
        <w:rPr>
          <w:lang w:val="en-US"/>
        </w:rPr>
        <w:t xml:space="preserve">, a </w:t>
      </w:r>
      <w:r>
        <w:rPr>
          <w:lang w:val="en-US"/>
        </w:rPr>
        <w:t>case of high</w:t>
      </w:r>
      <w:r w:rsidR="00037228">
        <w:rPr>
          <w:lang w:val="en-US"/>
        </w:rPr>
        <w:t>er</w:t>
      </w:r>
      <w:r>
        <w:rPr>
          <w:lang w:val="en-US"/>
        </w:rPr>
        <w:t xml:space="preserve"> timing drift rate</w:t>
      </w:r>
      <w:r w:rsidRPr="00811A65">
        <w:rPr>
          <w:lang w:val="en-US"/>
        </w:rPr>
        <w:t xml:space="preserve"> is preferred</w:t>
      </w:r>
      <w:r>
        <w:rPr>
          <w:lang w:val="en-US"/>
        </w:rPr>
        <w:t xml:space="preserve"> to be </w:t>
      </w:r>
      <w:r w:rsidR="00037228">
        <w:rPr>
          <w:lang w:val="en-US"/>
        </w:rPr>
        <w:t>the condition</w:t>
      </w:r>
      <w:r>
        <w:rPr>
          <w:lang w:val="en-US"/>
        </w:rPr>
        <w:t xml:space="preserve"> </w:t>
      </w:r>
      <w:r w:rsidRPr="00760BE4">
        <w:rPr>
          <w:lang w:val="en-US"/>
        </w:rPr>
        <w:t>(e.g. max TDW size for LEO</w:t>
      </w:r>
      <w:r>
        <w:rPr>
          <w:lang w:val="en-US"/>
        </w:rPr>
        <w:t xml:space="preserve"> </w:t>
      </w:r>
      <w:r w:rsidRPr="00760BE4">
        <w:rPr>
          <w:lang w:val="en-US"/>
        </w:rPr>
        <w:t xml:space="preserve">when the elevation angle is </w:t>
      </w:r>
      <w:r>
        <w:rPr>
          <w:lang w:val="en-US"/>
        </w:rPr>
        <w:t>3</w:t>
      </w:r>
      <w:r w:rsidRPr="00760BE4">
        <w:rPr>
          <w:lang w:val="en-US"/>
        </w:rPr>
        <w:t>0 degrees)</w:t>
      </w:r>
      <w:r w:rsidRPr="00811A65">
        <w:rPr>
          <w:lang w:val="en-US"/>
        </w:rPr>
        <w:t>.</w:t>
      </w:r>
      <w:r w:rsidR="00652A1D">
        <w:rPr>
          <w:lang w:val="en-US"/>
        </w:rPr>
        <w:t xml:space="preserve"> </w:t>
      </w:r>
    </w:p>
    <w:p w14:paraId="08EE6098" w14:textId="207EC69F" w:rsidR="00BC791D" w:rsidRDefault="00F336C2" w:rsidP="00BC791D">
      <w:pPr>
        <w:rPr>
          <w:lang w:val="en-US"/>
        </w:rPr>
      </w:pPr>
      <w:r>
        <w:rPr>
          <w:lang w:val="en-US"/>
        </w:rPr>
        <w:t xml:space="preserve">On the other hand, </w:t>
      </w:r>
      <w:r w:rsidR="00BC791D">
        <w:rPr>
          <w:lang w:val="en-US"/>
        </w:rPr>
        <w:t xml:space="preserve">DMRS bundling in an NTN band with GSO </w:t>
      </w:r>
      <w:r>
        <w:rPr>
          <w:lang w:val="en-US"/>
        </w:rPr>
        <w:t>may</w:t>
      </w:r>
      <w:r w:rsidR="00BC791D">
        <w:rPr>
          <w:lang w:val="en-US"/>
        </w:rPr>
        <w:t xml:space="preserve"> not require phase pre-compensation, while DMRS bundling in an NTN band with NGSO requires phase pre-compensation.</w:t>
      </w:r>
      <w:r w:rsidR="004D17C2">
        <w:rPr>
          <w:lang w:val="en-US"/>
        </w:rPr>
        <w:t xml:space="preserve"> Therefore,</w:t>
      </w:r>
      <w:r w:rsidR="00BC791D" w:rsidRPr="00B51B3C">
        <w:rPr>
          <w:lang w:val="en-US"/>
        </w:rPr>
        <w:t xml:space="preserve"> </w:t>
      </w:r>
      <w:r w:rsidR="004D17C2">
        <w:rPr>
          <w:lang w:val="en-US"/>
        </w:rPr>
        <w:t>f</w:t>
      </w:r>
      <w:r w:rsidR="007618B8">
        <w:rPr>
          <w:lang w:val="en-US"/>
        </w:rPr>
        <w:t>or Option 1a/1b, the UE may report max TDW size based on</w:t>
      </w:r>
      <w:r w:rsidR="004D17C2">
        <w:rPr>
          <w:lang w:val="en-US"/>
        </w:rPr>
        <w:t xml:space="preserve"> phase pre-compensation due to</w:t>
      </w:r>
      <w:r w:rsidR="007618B8">
        <w:rPr>
          <w:lang w:val="en-US"/>
        </w:rPr>
        <w:t xml:space="preserve"> high timing drift rate</w:t>
      </w:r>
      <w:r w:rsidR="004D17C2">
        <w:rPr>
          <w:lang w:val="en-US"/>
        </w:rPr>
        <w:t xml:space="preserve"> even when using</w:t>
      </w:r>
      <w:r w:rsidR="007618B8">
        <w:rPr>
          <w:lang w:val="en-US"/>
        </w:rPr>
        <w:t xml:space="preserve"> GSO</w:t>
      </w:r>
      <w:r w:rsidR="004D17C2">
        <w:rPr>
          <w:lang w:val="en-US"/>
        </w:rPr>
        <w:t xml:space="preserve"> for NTN bands</w:t>
      </w:r>
      <w:r w:rsidR="007618B8">
        <w:rPr>
          <w:lang w:val="en-US"/>
        </w:rPr>
        <w:t xml:space="preserve">. </w:t>
      </w:r>
    </w:p>
    <w:p w14:paraId="3BFC5BAB" w14:textId="549EE28E" w:rsidR="00BC791D" w:rsidRDefault="00BC791D" w:rsidP="00BC791D">
      <w:pPr>
        <w:rPr>
          <w:lang w:val="en-US"/>
        </w:rPr>
      </w:pPr>
      <w:r w:rsidRPr="00DA26E8">
        <w:rPr>
          <w:b/>
          <w:u w:val="single"/>
          <w:lang w:val="en-US"/>
        </w:rPr>
        <w:t>Observation 8:</w:t>
      </w:r>
      <w:r>
        <w:rPr>
          <w:lang w:val="en-US"/>
        </w:rPr>
        <w:t xml:space="preserve"> </w:t>
      </w:r>
      <w:r w:rsidR="00306397">
        <w:rPr>
          <w:lang w:val="en-US"/>
        </w:rPr>
        <w:t xml:space="preserve">For given NTN band, </w:t>
      </w:r>
      <w:r>
        <w:rPr>
          <w:lang w:val="en-US"/>
        </w:rPr>
        <w:t xml:space="preserve">DMRS bundling with GSO </w:t>
      </w:r>
      <w:r w:rsidR="00D67D0D">
        <w:rPr>
          <w:lang w:val="en-US"/>
        </w:rPr>
        <w:t>may</w:t>
      </w:r>
      <w:r>
        <w:rPr>
          <w:lang w:val="en-US"/>
        </w:rPr>
        <w:t xml:space="preserve"> not require phase pre-compensation, while DMRS bundling with NGSO requires phase pre-compensation. </w:t>
      </w:r>
    </w:p>
    <w:p w14:paraId="5B558EA7" w14:textId="2544C474" w:rsidR="00BC791D" w:rsidRPr="004A7462" w:rsidRDefault="00BC791D" w:rsidP="00BC791D">
      <w:pPr>
        <w:rPr>
          <w:lang w:val="en-US"/>
        </w:rPr>
      </w:pPr>
      <w:r w:rsidRPr="00A33932">
        <w:rPr>
          <w:rFonts w:hint="eastAsia"/>
          <w:b/>
          <w:u w:val="single"/>
          <w:lang w:val="en-US"/>
        </w:rPr>
        <w:t>O</w:t>
      </w:r>
      <w:r w:rsidRPr="00A33932">
        <w:rPr>
          <w:b/>
          <w:u w:val="single"/>
          <w:lang w:val="en-US"/>
        </w:rPr>
        <w:t>bservation 9:</w:t>
      </w:r>
      <w:r>
        <w:rPr>
          <w:lang w:val="en-US"/>
        </w:rPr>
        <w:t xml:space="preserve"> </w:t>
      </w:r>
      <w:r w:rsidR="007618B8" w:rsidRPr="007618B8">
        <w:rPr>
          <w:lang w:val="en-US"/>
        </w:rPr>
        <w:t xml:space="preserve">For Option 1a/1b, </w:t>
      </w:r>
      <w:r w:rsidR="004D17C2">
        <w:rPr>
          <w:lang w:val="en-US"/>
        </w:rPr>
        <w:t>the UE may report max TDW size based on phase pre-compensation due to high timing drift rate even when using GSO for NTN bands.</w:t>
      </w:r>
    </w:p>
    <w:p w14:paraId="5742E7E4" w14:textId="601FBC63" w:rsidR="00BC791D" w:rsidRDefault="00BC791D" w:rsidP="00BC791D">
      <w:pPr>
        <w:rPr>
          <w:lang w:val="en-US"/>
        </w:rPr>
      </w:pPr>
      <w:r>
        <w:rPr>
          <w:rFonts w:hint="eastAsia"/>
          <w:lang w:val="en-US"/>
        </w:rPr>
        <w:t>F</w:t>
      </w:r>
      <w:r>
        <w:rPr>
          <w:lang w:val="en-US"/>
        </w:rPr>
        <w:t xml:space="preserve">or Option 1e, </w:t>
      </w:r>
      <w:r w:rsidRPr="00234F54">
        <w:rPr>
          <w:lang w:val="en-US"/>
        </w:rPr>
        <w:t xml:space="preserve">the max TDW size </w:t>
      </w:r>
      <w:r w:rsidR="001B36EB">
        <w:rPr>
          <w:lang w:val="en-US"/>
        </w:rPr>
        <w:t>may</w:t>
      </w:r>
      <w:r w:rsidRPr="00234F54">
        <w:rPr>
          <w:lang w:val="en-US"/>
        </w:rPr>
        <w:t xml:space="preserve"> be </w:t>
      </w:r>
      <w:r w:rsidR="00130244">
        <w:rPr>
          <w:lang w:val="en-US"/>
        </w:rPr>
        <w:t>defined</w:t>
      </w:r>
      <w:r w:rsidRPr="00234F54">
        <w:rPr>
          <w:lang w:val="en-US"/>
        </w:rPr>
        <w:t xml:space="preserve"> based on specific </w:t>
      </w:r>
      <w:r>
        <w:rPr>
          <w:lang w:val="en-US"/>
        </w:rPr>
        <w:t>NTN platform per several elevation angles</w:t>
      </w:r>
      <w:r w:rsidRPr="00234F54">
        <w:rPr>
          <w:lang w:val="en-US"/>
        </w:rPr>
        <w:t xml:space="preserve"> (e.g. max TDW size </w:t>
      </w:r>
      <w:r w:rsidRPr="00760BE4">
        <w:rPr>
          <w:lang w:val="en-US"/>
        </w:rPr>
        <w:t>for LEO</w:t>
      </w:r>
      <w:r>
        <w:rPr>
          <w:lang w:val="en-US"/>
        </w:rPr>
        <w:t xml:space="preserve"> satellite</w:t>
      </w:r>
      <w:r w:rsidRPr="00760BE4">
        <w:rPr>
          <w:lang w:val="en-US"/>
        </w:rPr>
        <w:t xml:space="preserve"> when the elevation angle</w:t>
      </w:r>
      <w:r>
        <w:rPr>
          <w:lang w:val="en-US"/>
        </w:rPr>
        <w:t>s</w:t>
      </w:r>
      <w:r w:rsidRPr="00760BE4">
        <w:rPr>
          <w:lang w:val="en-US"/>
        </w:rPr>
        <w:t xml:space="preserve"> </w:t>
      </w:r>
      <w:r>
        <w:rPr>
          <w:lang w:val="en-US"/>
        </w:rPr>
        <w:t>are</w:t>
      </w:r>
      <w:r w:rsidRPr="00760BE4">
        <w:rPr>
          <w:lang w:val="en-US"/>
        </w:rPr>
        <w:t xml:space="preserve"> </w:t>
      </w:r>
      <w:r>
        <w:rPr>
          <w:lang w:val="en-US"/>
        </w:rPr>
        <w:t>30 deg, 45 deg and 60 deg</w:t>
      </w:r>
      <w:r w:rsidRPr="00234F54">
        <w:rPr>
          <w:lang w:val="en-US"/>
        </w:rPr>
        <w:t>).</w:t>
      </w:r>
      <w:r>
        <w:rPr>
          <w:lang w:val="en-US"/>
        </w:rPr>
        <w:t xml:space="preserve"> Option 1e allows the UE to </w:t>
      </w:r>
      <w:r w:rsidR="00556E4A" w:rsidRPr="00556E4A">
        <w:rPr>
          <w:lang w:val="en-US"/>
        </w:rPr>
        <w:t xml:space="preserve">report a max TDW that is longer when </w:t>
      </w:r>
      <w:r w:rsidR="00556E4A">
        <w:rPr>
          <w:lang w:val="en-US"/>
        </w:rPr>
        <w:t>elevation angle is high</w:t>
      </w:r>
      <w:r w:rsidR="00556E4A" w:rsidRPr="00556E4A">
        <w:rPr>
          <w:lang w:val="en-US"/>
        </w:rPr>
        <w:t xml:space="preserve"> (when </w:t>
      </w:r>
      <w:r w:rsidR="00556E4A">
        <w:rPr>
          <w:lang w:val="en-US"/>
        </w:rPr>
        <w:t>path loss is small</w:t>
      </w:r>
      <w:r w:rsidR="00556E4A" w:rsidRPr="00556E4A">
        <w:rPr>
          <w:lang w:val="en-US"/>
        </w:rPr>
        <w:t xml:space="preserve">) and a max TDW that is shorter when </w:t>
      </w:r>
      <w:r w:rsidR="00556E4A">
        <w:rPr>
          <w:lang w:val="en-US"/>
        </w:rPr>
        <w:t>elevation angle is low</w:t>
      </w:r>
      <w:r w:rsidR="00556E4A" w:rsidRPr="00556E4A">
        <w:rPr>
          <w:lang w:val="en-US"/>
        </w:rPr>
        <w:t xml:space="preserve"> (when </w:t>
      </w:r>
      <w:r w:rsidR="00556E4A">
        <w:rPr>
          <w:lang w:val="en-US"/>
        </w:rPr>
        <w:t>path loss is large</w:t>
      </w:r>
      <w:r w:rsidR="00556E4A" w:rsidRPr="00556E4A">
        <w:rPr>
          <w:lang w:val="en-US"/>
        </w:rPr>
        <w:t>).</w:t>
      </w:r>
      <w:r w:rsidR="00556E4A">
        <w:rPr>
          <w:lang w:val="en-US"/>
        </w:rPr>
        <w:t xml:space="preserve"> However</w:t>
      </w:r>
      <w:r w:rsidR="007F4D5F">
        <w:rPr>
          <w:lang w:val="en-US"/>
        </w:rPr>
        <w:t>, in terms of coverage enhancement,</w:t>
      </w:r>
      <w:r w:rsidR="00556E4A">
        <w:rPr>
          <w:lang w:val="en-US"/>
        </w:rPr>
        <w:t xml:space="preserve"> </w:t>
      </w:r>
      <w:r w:rsidR="007F4D5F">
        <w:rPr>
          <w:lang w:val="en-US"/>
        </w:rPr>
        <w:t>longer TDW should be reported when path loss is large.</w:t>
      </w:r>
      <w:r w:rsidR="00556E4A">
        <w:rPr>
          <w:lang w:val="en-US"/>
        </w:rPr>
        <w:t xml:space="preserve"> </w:t>
      </w:r>
      <w:r>
        <w:rPr>
          <w:lang w:val="en-US"/>
        </w:rPr>
        <w:t>Furthermore, whether or not UEs in the cell/beam perform DMRS bundling via GSO is not based on the elevation angle because the timing drift rate of GEO is always zero, does not depend on elevation angle. Therefore, for DMRS bundling via GSO, the max TDW size per elevation angle are extra capability report.</w:t>
      </w:r>
    </w:p>
    <w:p w14:paraId="527E1899" w14:textId="613B4175" w:rsidR="00FA1BE1" w:rsidRPr="00440A81" w:rsidRDefault="00FA1BE1" w:rsidP="00FA1BE1">
      <w:pPr>
        <w:rPr>
          <w:lang w:val="en-US"/>
        </w:rPr>
      </w:pPr>
      <w:r w:rsidRPr="00A33932">
        <w:rPr>
          <w:rFonts w:hint="eastAsia"/>
          <w:b/>
          <w:u w:val="single"/>
          <w:lang w:val="en-US"/>
        </w:rPr>
        <w:t>O</w:t>
      </w:r>
      <w:r w:rsidRPr="00A33932">
        <w:rPr>
          <w:b/>
          <w:u w:val="single"/>
          <w:lang w:val="en-US"/>
        </w:rPr>
        <w:t>bservation 1</w:t>
      </w:r>
      <w:r w:rsidR="004E3CD9">
        <w:rPr>
          <w:b/>
          <w:u w:val="single"/>
          <w:lang w:val="en-US"/>
        </w:rPr>
        <w:t>0</w:t>
      </w:r>
      <w:r w:rsidRPr="00A33932">
        <w:rPr>
          <w:b/>
          <w:u w:val="single"/>
          <w:lang w:val="en-US"/>
        </w:rPr>
        <w:t>:</w:t>
      </w:r>
      <w:r>
        <w:rPr>
          <w:rFonts w:hint="eastAsia"/>
          <w:lang w:val="en-US"/>
        </w:rPr>
        <w:t xml:space="preserve"> </w:t>
      </w:r>
      <w:r w:rsidR="007F4D5F">
        <w:rPr>
          <w:lang w:val="en-US"/>
        </w:rPr>
        <w:t xml:space="preserve">Option 1e allows the UE to </w:t>
      </w:r>
      <w:r w:rsidR="007F4D5F" w:rsidRPr="00556E4A">
        <w:rPr>
          <w:lang w:val="en-US"/>
        </w:rPr>
        <w:t xml:space="preserve">report a max TDW that is longer when </w:t>
      </w:r>
      <w:r w:rsidR="007F4D5F">
        <w:rPr>
          <w:lang w:val="en-US"/>
        </w:rPr>
        <w:t>elevation angle is high</w:t>
      </w:r>
      <w:r w:rsidR="007F4D5F" w:rsidRPr="00556E4A">
        <w:rPr>
          <w:lang w:val="en-US"/>
        </w:rPr>
        <w:t xml:space="preserve"> (when </w:t>
      </w:r>
      <w:r w:rsidR="007F4D5F">
        <w:rPr>
          <w:lang w:val="en-US"/>
        </w:rPr>
        <w:t>path loss is small</w:t>
      </w:r>
      <w:r w:rsidR="007F4D5F" w:rsidRPr="00556E4A">
        <w:rPr>
          <w:lang w:val="en-US"/>
        </w:rPr>
        <w:t xml:space="preserve">) and </w:t>
      </w:r>
      <w:r w:rsidR="009E324D">
        <w:rPr>
          <w:lang w:val="en-US"/>
        </w:rPr>
        <w:t>the</w:t>
      </w:r>
      <w:r w:rsidR="007F4D5F" w:rsidRPr="00556E4A">
        <w:rPr>
          <w:lang w:val="en-US"/>
        </w:rPr>
        <w:t xml:space="preserve"> max TDW that is shorter when </w:t>
      </w:r>
      <w:r w:rsidR="007F4D5F">
        <w:rPr>
          <w:lang w:val="en-US"/>
        </w:rPr>
        <w:t>elevation angle is low</w:t>
      </w:r>
      <w:r w:rsidR="007F4D5F" w:rsidRPr="00556E4A">
        <w:rPr>
          <w:lang w:val="en-US"/>
        </w:rPr>
        <w:t xml:space="preserve"> (when </w:t>
      </w:r>
      <w:r w:rsidR="007F4D5F">
        <w:rPr>
          <w:lang w:val="en-US"/>
        </w:rPr>
        <w:t>path loss is large</w:t>
      </w:r>
      <w:r w:rsidR="007F4D5F" w:rsidRPr="00556E4A">
        <w:rPr>
          <w:lang w:val="en-US"/>
        </w:rPr>
        <w:t>).</w:t>
      </w:r>
    </w:p>
    <w:p w14:paraId="4A82966C" w14:textId="6F6FED7C" w:rsidR="00FA1BE1" w:rsidRDefault="00FA1BE1" w:rsidP="00FA1BE1">
      <w:pPr>
        <w:rPr>
          <w:lang w:val="en-US"/>
        </w:rPr>
      </w:pPr>
      <w:r w:rsidRPr="00DA26E8">
        <w:rPr>
          <w:b/>
          <w:u w:val="single"/>
          <w:lang w:val="en-US"/>
        </w:rPr>
        <w:t>Observation 1</w:t>
      </w:r>
      <w:r w:rsidR="004E3CD9">
        <w:rPr>
          <w:b/>
          <w:u w:val="single"/>
          <w:lang w:val="en-US"/>
        </w:rPr>
        <w:t>1</w:t>
      </w:r>
      <w:r w:rsidRPr="00DA26E8">
        <w:rPr>
          <w:b/>
          <w:u w:val="single"/>
          <w:lang w:val="en-US"/>
        </w:rPr>
        <w:t>:</w:t>
      </w:r>
      <w:r w:rsidR="00130244">
        <w:rPr>
          <w:lang w:val="en-US"/>
        </w:rPr>
        <w:t xml:space="preserve"> For Option 1e, t</w:t>
      </w:r>
      <w:r>
        <w:rPr>
          <w:lang w:val="en-US"/>
        </w:rPr>
        <w:t xml:space="preserve">he max TDW size per elevation angle </w:t>
      </w:r>
      <w:r w:rsidR="00130244">
        <w:rPr>
          <w:lang w:val="en-US"/>
        </w:rPr>
        <w:t>is</w:t>
      </w:r>
      <w:r>
        <w:rPr>
          <w:lang w:val="en-US"/>
        </w:rPr>
        <w:t xml:space="preserve"> extra capability report</w:t>
      </w:r>
      <w:r w:rsidRPr="00933E59">
        <w:rPr>
          <w:lang w:val="en-US"/>
        </w:rPr>
        <w:t xml:space="preserve"> </w:t>
      </w:r>
      <w:r>
        <w:rPr>
          <w:lang w:val="en-US"/>
        </w:rPr>
        <w:t xml:space="preserve">for DMRS bundling </w:t>
      </w:r>
      <w:r w:rsidR="005D3B52">
        <w:rPr>
          <w:lang w:val="en-US"/>
        </w:rPr>
        <w:t>for</w:t>
      </w:r>
      <w:r>
        <w:rPr>
          <w:lang w:val="en-US"/>
        </w:rPr>
        <w:t xml:space="preserve"> GSO satellite.</w:t>
      </w:r>
    </w:p>
    <w:p w14:paraId="26A14533" w14:textId="78BDE4BC" w:rsidR="008E4D74" w:rsidRDefault="008E4D74" w:rsidP="008E4D74">
      <w:pPr>
        <w:rPr>
          <w:lang w:val="en-US"/>
        </w:rPr>
      </w:pPr>
      <w:r>
        <w:rPr>
          <w:rFonts w:hint="eastAsia"/>
          <w:lang w:val="en-US"/>
        </w:rPr>
        <w:t>F</w:t>
      </w:r>
      <w:r>
        <w:rPr>
          <w:lang w:val="en-US"/>
        </w:rPr>
        <w:t xml:space="preserve">or Option 1d, </w:t>
      </w:r>
      <w:r w:rsidRPr="00234F54">
        <w:rPr>
          <w:lang w:val="en-US"/>
        </w:rPr>
        <w:t xml:space="preserve">the max TDW size </w:t>
      </w:r>
      <w:r>
        <w:rPr>
          <w:lang w:val="en-US"/>
        </w:rPr>
        <w:t>may</w:t>
      </w:r>
      <w:r w:rsidRPr="00234F54">
        <w:rPr>
          <w:lang w:val="en-US"/>
        </w:rPr>
        <w:t xml:space="preserve"> be de</w:t>
      </w:r>
      <w:r w:rsidR="00A62AF8">
        <w:rPr>
          <w:lang w:val="en-US"/>
        </w:rPr>
        <w:t>fined</w:t>
      </w:r>
      <w:r w:rsidRPr="00234F54">
        <w:rPr>
          <w:lang w:val="en-US"/>
        </w:rPr>
        <w:t xml:space="preserve"> based on specific satellite elevation angle</w:t>
      </w:r>
      <w:r>
        <w:rPr>
          <w:lang w:val="en-US"/>
        </w:rPr>
        <w:t xml:space="preserve"> per NTN platform</w:t>
      </w:r>
      <w:r w:rsidRPr="00234F54">
        <w:rPr>
          <w:lang w:val="en-US"/>
        </w:rPr>
        <w:t xml:space="preserve"> (e.g. max TDW size for</w:t>
      </w:r>
      <w:r>
        <w:rPr>
          <w:lang w:val="en-US"/>
        </w:rPr>
        <w:t xml:space="preserve"> each of NTN platform (for GEO, MEO and LEO)</w:t>
      </w:r>
      <w:r w:rsidRPr="00234F54">
        <w:rPr>
          <w:lang w:val="en-US"/>
        </w:rPr>
        <w:t xml:space="preserve"> when the elevation angle is 30 degrees).</w:t>
      </w:r>
      <w:r>
        <w:rPr>
          <w:lang w:val="en-US"/>
        </w:rPr>
        <w:t xml:space="preserve"> </w:t>
      </w:r>
      <w:r w:rsidR="009E324D">
        <w:rPr>
          <w:lang w:val="en-US"/>
        </w:rPr>
        <w:t xml:space="preserve">Option 1d allows the UE to </w:t>
      </w:r>
      <w:r w:rsidR="009E324D" w:rsidRPr="00556E4A">
        <w:rPr>
          <w:lang w:val="en-US"/>
        </w:rPr>
        <w:t xml:space="preserve">report a max TDW that is longer when </w:t>
      </w:r>
      <w:r w:rsidR="009E324D">
        <w:rPr>
          <w:lang w:val="en-US"/>
        </w:rPr>
        <w:t>satellite altitude is high</w:t>
      </w:r>
      <w:r w:rsidR="009E324D" w:rsidRPr="00556E4A">
        <w:rPr>
          <w:lang w:val="en-US"/>
        </w:rPr>
        <w:t xml:space="preserve"> (when </w:t>
      </w:r>
      <w:r w:rsidR="009E324D">
        <w:rPr>
          <w:lang w:val="en-US"/>
        </w:rPr>
        <w:t>path loss is large</w:t>
      </w:r>
      <w:r w:rsidR="009E324D" w:rsidRPr="00556E4A">
        <w:rPr>
          <w:lang w:val="en-US"/>
        </w:rPr>
        <w:t xml:space="preserve">) and </w:t>
      </w:r>
      <w:r w:rsidR="009E324D">
        <w:rPr>
          <w:lang w:val="en-US"/>
        </w:rPr>
        <w:t>the</w:t>
      </w:r>
      <w:r w:rsidR="009E324D" w:rsidRPr="00556E4A">
        <w:rPr>
          <w:lang w:val="en-US"/>
        </w:rPr>
        <w:t xml:space="preserve"> max TDW that is shorter when</w:t>
      </w:r>
      <w:r w:rsidR="009E324D">
        <w:rPr>
          <w:lang w:val="en-US"/>
        </w:rPr>
        <w:t xml:space="preserve"> satellite altitude is low</w:t>
      </w:r>
      <w:r w:rsidR="009E324D" w:rsidRPr="00556E4A">
        <w:rPr>
          <w:lang w:val="en-US"/>
        </w:rPr>
        <w:t xml:space="preserve"> (when </w:t>
      </w:r>
      <w:r w:rsidR="009E324D">
        <w:rPr>
          <w:lang w:val="en-US"/>
        </w:rPr>
        <w:t>path loss is low</w:t>
      </w:r>
      <w:r w:rsidR="009E324D" w:rsidRPr="00556E4A">
        <w:rPr>
          <w:lang w:val="en-US"/>
        </w:rPr>
        <w:t>).</w:t>
      </w:r>
      <w:r>
        <w:rPr>
          <w:lang w:val="en-US"/>
        </w:rPr>
        <w:t xml:space="preserve"> This brings a benefit to UE.</w:t>
      </w:r>
    </w:p>
    <w:p w14:paraId="7FBABA47" w14:textId="616F3341" w:rsidR="008E4D74" w:rsidRPr="008E4D74" w:rsidRDefault="008E4D74" w:rsidP="00FA1BE1">
      <w:pPr>
        <w:rPr>
          <w:lang w:val="en-US"/>
        </w:rPr>
      </w:pPr>
      <w:r w:rsidRPr="00DA26E8">
        <w:rPr>
          <w:b/>
          <w:u w:val="single"/>
          <w:lang w:val="en-US"/>
        </w:rPr>
        <w:t xml:space="preserve">Observation </w:t>
      </w:r>
      <w:r w:rsidR="002B6D3D">
        <w:rPr>
          <w:b/>
          <w:u w:val="single"/>
          <w:lang w:val="en-US"/>
        </w:rPr>
        <w:t>12</w:t>
      </w:r>
      <w:r w:rsidRPr="00DA26E8">
        <w:rPr>
          <w:b/>
          <w:u w:val="single"/>
          <w:lang w:val="en-US"/>
        </w:rPr>
        <w:t>:</w:t>
      </w:r>
      <w:r>
        <w:rPr>
          <w:lang w:val="en-US"/>
        </w:rPr>
        <w:t xml:space="preserve"> </w:t>
      </w:r>
      <w:r w:rsidR="00850EE5">
        <w:rPr>
          <w:lang w:val="en-US"/>
        </w:rPr>
        <w:t xml:space="preserve">Option 1d allows the UE to </w:t>
      </w:r>
      <w:r w:rsidR="00850EE5" w:rsidRPr="00556E4A">
        <w:rPr>
          <w:lang w:val="en-US"/>
        </w:rPr>
        <w:t xml:space="preserve">report a max TDW that is longer when </w:t>
      </w:r>
      <w:r w:rsidR="009E324D">
        <w:rPr>
          <w:lang w:val="en-US"/>
        </w:rPr>
        <w:t>satellite altitude</w:t>
      </w:r>
      <w:r w:rsidR="00850EE5">
        <w:rPr>
          <w:lang w:val="en-US"/>
        </w:rPr>
        <w:t xml:space="preserve"> is high</w:t>
      </w:r>
      <w:r w:rsidR="00850EE5" w:rsidRPr="00556E4A">
        <w:rPr>
          <w:lang w:val="en-US"/>
        </w:rPr>
        <w:t xml:space="preserve"> (when </w:t>
      </w:r>
      <w:r w:rsidR="00850EE5">
        <w:rPr>
          <w:lang w:val="en-US"/>
        </w:rPr>
        <w:t xml:space="preserve">path loss is </w:t>
      </w:r>
      <w:r w:rsidR="009E324D">
        <w:rPr>
          <w:lang w:val="en-US"/>
        </w:rPr>
        <w:t>large</w:t>
      </w:r>
      <w:r w:rsidR="00850EE5" w:rsidRPr="00556E4A">
        <w:rPr>
          <w:lang w:val="en-US"/>
        </w:rPr>
        <w:t xml:space="preserve">) and </w:t>
      </w:r>
      <w:r w:rsidR="009E324D">
        <w:rPr>
          <w:lang w:val="en-US"/>
        </w:rPr>
        <w:t>the</w:t>
      </w:r>
      <w:r w:rsidR="00850EE5" w:rsidRPr="00556E4A">
        <w:rPr>
          <w:lang w:val="en-US"/>
        </w:rPr>
        <w:t xml:space="preserve"> max TDW that is shorter when</w:t>
      </w:r>
      <w:r w:rsidR="009E324D">
        <w:rPr>
          <w:lang w:val="en-US"/>
        </w:rPr>
        <w:t xml:space="preserve"> satellite altitude</w:t>
      </w:r>
      <w:r w:rsidR="00850EE5">
        <w:rPr>
          <w:lang w:val="en-US"/>
        </w:rPr>
        <w:t xml:space="preserve"> is low</w:t>
      </w:r>
      <w:r w:rsidR="00850EE5" w:rsidRPr="00556E4A">
        <w:rPr>
          <w:lang w:val="en-US"/>
        </w:rPr>
        <w:t xml:space="preserve"> (when </w:t>
      </w:r>
      <w:r w:rsidR="00850EE5">
        <w:rPr>
          <w:lang w:val="en-US"/>
        </w:rPr>
        <w:t>path loss is</w:t>
      </w:r>
      <w:r w:rsidR="009E324D">
        <w:rPr>
          <w:lang w:val="en-US"/>
        </w:rPr>
        <w:t xml:space="preserve"> low</w:t>
      </w:r>
      <w:r w:rsidR="00850EE5" w:rsidRPr="00556E4A">
        <w:rPr>
          <w:lang w:val="en-US"/>
        </w:rPr>
        <w:t>).</w:t>
      </w:r>
    </w:p>
    <w:p w14:paraId="1A0B8789" w14:textId="25521D98" w:rsidR="00EA696F" w:rsidRPr="00EA696F" w:rsidRDefault="00FA1BE1" w:rsidP="00BC791D">
      <w:pPr>
        <w:rPr>
          <w:lang w:val="en-US"/>
        </w:rPr>
      </w:pPr>
      <w:r w:rsidRPr="00DA26E8">
        <w:rPr>
          <w:b/>
          <w:u w:val="single"/>
          <w:lang w:val="en-US"/>
        </w:rPr>
        <w:t>Proposal</w:t>
      </w:r>
      <w:r>
        <w:rPr>
          <w:b/>
          <w:u w:val="single"/>
          <w:lang w:val="en-US"/>
        </w:rPr>
        <w:t xml:space="preserve"> 5</w:t>
      </w:r>
      <w:r w:rsidRPr="00DA26E8">
        <w:rPr>
          <w:b/>
          <w:u w:val="single"/>
          <w:lang w:val="en-US"/>
        </w:rPr>
        <w:t>:</w:t>
      </w:r>
      <w:r>
        <w:rPr>
          <w:lang w:val="en-US"/>
        </w:rPr>
        <w:t xml:space="preserve"> </w:t>
      </w:r>
      <w:r w:rsidRPr="00B4491D">
        <w:rPr>
          <w:lang w:val="en-US"/>
        </w:rPr>
        <w:t>For the NTN specific DMRS bundling, max TDW size per NTN platform</w:t>
      </w:r>
      <w:r>
        <w:rPr>
          <w:lang w:val="en-US"/>
        </w:rPr>
        <w:t xml:space="preserve"> (Option 1d)</w:t>
      </w:r>
      <w:r w:rsidRPr="00B4491D">
        <w:rPr>
          <w:lang w:val="en-US"/>
        </w:rPr>
        <w:t xml:space="preserve"> is reported.</w:t>
      </w:r>
    </w:p>
    <w:p w14:paraId="792E85AB" w14:textId="79972E4C" w:rsidR="00E46BAF" w:rsidRDefault="00E46BAF" w:rsidP="00E46BAF">
      <w:pPr>
        <w:pStyle w:val="20"/>
        <w:rPr>
          <w:lang w:val="en-US"/>
        </w:rPr>
      </w:pPr>
      <w:r>
        <w:rPr>
          <w:lang w:val="en-US"/>
        </w:rPr>
        <w:lastRenderedPageBreak/>
        <w:t>Msg4 HARQ-ACK repetition</w:t>
      </w:r>
    </w:p>
    <w:p w14:paraId="37D80F53" w14:textId="3D40585D" w:rsidR="00DD1079" w:rsidRPr="00DD1079" w:rsidRDefault="00DD1079" w:rsidP="00DD1079">
      <w:pPr>
        <w:snapToGrid/>
        <w:spacing w:after="0" w:afterAutospacing="0"/>
        <w:jc w:val="left"/>
        <w:rPr>
          <w:lang w:val="en-US"/>
        </w:rPr>
      </w:pPr>
      <w:r>
        <w:rPr>
          <w:lang w:val="en-US"/>
        </w:rPr>
        <w:t>In the last RAN1 meeting we agreed the following agreements and working assumptions.</w:t>
      </w:r>
    </w:p>
    <w:tbl>
      <w:tblPr>
        <w:tblStyle w:val="af2"/>
        <w:tblW w:w="0" w:type="auto"/>
        <w:tblLook w:val="04A0" w:firstRow="1" w:lastRow="0" w:firstColumn="1" w:lastColumn="0" w:noHBand="0" w:noVBand="1"/>
      </w:tblPr>
      <w:tblGrid>
        <w:gridCol w:w="9954"/>
      </w:tblGrid>
      <w:tr w:rsidR="00E46BAF" w14:paraId="748BFE2A" w14:textId="77777777" w:rsidTr="00E46BAF">
        <w:tc>
          <w:tcPr>
            <w:tcW w:w="9954" w:type="dxa"/>
          </w:tcPr>
          <w:p w14:paraId="6111157E" w14:textId="0BD36EE9" w:rsidR="00E46BAF" w:rsidRPr="00E46BAF" w:rsidRDefault="00E46BAF" w:rsidP="00E46BAF">
            <w:pPr>
              <w:snapToGrid/>
              <w:spacing w:after="0" w:afterAutospacing="0"/>
              <w:jc w:val="left"/>
              <w:rPr>
                <w:rFonts w:ascii="Times" w:eastAsia="Batang" w:hAnsi="Times"/>
                <w:b/>
                <w:sz w:val="20"/>
                <w:szCs w:val="14"/>
                <w:lang w:eastAsia="zh-CN"/>
              </w:rPr>
            </w:pPr>
            <w:r w:rsidRPr="00E46BAF">
              <w:rPr>
                <w:rFonts w:ascii="Times" w:eastAsia="Batang" w:hAnsi="Times"/>
                <w:b/>
                <w:sz w:val="20"/>
                <w:szCs w:val="14"/>
                <w:highlight w:val="darkYellow"/>
                <w:lang w:eastAsia="zh-CN"/>
              </w:rPr>
              <w:t>Working assumption</w:t>
            </w:r>
          </w:p>
          <w:p w14:paraId="67727603" w14:textId="77777777" w:rsidR="00E46BAF" w:rsidRPr="00E46BAF" w:rsidRDefault="00E46BAF" w:rsidP="00E46BAF">
            <w:pPr>
              <w:spacing w:after="0" w:afterAutospacing="0"/>
              <w:rPr>
                <w:rFonts w:ascii="Times" w:eastAsia="DengXian" w:hAnsi="Times"/>
                <w:sz w:val="20"/>
                <w:szCs w:val="16"/>
                <w:lang w:val="en-US" w:eastAsia="en-US"/>
              </w:rPr>
            </w:pPr>
            <w:r w:rsidRPr="00E46BAF">
              <w:rPr>
                <w:rFonts w:ascii="Times" w:eastAsia="Batang" w:hAnsi="Times"/>
                <w:sz w:val="20"/>
                <w:szCs w:val="18"/>
                <w:lang w:val="en-US" w:eastAsia="en-US"/>
              </w:rPr>
              <w:t xml:space="preserve">For PUCCH repetition for Msg4 HARQ-ACK, </w:t>
            </w:r>
          </w:p>
          <w:p w14:paraId="2D2638DE" w14:textId="77777777" w:rsidR="00E46BAF" w:rsidRPr="00E46BAF" w:rsidRDefault="00E46BAF" w:rsidP="00E46BAF">
            <w:pPr>
              <w:numPr>
                <w:ilvl w:val="0"/>
                <w:numId w:val="14"/>
              </w:numPr>
              <w:snapToGrid/>
              <w:spacing w:after="0" w:afterAutospacing="0"/>
              <w:ind w:left="720"/>
              <w:jc w:val="left"/>
              <w:rPr>
                <w:rFonts w:ascii="Times" w:eastAsia="Batang" w:hAnsi="Times"/>
                <w:sz w:val="20"/>
                <w:szCs w:val="16"/>
                <w:lang w:val="en-US" w:eastAsia="en-US"/>
              </w:rPr>
            </w:pPr>
            <w:r w:rsidRPr="00E46BAF">
              <w:rPr>
                <w:rFonts w:ascii="Times" w:eastAsia="DengXian" w:hAnsi="Times"/>
                <w:sz w:val="20"/>
                <w:szCs w:val="16"/>
                <w:lang w:val="en-US" w:eastAsia="en-US"/>
              </w:rPr>
              <w:t>Two-state information is transmitted as ‘repetition request or capability report’ in the existing agreements/working assumptions.</w:t>
            </w:r>
          </w:p>
          <w:p w14:paraId="2E606614" w14:textId="77777777" w:rsidR="00E46BAF" w:rsidRPr="00E46BAF" w:rsidRDefault="00E46BAF" w:rsidP="00E46BAF">
            <w:pPr>
              <w:numPr>
                <w:ilvl w:val="1"/>
                <w:numId w:val="14"/>
              </w:numPr>
              <w:snapToGrid/>
              <w:spacing w:after="0" w:afterAutospacing="0"/>
              <w:ind w:left="1559" w:hanging="340"/>
              <w:jc w:val="left"/>
              <w:rPr>
                <w:rFonts w:ascii="Times" w:eastAsia="Batang" w:hAnsi="Times"/>
                <w:sz w:val="20"/>
                <w:szCs w:val="16"/>
                <w:lang w:val="en-US" w:eastAsia="en-US"/>
              </w:rPr>
            </w:pPr>
            <w:r w:rsidRPr="00E46BAF">
              <w:rPr>
                <w:rFonts w:ascii="Times" w:eastAsia="DengXian" w:hAnsi="Times"/>
                <w:sz w:val="20"/>
                <w:szCs w:val="16"/>
                <w:lang w:val="en-US" w:eastAsia="en-US"/>
              </w:rPr>
              <w:t>The two-state information represents state 1: ‘repetition request or capability report’ or state 2: no indication.</w:t>
            </w:r>
          </w:p>
          <w:p w14:paraId="4338E768" w14:textId="77777777" w:rsidR="00E46BAF" w:rsidRPr="00E46BAF" w:rsidRDefault="00E46BAF" w:rsidP="00E46BAF">
            <w:pPr>
              <w:numPr>
                <w:ilvl w:val="1"/>
                <w:numId w:val="14"/>
              </w:numPr>
              <w:snapToGrid/>
              <w:spacing w:after="0" w:afterAutospacing="0"/>
              <w:ind w:left="1559" w:hanging="340"/>
              <w:jc w:val="left"/>
              <w:rPr>
                <w:rFonts w:ascii="Times" w:eastAsia="Batang" w:hAnsi="Times"/>
                <w:sz w:val="20"/>
                <w:szCs w:val="16"/>
                <w:lang w:val="en-US" w:eastAsia="en-US"/>
              </w:rPr>
            </w:pPr>
            <w:r w:rsidRPr="00E46BAF">
              <w:rPr>
                <w:rFonts w:ascii="Times" w:eastAsia="DengXian" w:hAnsi="Times" w:hint="eastAsia"/>
                <w:sz w:val="20"/>
                <w:szCs w:val="16"/>
                <w:lang w:val="en-US" w:eastAsia="en-US"/>
              </w:rPr>
              <w:t>H</w:t>
            </w:r>
            <w:r w:rsidRPr="00E46BAF">
              <w:rPr>
                <w:rFonts w:ascii="Times" w:eastAsia="DengXian" w:hAnsi="Times"/>
                <w:sz w:val="20"/>
                <w:szCs w:val="16"/>
                <w:lang w:val="en-US" w:eastAsia="en-US"/>
              </w:rPr>
              <w:t>ow to transmit the two-state information is up to RAN2 when higher layer signaling is used for the transmission.</w:t>
            </w:r>
          </w:p>
          <w:p w14:paraId="791247F6" w14:textId="77777777" w:rsidR="00E46BAF" w:rsidRPr="00E46BAF" w:rsidRDefault="00E46BAF" w:rsidP="00E46BAF">
            <w:pPr>
              <w:numPr>
                <w:ilvl w:val="1"/>
                <w:numId w:val="14"/>
              </w:numPr>
              <w:snapToGrid/>
              <w:spacing w:after="0" w:afterAutospacing="0"/>
              <w:ind w:left="1559" w:hanging="340"/>
              <w:jc w:val="left"/>
              <w:rPr>
                <w:rFonts w:ascii="Times" w:eastAsia="Batang" w:hAnsi="Times"/>
                <w:sz w:val="20"/>
                <w:szCs w:val="16"/>
                <w:lang w:val="en-US" w:eastAsia="en-US"/>
              </w:rPr>
            </w:pPr>
            <w:r w:rsidRPr="00E46BAF">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2F7D4F6D" w14:textId="4F10F137" w:rsidR="00E46BAF" w:rsidRPr="000E514D" w:rsidRDefault="00E46BAF" w:rsidP="000E514D">
            <w:pPr>
              <w:numPr>
                <w:ilvl w:val="1"/>
                <w:numId w:val="14"/>
              </w:numPr>
              <w:snapToGrid/>
              <w:spacing w:after="0" w:afterAutospacing="0"/>
              <w:ind w:left="1559" w:hanging="340"/>
              <w:jc w:val="left"/>
              <w:rPr>
                <w:rFonts w:ascii="Times" w:eastAsia="Batang" w:hAnsi="Times"/>
                <w:sz w:val="20"/>
                <w:szCs w:val="16"/>
                <w:lang w:val="en-US" w:eastAsia="en-US"/>
              </w:rPr>
            </w:pPr>
            <w:r w:rsidRPr="00E46BAF">
              <w:rPr>
                <w:rFonts w:ascii="Times" w:eastAsia="DengXian" w:hAnsi="Times"/>
                <w:sz w:val="20"/>
                <w:szCs w:val="16"/>
                <w:lang w:val="en-US" w:eastAsia="en-US"/>
              </w:rPr>
              <w:t>Note: repetition request and capability report are defined as in the working assumption reached at RAN1#112.</w:t>
            </w:r>
          </w:p>
          <w:p w14:paraId="755CC5D0" w14:textId="77777777" w:rsidR="00E46BAF" w:rsidRPr="00A50414" w:rsidRDefault="00E46BAF" w:rsidP="00E46BAF">
            <w:pPr>
              <w:rPr>
                <w:b/>
                <w:szCs w:val="18"/>
                <w:lang w:val="en-US"/>
              </w:rPr>
            </w:pPr>
            <w:r w:rsidRPr="00A50414">
              <w:rPr>
                <w:b/>
                <w:szCs w:val="18"/>
                <w:highlight w:val="green"/>
                <w:lang w:val="en-US"/>
              </w:rPr>
              <w:t>Agreement</w:t>
            </w:r>
          </w:p>
          <w:p w14:paraId="031DA5C4" w14:textId="77777777" w:rsidR="00E46BAF" w:rsidRPr="00A50414" w:rsidRDefault="00E46BAF" w:rsidP="00E46BAF">
            <w:pPr>
              <w:rPr>
                <w:rFonts w:eastAsia="Gulim"/>
                <w:lang w:val="en-US"/>
              </w:rPr>
            </w:pPr>
            <w:r w:rsidRPr="00A50414">
              <w:rPr>
                <w:rFonts w:eastAsia="Gulim"/>
                <w:lang w:val="en-US"/>
              </w:rPr>
              <w:t>If PUCCH repetition discussed in R18 NR NTN coverage enhancement is supported for PUCCH transmission when dedicated PUCCH resource configuration is not provided:</w:t>
            </w:r>
          </w:p>
          <w:p w14:paraId="236D0494" w14:textId="77777777" w:rsidR="00E46BAF" w:rsidRPr="00A50414" w:rsidRDefault="00E46BAF" w:rsidP="00E46BAF">
            <w:pPr>
              <w:numPr>
                <w:ilvl w:val="0"/>
                <w:numId w:val="14"/>
              </w:numPr>
              <w:spacing w:after="0" w:afterAutospacing="0"/>
              <w:ind w:left="720"/>
              <w:jc w:val="left"/>
              <w:rPr>
                <w:rFonts w:eastAsia="Gulim"/>
                <w:lang w:val="en-US"/>
              </w:rPr>
            </w:pPr>
            <w:r w:rsidRPr="00A50414">
              <w:rPr>
                <w:rFonts w:eastAsia="Gulim"/>
                <w:lang w:val="en-US"/>
              </w:rPr>
              <w:t>The agreements and working assumptions for PUCCH for Msg4 HARQ-ACK are applied to any PUCCH transmission by using common PUCCH resource</w:t>
            </w:r>
          </w:p>
          <w:p w14:paraId="28557A56" w14:textId="77777777" w:rsidR="00E46BAF" w:rsidRPr="00A50414" w:rsidRDefault="00E46BAF" w:rsidP="00E46BAF">
            <w:pPr>
              <w:numPr>
                <w:ilvl w:val="0"/>
                <w:numId w:val="14"/>
              </w:numPr>
              <w:spacing w:after="0" w:afterAutospacing="0"/>
              <w:ind w:left="720"/>
              <w:jc w:val="left"/>
              <w:rPr>
                <w:rFonts w:eastAsia="Gulim"/>
                <w:lang w:val="en-US"/>
              </w:rPr>
            </w:pPr>
            <w:r w:rsidRPr="00A50414">
              <w:rPr>
                <w:rFonts w:eastAsia="DengXian"/>
                <w:lang w:val="en-US"/>
              </w:rPr>
              <w:t xml:space="preserve">The same repetition factor is applied for </w:t>
            </w:r>
            <w:r w:rsidRPr="00A50414">
              <w:rPr>
                <w:rFonts w:eastAsia="Gulim"/>
                <w:lang w:val="en-US"/>
              </w:rPr>
              <w:t>PUCCH for Msg4 HARQ-ACK and subsequent PUCCH transmissions by using common PUCCH resource</w:t>
            </w:r>
          </w:p>
          <w:p w14:paraId="33D47801" w14:textId="77777777" w:rsidR="00E46BAF" w:rsidRDefault="00E46BAF" w:rsidP="00E46BAF">
            <w:pPr>
              <w:rPr>
                <w:rFonts w:eastAsia="DengXian"/>
                <w:lang w:val="en-US"/>
              </w:rPr>
            </w:pPr>
            <w:r w:rsidRPr="00A50414">
              <w:rPr>
                <w:rFonts w:eastAsia="DengXian" w:hint="eastAsia"/>
                <w:lang w:val="en-US"/>
              </w:rPr>
              <w:t>N</w:t>
            </w:r>
            <w:r w:rsidRPr="00A50414">
              <w:rPr>
                <w:rFonts w:eastAsia="DengXian"/>
                <w:lang w:val="en-US"/>
              </w:rPr>
              <w:t>ote: It is not precluded for gNB to provide dedicated PUCCH config via Msg4 PDSCH.</w:t>
            </w:r>
          </w:p>
          <w:p w14:paraId="790C8CE3" w14:textId="77777777" w:rsidR="00E46BAF" w:rsidRDefault="00E46BAF" w:rsidP="00E46BAF">
            <w:pPr>
              <w:rPr>
                <w:b/>
                <w:szCs w:val="14"/>
                <w:lang w:eastAsia="zh-CN"/>
              </w:rPr>
            </w:pPr>
            <w:r w:rsidRPr="002B48F3">
              <w:rPr>
                <w:b/>
                <w:szCs w:val="14"/>
                <w:highlight w:val="green"/>
                <w:lang w:eastAsia="zh-CN"/>
              </w:rPr>
              <w:t>Agreement</w:t>
            </w:r>
          </w:p>
          <w:p w14:paraId="7185C817" w14:textId="77777777" w:rsidR="00E46BAF" w:rsidRPr="002B48F3" w:rsidRDefault="00E46BAF" w:rsidP="00E46BAF">
            <w:pPr>
              <w:rPr>
                <w:szCs w:val="18"/>
                <w:lang w:val="en-US"/>
              </w:rPr>
            </w:pPr>
            <w:r w:rsidRPr="002B48F3">
              <w:rPr>
                <w:szCs w:val="18"/>
                <w:lang w:val="en-US"/>
              </w:rPr>
              <w:t xml:space="preserve">For PUCCH repetition for Msg4 HARQ-ACK, </w:t>
            </w:r>
          </w:p>
          <w:p w14:paraId="3459FC4A" w14:textId="77777777" w:rsidR="00E46BAF" w:rsidRPr="00FF1CE5" w:rsidRDefault="00E46BAF" w:rsidP="00E46BAF">
            <w:pPr>
              <w:numPr>
                <w:ilvl w:val="0"/>
                <w:numId w:val="14"/>
              </w:numPr>
              <w:spacing w:after="0" w:afterAutospacing="0"/>
              <w:ind w:left="720"/>
              <w:jc w:val="left"/>
              <w:rPr>
                <w:szCs w:val="16"/>
                <w:lang w:val="en-US"/>
              </w:rPr>
            </w:pPr>
            <w:r w:rsidRPr="00FF1CE5">
              <w:rPr>
                <w:szCs w:val="16"/>
                <w:lang w:val="en-US"/>
              </w:rPr>
              <w:t>Support Alt 1-1d for dynamic indication of repetition factor:</w:t>
            </w:r>
          </w:p>
          <w:p w14:paraId="7B3065F1" w14:textId="77777777" w:rsidR="00E46BAF" w:rsidRPr="00FF1CE5" w:rsidRDefault="00E46BAF" w:rsidP="00E46BAF">
            <w:pPr>
              <w:numPr>
                <w:ilvl w:val="1"/>
                <w:numId w:val="14"/>
              </w:numPr>
              <w:spacing w:after="0" w:afterAutospacing="0"/>
              <w:jc w:val="left"/>
              <w:rPr>
                <w:szCs w:val="16"/>
                <w:lang w:val="en-US"/>
              </w:rPr>
            </w:pPr>
            <w:r w:rsidRPr="00FF1CE5">
              <w:rPr>
                <w:szCs w:val="16"/>
                <w:lang w:val="en-US"/>
              </w:rPr>
              <w:t>Alt 1-1d: DAI field</w:t>
            </w:r>
          </w:p>
          <w:p w14:paraId="281CD109" w14:textId="0AC3BE33" w:rsidR="00E46BAF" w:rsidRPr="000E514D" w:rsidRDefault="00E46BAF" w:rsidP="00E46BAF">
            <w:pPr>
              <w:rPr>
                <w:lang w:val="en-US"/>
              </w:rPr>
            </w:pPr>
            <w:r w:rsidRPr="002B48F3">
              <w:rPr>
                <w:rFonts w:eastAsia="DengXian"/>
                <w:szCs w:val="16"/>
                <w:lang w:val="en-US"/>
              </w:rPr>
              <w:t>DAI field in DCI format 1_0 with CRC scrambled by TC-RNTI is used for indication.</w:t>
            </w:r>
          </w:p>
        </w:tc>
      </w:tr>
    </w:tbl>
    <w:p w14:paraId="77C20D4F" w14:textId="77777777" w:rsidR="00E46BAF" w:rsidRDefault="00E46BAF" w:rsidP="00AE4583">
      <w:pPr>
        <w:rPr>
          <w:lang w:val="en-US"/>
        </w:rPr>
      </w:pPr>
    </w:p>
    <w:p w14:paraId="7BE4BE9D" w14:textId="46AC6733" w:rsidR="009A20D7" w:rsidRPr="009A20D7" w:rsidRDefault="009A20D7" w:rsidP="009A20D7">
      <w:pPr>
        <w:rPr>
          <w:lang w:val="en-US"/>
        </w:rPr>
      </w:pPr>
      <w:r w:rsidRPr="009A20D7">
        <w:rPr>
          <w:lang w:val="en-US"/>
        </w:rPr>
        <w:t xml:space="preserve">The general framework had been </w:t>
      </w:r>
      <w:r>
        <w:rPr>
          <w:lang w:val="en-US"/>
        </w:rPr>
        <w:t>agreed</w:t>
      </w:r>
      <w:r w:rsidRPr="009A20D7">
        <w:rPr>
          <w:lang w:val="en-US"/>
        </w:rPr>
        <w:t xml:space="preserve"> by the last meeting.</w:t>
      </w:r>
    </w:p>
    <w:p w14:paraId="7549648E" w14:textId="7913C388" w:rsidR="009A20D7" w:rsidRDefault="009A20D7" w:rsidP="0002714A">
      <w:pPr>
        <w:rPr>
          <w:lang w:val="en-US"/>
        </w:rPr>
      </w:pPr>
      <w:r>
        <w:rPr>
          <w:lang w:val="en-US"/>
        </w:rPr>
        <w:t>In</w:t>
      </w:r>
      <w:r w:rsidRPr="009A20D7">
        <w:rPr>
          <w:lang w:val="en-US"/>
        </w:rPr>
        <w:t xml:space="preserve"> the </w:t>
      </w:r>
      <w:r>
        <w:rPr>
          <w:lang w:val="en-US"/>
        </w:rPr>
        <w:t>legacy</w:t>
      </w:r>
      <w:r w:rsidRPr="009A20D7">
        <w:rPr>
          <w:lang w:val="en-US"/>
        </w:rPr>
        <w:t xml:space="preserve"> specification, </w:t>
      </w:r>
      <w:r>
        <w:rPr>
          <w:lang w:val="en-US"/>
        </w:rPr>
        <w:t xml:space="preserve">dedicated </w:t>
      </w:r>
      <w:r w:rsidRPr="009A20D7">
        <w:rPr>
          <w:lang w:val="en-US"/>
        </w:rPr>
        <w:t xml:space="preserve">PUCCH repetition applies only </w:t>
      </w:r>
      <w:r>
        <w:rPr>
          <w:lang w:val="en-US"/>
        </w:rPr>
        <w:t>for PUCCH</w:t>
      </w:r>
      <w:r w:rsidRPr="009A20D7">
        <w:rPr>
          <w:lang w:val="en-US"/>
        </w:rPr>
        <w:t xml:space="preserve"> format 1, 3, and 4. Therefore, PUCCH</w:t>
      </w:r>
      <w:r>
        <w:rPr>
          <w:lang w:val="en-US"/>
        </w:rPr>
        <w:t xml:space="preserve"> repetition</w:t>
      </w:r>
      <w:r w:rsidRPr="009A20D7">
        <w:rPr>
          <w:lang w:val="en-US"/>
        </w:rPr>
        <w:t xml:space="preserve"> for Msg4 HARQ-ACK should </w:t>
      </w:r>
      <w:r>
        <w:rPr>
          <w:lang w:val="en-US"/>
        </w:rPr>
        <w:t>apply for only</w:t>
      </w:r>
      <w:r w:rsidRPr="009A20D7">
        <w:rPr>
          <w:lang w:val="en-US"/>
        </w:rPr>
        <w:t xml:space="preserve"> </w:t>
      </w:r>
      <w:r>
        <w:rPr>
          <w:lang w:val="en-US"/>
        </w:rPr>
        <w:t>PUCCH format 1, not for PUCCH format 0.</w:t>
      </w:r>
    </w:p>
    <w:p w14:paraId="5C63F8EC" w14:textId="28ED7EE1" w:rsidR="005501A4" w:rsidRPr="005501A4" w:rsidRDefault="009A20D7" w:rsidP="0002714A">
      <w:pPr>
        <w:rPr>
          <w:lang w:val="en-US"/>
        </w:rPr>
      </w:pPr>
      <w:r w:rsidRPr="000E514D">
        <w:rPr>
          <w:b/>
          <w:u w:val="single"/>
          <w:lang w:val="en-US"/>
        </w:rPr>
        <w:t>Proposal 6:</w:t>
      </w:r>
      <w:r>
        <w:rPr>
          <w:lang w:val="en-US"/>
        </w:rPr>
        <w:t xml:space="preserve"> PUCCH repetition for Msg4 HARQ-ACK is supported for only P</w:t>
      </w:r>
      <w:r w:rsidR="003767B1">
        <w:rPr>
          <w:rFonts w:hint="eastAsia"/>
          <w:lang w:val="en-US"/>
        </w:rPr>
        <w:t>U</w:t>
      </w:r>
      <w:r>
        <w:rPr>
          <w:lang w:val="en-US"/>
        </w:rPr>
        <w:t>CCH format 1</w:t>
      </w:r>
      <w:r w:rsidR="003767B1">
        <w:rPr>
          <w:lang w:val="en-US"/>
        </w:rPr>
        <w:t xml:space="preserve"> (i.e., PUCCH format 0 does not support </w:t>
      </w:r>
      <w:r w:rsidR="003767B1">
        <w:rPr>
          <w:lang w:val="en-US"/>
        </w:rPr>
        <w:t>Msg4 HARQ-ACK</w:t>
      </w:r>
      <w:r w:rsidR="003767B1">
        <w:rPr>
          <w:lang w:val="en-US"/>
        </w:rPr>
        <w:t xml:space="preserve"> transmission with repetition)</w:t>
      </w:r>
      <w:r w:rsidRPr="009A20D7">
        <w:rPr>
          <w:lang w:val="en-US"/>
        </w:rPr>
        <w:t>.</w:t>
      </w:r>
    </w:p>
    <w:p w14:paraId="304EFE3C" w14:textId="77777777" w:rsidR="00B9034B" w:rsidRPr="00B9034B" w:rsidRDefault="00B9034B" w:rsidP="0002714A">
      <w:pPr>
        <w:rPr>
          <w:lang w:val="en-US"/>
        </w:rPr>
      </w:pP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t>Conclusion</w:t>
      </w:r>
    </w:p>
    <w:p w14:paraId="01F2AB2D" w14:textId="78C3A86F" w:rsidR="004E3CD9" w:rsidRPr="004E3CD9" w:rsidRDefault="004E3CD9" w:rsidP="004E3CD9">
      <w:pPr>
        <w:rPr>
          <w:lang w:val="en-US"/>
        </w:rPr>
      </w:pPr>
      <w:r>
        <w:rPr>
          <w:rFonts w:hint="eastAsia"/>
          <w:lang w:val="en-US"/>
        </w:rPr>
        <w:t>I</w:t>
      </w:r>
      <w:r>
        <w:rPr>
          <w:lang w:val="en-US"/>
        </w:rPr>
        <w:t>n this contribution, we have the following proposals and observations:</w:t>
      </w:r>
    </w:p>
    <w:bookmarkEnd w:id="4"/>
    <w:p w14:paraId="5F86C0E9" w14:textId="77777777" w:rsidR="00E166B0" w:rsidRDefault="00E166B0" w:rsidP="00E166B0">
      <w:pPr>
        <w:spacing w:after="0" w:afterAutospacing="0"/>
        <w:rPr>
          <w:lang w:val="en-US"/>
        </w:rPr>
      </w:pPr>
      <w:r w:rsidRPr="00BB7326">
        <w:rPr>
          <w:b/>
          <w:u w:val="single"/>
          <w:lang w:val="en-US"/>
        </w:rPr>
        <w:t>Observation</w:t>
      </w:r>
      <w:r>
        <w:rPr>
          <w:b/>
          <w:u w:val="single"/>
          <w:lang w:val="en-US"/>
        </w:rPr>
        <w:t xml:space="preserve"> 1</w:t>
      </w:r>
      <w:r w:rsidRPr="00BB7326">
        <w:rPr>
          <w:b/>
          <w:u w:val="single"/>
          <w:lang w:val="en-US"/>
        </w:rPr>
        <w:t>:</w:t>
      </w:r>
      <w:r>
        <w:rPr>
          <w:lang w:val="en-US"/>
        </w:rPr>
        <w:t xml:space="preserve"> For Rel-15/16/17 TA adjustment, the specifications have been specified the following ways:</w:t>
      </w:r>
    </w:p>
    <w:p w14:paraId="4FA381DC" w14:textId="77777777" w:rsidR="00E166B0" w:rsidRDefault="00E166B0" w:rsidP="00E166B0">
      <w:pPr>
        <w:pStyle w:val="aff9"/>
        <w:numPr>
          <w:ilvl w:val="0"/>
          <w:numId w:val="22"/>
        </w:numPr>
        <w:spacing w:after="0" w:afterAutospacing="0"/>
        <w:ind w:firstLineChars="0"/>
        <w:rPr>
          <w:lang w:val="en-US"/>
        </w:rPr>
      </w:pPr>
      <w:r>
        <w:rPr>
          <w:lang w:val="en-US"/>
        </w:rPr>
        <w:t>adjustment by TA command indicated by gNB.</w:t>
      </w:r>
    </w:p>
    <w:p w14:paraId="4EB9BF3F" w14:textId="77777777" w:rsidR="00E166B0" w:rsidRPr="00A42DC3" w:rsidRDefault="00E166B0" w:rsidP="00E166B0">
      <w:pPr>
        <w:pStyle w:val="aff9"/>
        <w:numPr>
          <w:ilvl w:val="0"/>
          <w:numId w:val="22"/>
        </w:numPr>
        <w:spacing w:after="240" w:afterAutospacing="0"/>
        <w:ind w:firstLineChars="0"/>
        <w:rPr>
          <w:lang w:val="en-US"/>
        </w:rPr>
      </w:pPr>
      <w:r>
        <w:rPr>
          <w:lang w:val="en-US"/>
        </w:rPr>
        <w:t>UE autonomous timing adjustment due to change of downlink receiving timing.</w:t>
      </w:r>
    </w:p>
    <w:p w14:paraId="46EAA40F" w14:textId="77777777" w:rsidR="00E166B0" w:rsidRPr="0092786E" w:rsidRDefault="00E166B0" w:rsidP="00E166B0">
      <w:pPr>
        <w:spacing w:after="240" w:afterAutospacing="0"/>
        <w:rPr>
          <w:u w:val="single"/>
          <w:lang w:val="en-US"/>
        </w:rPr>
      </w:pPr>
      <w:r w:rsidRPr="00BB7326">
        <w:rPr>
          <w:b/>
          <w:u w:val="single"/>
          <w:lang w:val="en-US"/>
        </w:rPr>
        <w:t>Observation</w:t>
      </w:r>
      <w:r>
        <w:rPr>
          <w:b/>
          <w:u w:val="single"/>
          <w:lang w:val="en-US"/>
        </w:rPr>
        <w:t xml:space="preserve"> 2</w:t>
      </w:r>
      <w:r w:rsidRPr="00BB7326">
        <w:rPr>
          <w:b/>
          <w:u w:val="single"/>
          <w:lang w:val="en-US"/>
        </w:rPr>
        <w:t>:</w:t>
      </w:r>
      <w:r>
        <w:rPr>
          <w:lang w:val="en-US"/>
        </w:rPr>
        <w:t xml:space="preserve"> The gNB is not aware of when the UE performs UE autonomous timing adjustment.</w:t>
      </w:r>
    </w:p>
    <w:p w14:paraId="4F558613" w14:textId="77777777" w:rsidR="00E166B0" w:rsidRDefault="00E166B0" w:rsidP="00E166B0">
      <w:pPr>
        <w:spacing w:after="240" w:afterAutospacing="0"/>
        <w:rPr>
          <w:lang w:val="en-US"/>
        </w:rPr>
      </w:pPr>
      <w:r w:rsidRPr="00BB7326">
        <w:rPr>
          <w:b/>
          <w:u w:val="single"/>
          <w:lang w:val="en-US"/>
        </w:rPr>
        <w:t>Observation</w:t>
      </w:r>
      <w:r>
        <w:rPr>
          <w:b/>
          <w:u w:val="single"/>
          <w:lang w:val="en-US"/>
        </w:rPr>
        <w:t xml:space="preserve"> 3</w:t>
      </w:r>
      <w:r w:rsidRPr="00BB7326">
        <w:rPr>
          <w:b/>
          <w:u w:val="single"/>
          <w:lang w:val="en-US"/>
        </w:rPr>
        <w:t>:</w:t>
      </w:r>
      <w:r>
        <w:rPr>
          <w:lang w:val="en-US"/>
        </w:rPr>
        <w:t xml:space="preserve"> For Rel-17 PUSCH DMRS bundling, specifications are not describing whether/when UE autonomous TA adjustment is allowed or prohibited. The specifications specify only requirements of power consistency and phase continuity within an actual TDW.</w:t>
      </w:r>
    </w:p>
    <w:p w14:paraId="1F057307" w14:textId="77777777" w:rsidR="00E166B0" w:rsidRPr="00020C96" w:rsidRDefault="00E166B0" w:rsidP="00E166B0">
      <w:pPr>
        <w:spacing w:after="240" w:afterAutospacing="0"/>
        <w:rPr>
          <w:lang w:val="en-US"/>
        </w:rPr>
      </w:pPr>
      <w:r w:rsidRPr="00BB7326">
        <w:rPr>
          <w:b/>
          <w:u w:val="single"/>
          <w:lang w:val="en-US"/>
        </w:rPr>
        <w:t>Proposal</w:t>
      </w:r>
      <w:r>
        <w:rPr>
          <w:b/>
          <w:u w:val="single"/>
          <w:lang w:val="en-US"/>
        </w:rPr>
        <w:t xml:space="preserve"> 1</w:t>
      </w:r>
      <w:r w:rsidRPr="00BB7326">
        <w:rPr>
          <w:b/>
          <w:u w:val="single"/>
          <w:lang w:val="en-US"/>
        </w:rPr>
        <w:t>:</w:t>
      </w:r>
      <w:r>
        <w:rPr>
          <w:lang w:val="en-US"/>
        </w:rPr>
        <w:t xml:space="preserve"> For Rel-18 NTN PUSCH DMRS bundling specification, restriction of UE autonomous TA pre-compensation timing does not need to be explicitly specified.</w:t>
      </w:r>
    </w:p>
    <w:p w14:paraId="08FDD227" w14:textId="77777777" w:rsidR="00E166B0" w:rsidRPr="00CE37E5" w:rsidRDefault="00E166B0" w:rsidP="00E166B0">
      <w:pPr>
        <w:spacing w:after="240" w:afterAutospacing="0"/>
        <w:rPr>
          <w:lang w:val="en-US"/>
        </w:rPr>
      </w:pPr>
      <w:r w:rsidRPr="00B9320C">
        <w:rPr>
          <w:b/>
          <w:u w:val="single"/>
          <w:lang w:val="en-US"/>
        </w:rPr>
        <w:t>Observation</w:t>
      </w:r>
      <w:r>
        <w:rPr>
          <w:b/>
          <w:u w:val="single"/>
          <w:lang w:val="en-US"/>
        </w:rPr>
        <w:t xml:space="preserve"> 4</w:t>
      </w:r>
      <w:r w:rsidRPr="00B9320C">
        <w:rPr>
          <w:b/>
          <w:u w:val="single"/>
          <w:lang w:val="en-US"/>
        </w:rPr>
        <w:t>:</w:t>
      </w:r>
      <w:r>
        <w:rPr>
          <w:lang w:val="en-US"/>
        </w:rPr>
        <w:t xml:space="preserve"> For Rel-17 PUSCH DMRS bundling, uplink timing adjustment in response to a TA command is specified as an event.</w:t>
      </w:r>
    </w:p>
    <w:p w14:paraId="5472FA1E" w14:textId="5C68CD49" w:rsidR="00E166B0" w:rsidRDefault="00E166B0" w:rsidP="00E166B0">
      <w:pPr>
        <w:spacing w:after="240" w:afterAutospacing="0"/>
        <w:rPr>
          <w:lang w:val="en-US"/>
        </w:rPr>
      </w:pPr>
      <w:r>
        <w:rPr>
          <w:b/>
          <w:u w:val="single"/>
          <w:lang w:val="en-US"/>
        </w:rPr>
        <w:t>Observation 5</w:t>
      </w:r>
      <w:r w:rsidRPr="00E66A45">
        <w:rPr>
          <w:b/>
          <w:u w:val="single"/>
          <w:lang w:val="en-US"/>
        </w:rPr>
        <w:t>:</w:t>
      </w:r>
      <w:r>
        <w:rPr>
          <w:lang w:val="en-US"/>
        </w:rPr>
        <w:t xml:space="preserve"> </w:t>
      </w:r>
      <w:r>
        <w:rPr>
          <w:rFonts w:hint="eastAsia"/>
          <w:lang w:val="en-US"/>
        </w:rPr>
        <w:t>A</w:t>
      </w:r>
      <w:r>
        <w:rPr>
          <w:lang w:val="en-US"/>
        </w:rPr>
        <w:t xml:space="preserve"> gNB can reuse the existing TA command based dynamic event, so as to inform the UE of the boundary across which the gNB does not combine DMRS </w:t>
      </w:r>
      <w:r>
        <w:rPr>
          <w:rFonts w:hint="eastAsia"/>
          <w:lang w:val="en-US"/>
        </w:rPr>
        <w:t>(</w:t>
      </w:r>
      <w:r>
        <w:rPr>
          <w:lang w:val="en-US"/>
        </w:rPr>
        <w:t>i.e. potential TA pre-compensation timing).</w:t>
      </w:r>
    </w:p>
    <w:p w14:paraId="59F242CA" w14:textId="77777777" w:rsidR="00E166B0" w:rsidRDefault="00E166B0" w:rsidP="00E166B0">
      <w:pPr>
        <w:spacing w:after="240" w:afterAutospacing="0"/>
        <w:rPr>
          <w:lang w:val="en-US"/>
        </w:rPr>
      </w:pPr>
      <w:r w:rsidRPr="00E66A45">
        <w:rPr>
          <w:b/>
          <w:u w:val="single"/>
          <w:lang w:val="en-US"/>
        </w:rPr>
        <w:t>Proposal</w:t>
      </w:r>
      <w:r>
        <w:rPr>
          <w:b/>
          <w:u w:val="single"/>
          <w:lang w:val="en-US"/>
        </w:rPr>
        <w:t xml:space="preserve"> 2</w:t>
      </w:r>
      <w:r w:rsidRPr="00E66A45">
        <w:rPr>
          <w:b/>
          <w:u w:val="single"/>
          <w:lang w:val="en-US"/>
        </w:rPr>
        <w:t>:</w:t>
      </w:r>
      <w:r>
        <w:rPr>
          <w:lang w:val="en-US"/>
        </w:rPr>
        <w:t xml:space="preserve"> For Rel-18 NTN PUSCH DMRS bundling, additional event for </w:t>
      </w:r>
      <w:r>
        <w:rPr>
          <w:rFonts w:hint="eastAsia"/>
          <w:lang w:val="en-US"/>
        </w:rPr>
        <w:t xml:space="preserve">TA </w:t>
      </w:r>
      <w:r>
        <w:rPr>
          <w:lang w:val="en-US"/>
        </w:rPr>
        <w:t>pre-compensation timing is not necessary.</w:t>
      </w:r>
    </w:p>
    <w:p w14:paraId="05A1A0AD" w14:textId="77777777" w:rsidR="00E11887" w:rsidRPr="0021010B" w:rsidRDefault="00E11887" w:rsidP="00E11887">
      <w:pPr>
        <w:rPr>
          <w:lang w:val="en-US"/>
        </w:rPr>
      </w:pPr>
      <w:r w:rsidRPr="000237E0">
        <w:rPr>
          <w:b/>
          <w:u w:val="single"/>
          <w:lang w:val="en-US"/>
        </w:rPr>
        <w:t>Observation</w:t>
      </w:r>
      <w:r>
        <w:rPr>
          <w:b/>
          <w:u w:val="single"/>
          <w:lang w:val="en-US"/>
        </w:rPr>
        <w:t xml:space="preserve"> 6</w:t>
      </w:r>
      <w:r w:rsidRPr="000237E0">
        <w:rPr>
          <w:b/>
          <w:u w:val="single"/>
          <w:lang w:val="en-US"/>
        </w:rPr>
        <w:t>:</w:t>
      </w:r>
      <w:r>
        <w:rPr>
          <w:lang w:val="en-US"/>
        </w:rPr>
        <w:t xml:space="preserve"> According to the past RAN4 discussion, transparent antenna switching requires a UE to support implementation for Power Class 2 and UL MIMO.</w:t>
      </w:r>
    </w:p>
    <w:p w14:paraId="61D42FF4" w14:textId="77777777" w:rsidR="00E11887" w:rsidRDefault="00E11887" w:rsidP="00E11887">
      <w:pPr>
        <w:rPr>
          <w:lang w:val="en-US"/>
        </w:rPr>
      </w:pPr>
      <w:r w:rsidRPr="00BB7326">
        <w:rPr>
          <w:b/>
          <w:u w:val="single"/>
          <w:lang w:val="en-US"/>
        </w:rPr>
        <w:t>Observation</w:t>
      </w:r>
      <w:r>
        <w:rPr>
          <w:b/>
          <w:u w:val="single"/>
          <w:lang w:val="en-US"/>
        </w:rPr>
        <w:t xml:space="preserve"> 7</w:t>
      </w:r>
      <w:r w:rsidRPr="00BB7326">
        <w:rPr>
          <w:b/>
          <w:u w:val="single"/>
          <w:lang w:val="en-US"/>
        </w:rPr>
        <w:t>:</w:t>
      </w:r>
      <w:r>
        <w:rPr>
          <w:lang w:val="en-US"/>
        </w:rPr>
        <w:t xml:space="preserve"> RAN4 </w:t>
      </w:r>
      <w:r>
        <w:rPr>
          <w:rFonts w:hint="eastAsia"/>
          <w:lang w:val="en-US"/>
        </w:rPr>
        <w:t>h</w:t>
      </w:r>
      <w:r>
        <w:rPr>
          <w:lang w:val="en-US"/>
        </w:rPr>
        <w:t xml:space="preserve">as not discussed to support the separate requirement for </w:t>
      </w:r>
      <w:proofErr w:type="spellStart"/>
      <w:r>
        <w:rPr>
          <w:lang w:val="en-US"/>
        </w:rPr>
        <w:t>TxD</w:t>
      </w:r>
      <w:proofErr w:type="spellEnd"/>
      <w:r>
        <w:rPr>
          <w:lang w:val="en-US"/>
        </w:rPr>
        <w:t xml:space="preserve"> in Rel-18.</w:t>
      </w:r>
    </w:p>
    <w:p w14:paraId="24408C78" w14:textId="77777777" w:rsidR="00E11887" w:rsidRDefault="00E11887" w:rsidP="00E11887">
      <w:pPr>
        <w:rPr>
          <w:lang w:val="en-US"/>
        </w:rPr>
      </w:pPr>
      <w:r w:rsidRPr="00E66A45">
        <w:rPr>
          <w:b/>
          <w:u w:val="single"/>
          <w:lang w:val="en-US"/>
        </w:rPr>
        <w:t>Proposal</w:t>
      </w:r>
      <w:r>
        <w:rPr>
          <w:b/>
          <w:u w:val="single"/>
          <w:lang w:val="en-US"/>
        </w:rPr>
        <w:t xml:space="preserve"> 3</w:t>
      </w:r>
      <w:r w:rsidRPr="00E66A45">
        <w:rPr>
          <w:b/>
          <w:u w:val="single"/>
          <w:lang w:val="en-US"/>
        </w:rPr>
        <w:t>:</w:t>
      </w:r>
      <w:r w:rsidRPr="00BB7326">
        <w:rPr>
          <w:lang w:val="en-US"/>
        </w:rPr>
        <w:t xml:space="preserve"> </w:t>
      </w:r>
      <w:r>
        <w:rPr>
          <w:lang w:val="en-US"/>
        </w:rPr>
        <w:t>For NTN PUSCH DMRS bundling, antenna switching is not specified in RAN1.</w:t>
      </w:r>
    </w:p>
    <w:p w14:paraId="5B598F7D" w14:textId="77777777" w:rsidR="00E11887" w:rsidRPr="0010248B" w:rsidRDefault="00E11887" w:rsidP="00E11887">
      <w:pPr>
        <w:rPr>
          <w:lang w:val="en-US"/>
        </w:rPr>
      </w:pPr>
      <w:r w:rsidRPr="00E66A45">
        <w:rPr>
          <w:b/>
          <w:u w:val="single"/>
          <w:lang w:val="en-US"/>
        </w:rPr>
        <w:t>Proposal</w:t>
      </w:r>
      <w:r>
        <w:rPr>
          <w:b/>
          <w:u w:val="single"/>
          <w:lang w:val="en-US"/>
        </w:rPr>
        <w:t xml:space="preserve"> 4</w:t>
      </w:r>
      <w:r w:rsidRPr="00E66A45">
        <w:rPr>
          <w:b/>
          <w:u w:val="single"/>
          <w:lang w:val="en-US"/>
        </w:rPr>
        <w:t>:</w:t>
      </w:r>
      <w:r w:rsidRPr="000237E0">
        <w:rPr>
          <w:lang w:val="en-US"/>
        </w:rPr>
        <w:t xml:space="preserve"> </w:t>
      </w:r>
      <w:r>
        <w:rPr>
          <w:lang w:val="en-US"/>
        </w:rPr>
        <w:t>For NTN PUSCH DMRS bundling, the new event based on antenna switching is not needed.</w:t>
      </w:r>
    </w:p>
    <w:p w14:paraId="47E11C4C" w14:textId="77777777" w:rsidR="00E11887" w:rsidRDefault="00E11887" w:rsidP="00E11887">
      <w:pPr>
        <w:rPr>
          <w:lang w:val="en-US"/>
        </w:rPr>
      </w:pPr>
      <w:r w:rsidRPr="00DA26E8">
        <w:rPr>
          <w:b/>
          <w:u w:val="single"/>
          <w:lang w:val="en-US"/>
        </w:rPr>
        <w:t>Observation 8:</w:t>
      </w:r>
      <w:r>
        <w:rPr>
          <w:lang w:val="en-US"/>
        </w:rPr>
        <w:t xml:space="preserve"> For given NTN band, DMRS bundling with GSO may not require phase pre-compensation, while DMRS bundling with NGSO requires phase pre-compensation. </w:t>
      </w:r>
    </w:p>
    <w:p w14:paraId="220761F5" w14:textId="77777777" w:rsidR="00E11887" w:rsidRPr="004A7462" w:rsidRDefault="00E11887" w:rsidP="00E11887">
      <w:pPr>
        <w:rPr>
          <w:lang w:val="en-US"/>
        </w:rPr>
      </w:pPr>
      <w:r w:rsidRPr="00A33932">
        <w:rPr>
          <w:rFonts w:hint="eastAsia"/>
          <w:b/>
          <w:u w:val="single"/>
          <w:lang w:val="en-US"/>
        </w:rPr>
        <w:t>O</w:t>
      </w:r>
      <w:r w:rsidRPr="00A33932">
        <w:rPr>
          <w:b/>
          <w:u w:val="single"/>
          <w:lang w:val="en-US"/>
        </w:rPr>
        <w:t>bservation 9:</w:t>
      </w:r>
      <w:r>
        <w:rPr>
          <w:lang w:val="en-US"/>
        </w:rPr>
        <w:t xml:space="preserve"> </w:t>
      </w:r>
      <w:r w:rsidRPr="007618B8">
        <w:rPr>
          <w:lang w:val="en-US"/>
        </w:rPr>
        <w:t xml:space="preserve">For Option 1a/1b, </w:t>
      </w:r>
      <w:r>
        <w:rPr>
          <w:lang w:val="en-US"/>
        </w:rPr>
        <w:t>the UE may report max TDW size based on phase pre-compensation due to high timing drift rate even when using GSO for NTN bands.</w:t>
      </w:r>
    </w:p>
    <w:p w14:paraId="48FC931F" w14:textId="77777777" w:rsidR="009E324D" w:rsidRPr="00440A81" w:rsidRDefault="009E324D" w:rsidP="009E324D">
      <w:pPr>
        <w:rPr>
          <w:lang w:val="en-US"/>
        </w:rPr>
      </w:pPr>
      <w:r w:rsidRPr="00A33932">
        <w:rPr>
          <w:rFonts w:hint="eastAsia"/>
          <w:b/>
          <w:u w:val="single"/>
          <w:lang w:val="en-US"/>
        </w:rPr>
        <w:t>O</w:t>
      </w:r>
      <w:r w:rsidRPr="00A33932">
        <w:rPr>
          <w:b/>
          <w:u w:val="single"/>
          <w:lang w:val="en-US"/>
        </w:rPr>
        <w:t>bservation 1</w:t>
      </w:r>
      <w:r>
        <w:rPr>
          <w:b/>
          <w:u w:val="single"/>
          <w:lang w:val="en-US"/>
        </w:rPr>
        <w:t>0</w:t>
      </w:r>
      <w:r w:rsidRPr="00A33932">
        <w:rPr>
          <w:b/>
          <w:u w:val="single"/>
          <w:lang w:val="en-US"/>
        </w:rPr>
        <w:t>:</w:t>
      </w:r>
      <w:r>
        <w:rPr>
          <w:rFonts w:hint="eastAsia"/>
          <w:lang w:val="en-US"/>
        </w:rPr>
        <w:t xml:space="preserve"> </w:t>
      </w:r>
      <w:r>
        <w:rPr>
          <w:lang w:val="en-US"/>
        </w:rPr>
        <w:t xml:space="preserve">Option 1e allows the UE to </w:t>
      </w:r>
      <w:r w:rsidRPr="00556E4A">
        <w:rPr>
          <w:lang w:val="en-US"/>
        </w:rPr>
        <w:t xml:space="preserve">report a max TDW that is longer when </w:t>
      </w:r>
      <w:r>
        <w:rPr>
          <w:lang w:val="en-US"/>
        </w:rPr>
        <w:t>elevation angle is high</w:t>
      </w:r>
      <w:r w:rsidRPr="00556E4A">
        <w:rPr>
          <w:lang w:val="en-US"/>
        </w:rPr>
        <w:t xml:space="preserve"> (when </w:t>
      </w:r>
      <w:r>
        <w:rPr>
          <w:lang w:val="en-US"/>
        </w:rPr>
        <w:t>path loss is small</w:t>
      </w:r>
      <w:r w:rsidRPr="00556E4A">
        <w:rPr>
          <w:lang w:val="en-US"/>
        </w:rPr>
        <w:t xml:space="preserve">) and </w:t>
      </w:r>
      <w:r>
        <w:rPr>
          <w:lang w:val="en-US"/>
        </w:rPr>
        <w:t>the</w:t>
      </w:r>
      <w:r w:rsidRPr="00556E4A">
        <w:rPr>
          <w:lang w:val="en-US"/>
        </w:rPr>
        <w:t xml:space="preserve"> max TDW that is shorter when </w:t>
      </w:r>
      <w:r>
        <w:rPr>
          <w:lang w:val="en-US"/>
        </w:rPr>
        <w:t>elevation angle is low</w:t>
      </w:r>
      <w:r w:rsidRPr="00556E4A">
        <w:rPr>
          <w:lang w:val="en-US"/>
        </w:rPr>
        <w:t xml:space="preserve"> (when </w:t>
      </w:r>
      <w:r>
        <w:rPr>
          <w:lang w:val="en-US"/>
        </w:rPr>
        <w:t>path loss is large</w:t>
      </w:r>
      <w:r w:rsidRPr="00556E4A">
        <w:rPr>
          <w:lang w:val="en-US"/>
        </w:rPr>
        <w:t>).</w:t>
      </w:r>
    </w:p>
    <w:p w14:paraId="1CA4E61A" w14:textId="77777777" w:rsidR="009E324D" w:rsidRDefault="009E324D" w:rsidP="009E324D">
      <w:pPr>
        <w:rPr>
          <w:lang w:val="en-US"/>
        </w:rPr>
      </w:pPr>
      <w:r w:rsidRPr="00DA26E8">
        <w:rPr>
          <w:b/>
          <w:u w:val="single"/>
          <w:lang w:val="en-US"/>
        </w:rPr>
        <w:lastRenderedPageBreak/>
        <w:t>Observation 1</w:t>
      </w:r>
      <w:r>
        <w:rPr>
          <w:b/>
          <w:u w:val="single"/>
          <w:lang w:val="en-US"/>
        </w:rPr>
        <w:t>1</w:t>
      </w:r>
      <w:r w:rsidRPr="00DA26E8">
        <w:rPr>
          <w:b/>
          <w:u w:val="single"/>
          <w:lang w:val="en-US"/>
        </w:rPr>
        <w:t>:</w:t>
      </w:r>
      <w:r>
        <w:rPr>
          <w:lang w:val="en-US"/>
        </w:rPr>
        <w:t xml:space="preserve"> For Option 1e, the max TDW size per elevation angle is extra capability report</w:t>
      </w:r>
      <w:r w:rsidRPr="00933E59">
        <w:rPr>
          <w:lang w:val="en-US"/>
        </w:rPr>
        <w:t xml:space="preserve"> </w:t>
      </w:r>
      <w:r>
        <w:rPr>
          <w:lang w:val="en-US"/>
        </w:rPr>
        <w:t>for DMRS bundling for GSO satellite.</w:t>
      </w:r>
    </w:p>
    <w:p w14:paraId="18980A30" w14:textId="77777777" w:rsidR="009E324D" w:rsidRPr="008E4D74" w:rsidRDefault="009E324D" w:rsidP="009E324D">
      <w:pPr>
        <w:rPr>
          <w:lang w:val="en-US"/>
        </w:rPr>
      </w:pPr>
      <w:r w:rsidRPr="00DA26E8">
        <w:rPr>
          <w:b/>
          <w:u w:val="single"/>
          <w:lang w:val="en-US"/>
        </w:rPr>
        <w:t xml:space="preserve">Observation </w:t>
      </w:r>
      <w:r>
        <w:rPr>
          <w:b/>
          <w:u w:val="single"/>
          <w:lang w:val="en-US"/>
        </w:rPr>
        <w:t>12</w:t>
      </w:r>
      <w:r w:rsidRPr="00DA26E8">
        <w:rPr>
          <w:b/>
          <w:u w:val="single"/>
          <w:lang w:val="en-US"/>
        </w:rPr>
        <w:t>:</w:t>
      </w:r>
      <w:r>
        <w:rPr>
          <w:lang w:val="en-US"/>
        </w:rPr>
        <w:t xml:space="preserve"> Option 1d allows the UE to </w:t>
      </w:r>
      <w:r w:rsidRPr="00556E4A">
        <w:rPr>
          <w:lang w:val="en-US"/>
        </w:rPr>
        <w:t xml:space="preserve">report a max TDW that is longer when </w:t>
      </w:r>
      <w:r>
        <w:rPr>
          <w:lang w:val="en-US"/>
        </w:rPr>
        <w:t>satellite altitude is high</w:t>
      </w:r>
      <w:r w:rsidRPr="00556E4A">
        <w:rPr>
          <w:lang w:val="en-US"/>
        </w:rPr>
        <w:t xml:space="preserve"> (when </w:t>
      </w:r>
      <w:r>
        <w:rPr>
          <w:lang w:val="en-US"/>
        </w:rPr>
        <w:t>path loss is large</w:t>
      </w:r>
      <w:r w:rsidRPr="00556E4A">
        <w:rPr>
          <w:lang w:val="en-US"/>
        </w:rPr>
        <w:t xml:space="preserve">) and </w:t>
      </w:r>
      <w:r>
        <w:rPr>
          <w:lang w:val="en-US"/>
        </w:rPr>
        <w:t>the</w:t>
      </w:r>
      <w:r w:rsidRPr="00556E4A">
        <w:rPr>
          <w:lang w:val="en-US"/>
        </w:rPr>
        <w:t xml:space="preserve"> max TDW that is shorter when</w:t>
      </w:r>
      <w:r>
        <w:rPr>
          <w:lang w:val="en-US"/>
        </w:rPr>
        <w:t xml:space="preserve"> satellite altitude is low</w:t>
      </w:r>
      <w:r w:rsidRPr="00556E4A">
        <w:rPr>
          <w:lang w:val="en-US"/>
        </w:rPr>
        <w:t xml:space="preserve"> (when </w:t>
      </w:r>
      <w:r>
        <w:rPr>
          <w:lang w:val="en-US"/>
        </w:rPr>
        <w:t>path loss is low</w:t>
      </w:r>
      <w:r w:rsidRPr="00556E4A">
        <w:rPr>
          <w:lang w:val="en-US"/>
        </w:rPr>
        <w:t>).</w:t>
      </w:r>
    </w:p>
    <w:p w14:paraId="1BCB7FCC" w14:textId="77777777" w:rsidR="009E324D" w:rsidRPr="00EA696F" w:rsidRDefault="009E324D" w:rsidP="009E324D">
      <w:pPr>
        <w:rPr>
          <w:lang w:val="en-US"/>
        </w:rPr>
      </w:pPr>
      <w:r w:rsidRPr="00DA26E8">
        <w:rPr>
          <w:b/>
          <w:u w:val="single"/>
          <w:lang w:val="en-US"/>
        </w:rPr>
        <w:t>Proposal</w:t>
      </w:r>
      <w:r>
        <w:rPr>
          <w:b/>
          <w:u w:val="single"/>
          <w:lang w:val="en-US"/>
        </w:rPr>
        <w:t xml:space="preserve"> 5</w:t>
      </w:r>
      <w:r w:rsidRPr="00DA26E8">
        <w:rPr>
          <w:b/>
          <w:u w:val="single"/>
          <w:lang w:val="en-US"/>
        </w:rPr>
        <w:t>:</w:t>
      </w:r>
      <w:r>
        <w:rPr>
          <w:lang w:val="en-US"/>
        </w:rPr>
        <w:t xml:space="preserve"> </w:t>
      </w:r>
      <w:r w:rsidRPr="00B4491D">
        <w:rPr>
          <w:lang w:val="en-US"/>
        </w:rPr>
        <w:t>For the NTN specific DMRS bundling, max TDW size per NTN platform</w:t>
      </w:r>
      <w:r>
        <w:rPr>
          <w:lang w:val="en-US"/>
        </w:rPr>
        <w:t xml:space="preserve"> (Option 1d)</w:t>
      </w:r>
      <w:r w:rsidRPr="00B4491D">
        <w:rPr>
          <w:lang w:val="en-US"/>
        </w:rPr>
        <w:t xml:space="preserve"> is reported.</w:t>
      </w:r>
    </w:p>
    <w:p w14:paraId="73783CEA" w14:textId="77777777" w:rsidR="003767B1" w:rsidRPr="005501A4" w:rsidRDefault="003767B1" w:rsidP="003767B1">
      <w:pPr>
        <w:rPr>
          <w:lang w:val="en-US"/>
        </w:rPr>
      </w:pPr>
      <w:r w:rsidRPr="000E514D">
        <w:rPr>
          <w:b/>
          <w:u w:val="single"/>
          <w:lang w:val="en-US"/>
        </w:rPr>
        <w:t>Proposal 6:</w:t>
      </w:r>
      <w:r>
        <w:rPr>
          <w:lang w:val="en-US"/>
        </w:rPr>
        <w:t xml:space="preserve"> PUCCH repetition for Msg4 HARQ-ACK is supported for only P</w:t>
      </w:r>
      <w:r>
        <w:rPr>
          <w:rFonts w:hint="eastAsia"/>
          <w:lang w:val="en-US"/>
        </w:rPr>
        <w:t>U</w:t>
      </w:r>
      <w:r>
        <w:rPr>
          <w:lang w:val="en-US"/>
        </w:rPr>
        <w:t>CCH format 1 (i.e., PUCCH format 0 does not support Msg4 HARQ-ACK transmission with repetition)</w:t>
      </w:r>
      <w:r w:rsidRPr="009A20D7">
        <w:rPr>
          <w:lang w:val="en-US"/>
        </w:rPr>
        <w:t>.</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E55E1DC" w14:textId="0FEF0549" w:rsidR="00ED445E" w:rsidRPr="000E514D" w:rsidRDefault="00C8640D" w:rsidP="00586577">
      <w:pPr>
        <w:pStyle w:val="textintend2"/>
        <w:rPr>
          <w:color w:val="000000" w:themeColor="text1"/>
          <w:szCs w:val="24"/>
        </w:rPr>
      </w:pPr>
      <w:r w:rsidRPr="00820F45">
        <w:rPr>
          <w:rFonts w:eastAsiaTheme="minorEastAsia"/>
          <w:lang w:eastAsia="ja-JP"/>
        </w:rPr>
        <w:t>“</w:t>
      </w:r>
      <w:r w:rsidR="002E4229" w:rsidRPr="00820F45">
        <w:rPr>
          <w:color w:val="000000" w:themeColor="text1"/>
          <w:szCs w:val="24"/>
          <w:lang w:eastAsia="ja-JP"/>
        </w:rPr>
        <w:t xml:space="preserve">RAN1 Chairman’s Notes,” </w:t>
      </w:r>
      <w:r w:rsidR="002E4229" w:rsidRPr="00820F45">
        <w:t>RAN</w:t>
      </w:r>
      <w:r w:rsidR="002E4229" w:rsidRPr="00820F45">
        <w:rPr>
          <w:rFonts w:eastAsiaTheme="minorEastAsia" w:hint="eastAsia"/>
          <w:lang w:eastAsia="zh-CN"/>
        </w:rPr>
        <w:t>1</w:t>
      </w:r>
      <w:r w:rsidR="002E4229" w:rsidRPr="00820F45">
        <w:t xml:space="preserve"> #</w:t>
      </w:r>
      <w:r w:rsidR="001C2E58" w:rsidRPr="00820F45">
        <w:t>11</w:t>
      </w:r>
      <w:r w:rsidR="00E95089">
        <w:rPr>
          <w:lang w:eastAsia="ja-JP"/>
        </w:rPr>
        <w:t>3</w:t>
      </w:r>
      <w:r w:rsidR="002E4229" w:rsidRPr="00820F45">
        <w:rPr>
          <w:rFonts w:eastAsiaTheme="minorEastAsia" w:hint="eastAsia"/>
          <w:lang w:eastAsia="zh-CN"/>
        </w:rPr>
        <w:t xml:space="preserve">, </w:t>
      </w:r>
      <w:r w:rsidR="00E95089">
        <w:rPr>
          <w:rFonts w:eastAsiaTheme="minorEastAsia"/>
          <w:lang w:eastAsia="zh-CN"/>
        </w:rPr>
        <w:t>May</w:t>
      </w:r>
      <w:r w:rsidR="00E95089" w:rsidRPr="00820F45">
        <w:t xml:space="preserve"> </w:t>
      </w:r>
      <w:r w:rsidR="002E4229" w:rsidRPr="00820F45">
        <w:t>202</w:t>
      </w:r>
      <w:r w:rsidR="009F035F">
        <w:t>3</w:t>
      </w:r>
      <w:r w:rsidR="002E4229" w:rsidRPr="00820F45">
        <w:rPr>
          <w:rFonts w:eastAsiaTheme="minorEastAsia" w:hint="eastAsia"/>
          <w:lang w:eastAsia="zh-CN"/>
        </w:rPr>
        <w:t>.</w:t>
      </w:r>
    </w:p>
    <w:p w14:paraId="531A11C0" w14:textId="4D73A364" w:rsidR="00E95089" w:rsidRDefault="00E95089" w:rsidP="00E95089">
      <w:pPr>
        <w:pStyle w:val="textintend2"/>
        <w:rPr>
          <w:color w:val="000000" w:themeColor="text1"/>
          <w:szCs w:val="24"/>
        </w:rPr>
      </w:pPr>
      <w:r w:rsidRPr="00E95089">
        <w:rPr>
          <w:color w:val="000000" w:themeColor="text1"/>
          <w:szCs w:val="24"/>
        </w:rPr>
        <w:t>3GPP TS 38.213 V17.5.0 (2023-03)</w:t>
      </w:r>
      <w:r w:rsidRPr="000E514D">
        <w:rPr>
          <w:color w:val="000000" w:themeColor="text1"/>
          <w:szCs w:val="24"/>
        </w:rPr>
        <w:t>, TSG RAN, NR, Physical layer procedures for control</w:t>
      </w:r>
      <w:r>
        <w:rPr>
          <w:color w:val="000000" w:themeColor="text1"/>
          <w:szCs w:val="24"/>
        </w:rPr>
        <w:t xml:space="preserve"> </w:t>
      </w:r>
      <w:r w:rsidRPr="000E514D">
        <w:rPr>
          <w:color w:val="000000" w:themeColor="text1"/>
          <w:szCs w:val="24"/>
        </w:rPr>
        <w:t>(Release 17)</w:t>
      </w:r>
    </w:p>
    <w:p w14:paraId="68501EA0" w14:textId="7B4C6675" w:rsidR="00E95089" w:rsidRDefault="00E95089" w:rsidP="00E95089">
      <w:pPr>
        <w:pStyle w:val="textintend2"/>
        <w:rPr>
          <w:color w:val="000000" w:themeColor="text1"/>
          <w:szCs w:val="24"/>
        </w:rPr>
      </w:pPr>
      <w:r w:rsidRPr="000E514D">
        <w:rPr>
          <w:color w:val="000000" w:themeColor="text1"/>
          <w:szCs w:val="24"/>
        </w:rPr>
        <w:t>3GPP TS 38.214 V17.6.0 (2023-06), TSG RAN, NR, Physical layer procedures for data</w:t>
      </w:r>
      <w:r>
        <w:rPr>
          <w:color w:val="000000" w:themeColor="text1"/>
          <w:szCs w:val="24"/>
        </w:rPr>
        <w:t xml:space="preserve"> </w:t>
      </w:r>
      <w:r w:rsidRPr="000E514D">
        <w:rPr>
          <w:color w:val="000000" w:themeColor="text1"/>
          <w:szCs w:val="24"/>
        </w:rPr>
        <w:t>(Release 17)</w:t>
      </w:r>
    </w:p>
    <w:p w14:paraId="5FCEFABF" w14:textId="63237E38" w:rsidR="00E95089" w:rsidRPr="000E514D" w:rsidRDefault="00E95089" w:rsidP="000E514D">
      <w:pPr>
        <w:pStyle w:val="textintend2"/>
        <w:rPr>
          <w:color w:val="000000" w:themeColor="text1"/>
          <w:szCs w:val="24"/>
        </w:rPr>
      </w:pPr>
      <w:r w:rsidRPr="00E95089">
        <w:rPr>
          <w:color w:val="000000" w:themeColor="text1"/>
          <w:szCs w:val="24"/>
          <w:lang w:eastAsia="ja-JP"/>
        </w:rPr>
        <w:t>Qualcomm Incorporated</w:t>
      </w:r>
      <w:r>
        <w:rPr>
          <w:color w:val="000000" w:themeColor="text1"/>
          <w:szCs w:val="24"/>
          <w:lang w:eastAsia="ja-JP"/>
        </w:rPr>
        <w:t xml:space="preserve">, </w:t>
      </w:r>
      <w:r w:rsidRPr="00E95089">
        <w:rPr>
          <w:color w:val="000000" w:themeColor="text1"/>
          <w:szCs w:val="24"/>
          <w:lang w:eastAsia="ja-JP"/>
        </w:rPr>
        <w:t>R4-1910745</w:t>
      </w:r>
      <w:r>
        <w:rPr>
          <w:color w:val="000000" w:themeColor="text1"/>
          <w:szCs w:val="24"/>
          <w:lang w:eastAsia="ja-JP"/>
        </w:rPr>
        <w:t>, “</w:t>
      </w:r>
      <w:r w:rsidRPr="00E95089">
        <w:rPr>
          <w:color w:val="000000" w:themeColor="text1"/>
          <w:szCs w:val="24"/>
          <w:lang w:eastAsia="ja-JP"/>
        </w:rPr>
        <w:t>TX diversity clarification for Rel-15</w:t>
      </w:r>
      <w:r>
        <w:rPr>
          <w:color w:val="000000" w:themeColor="text1"/>
          <w:szCs w:val="24"/>
          <w:lang w:eastAsia="ja-JP"/>
        </w:rPr>
        <w:t xml:space="preserve">”, </w:t>
      </w:r>
      <w:r w:rsidRPr="00E95089">
        <w:rPr>
          <w:color w:val="000000" w:themeColor="text1"/>
          <w:szCs w:val="24"/>
          <w:lang w:eastAsia="ja-JP"/>
        </w:rPr>
        <w:t>3GPP TSG-RAN WG4 Meeting #92-Bis</w:t>
      </w:r>
      <w:r>
        <w:rPr>
          <w:color w:val="000000" w:themeColor="text1"/>
          <w:szCs w:val="24"/>
          <w:lang w:eastAsia="ja-JP"/>
        </w:rPr>
        <w:t xml:space="preserve">, </w:t>
      </w:r>
      <w:r w:rsidRPr="00E95089">
        <w:rPr>
          <w:color w:val="000000" w:themeColor="text1"/>
          <w:szCs w:val="24"/>
          <w:lang w:eastAsia="ja-JP"/>
        </w:rPr>
        <w:t>Chongqing, China, 14 – 18 Oct 2019</w:t>
      </w:r>
    </w:p>
    <w:sectPr w:rsidR="00E95089" w:rsidRPr="000E514D"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09058" w14:textId="77777777" w:rsidR="006833B5" w:rsidRDefault="006833B5">
      <w:r>
        <w:separator/>
      </w:r>
    </w:p>
  </w:endnote>
  <w:endnote w:type="continuationSeparator" w:id="0">
    <w:p w14:paraId="397A387E" w14:textId="77777777" w:rsidR="006833B5" w:rsidRDefault="0068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6F2DD" w14:textId="77777777" w:rsidR="006833B5" w:rsidRDefault="006833B5">
      <w:r>
        <w:separator/>
      </w:r>
    </w:p>
  </w:footnote>
  <w:footnote w:type="continuationSeparator" w:id="0">
    <w:p w14:paraId="2A3F5B0D" w14:textId="77777777" w:rsidR="006833B5" w:rsidRDefault="00683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6BB68F3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97643556">
    <w:abstractNumId w:val="16"/>
  </w:num>
  <w:num w:numId="2" w16cid:durableId="514657491">
    <w:abstractNumId w:val="1"/>
  </w:num>
  <w:num w:numId="3" w16cid:durableId="225575956">
    <w:abstractNumId w:val="4"/>
  </w:num>
  <w:num w:numId="4" w16cid:durableId="508787521">
    <w:abstractNumId w:val="17"/>
  </w:num>
  <w:num w:numId="5" w16cid:durableId="1257402575">
    <w:abstractNumId w:val="11"/>
  </w:num>
  <w:num w:numId="6" w16cid:durableId="502551826">
    <w:abstractNumId w:val="12"/>
  </w:num>
  <w:num w:numId="7" w16cid:durableId="1580096750">
    <w:abstractNumId w:val="9"/>
  </w:num>
  <w:num w:numId="8" w16cid:durableId="621572612">
    <w:abstractNumId w:val="0"/>
  </w:num>
  <w:num w:numId="9" w16cid:durableId="2143690170">
    <w:abstractNumId w:val="18"/>
  </w:num>
  <w:num w:numId="10" w16cid:durableId="620914087">
    <w:abstractNumId w:val="8"/>
  </w:num>
  <w:num w:numId="11" w16cid:durableId="520624990">
    <w:abstractNumId w:val="15"/>
  </w:num>
  <w:num w:numId="12" w16cid:durableId="907960043">
    <w:abstractNumId w:val="13"/>
  </w:num>
  <w:num w:numId="13" w16cid:durableId="1597707017">
    <w:abstractNumId w:val="6"/>
  </w:num>
  <w:num w:numId="14" w16cid:durableId="404570815">
    <w:abstractNumId w:val="2"/>
  </w:num>
  <w:num w:numId="15" w16cid:durableId="1544443140">
    <w:abstractNumId w:val="14"/>
  </w:num>
  <w:num w:numId="16" w16cid:durableId="289020726">
    <w:abstractNumId w:val="10"/>
  </w:num>
  <w:num w:numId="17" w16cid:durableId="869031695">
    <w:abstractNumId w:val="3"/>
  </w:num>
  <w:num w:numId="18" w16cid:durableId="1696419770">
    <w:abstractNumId w:val="7"/>
  </w:num>
  <w:num w:numId="19" w16cid:durableId="388919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92665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3369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038437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5EB3"/>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425F"/>
    <w:rsid w:val="002342D0"/>
    <w:rsid w:val="00234466"/>
    <w:rsid w:val="00234F54"/>
    <w:rsid w:val="00235970"/>
    <w:rsid w:val="002359FA"/>
    <w:rsid w:val="00235F78"/>
    <w:rsid w:val="00236094"/>
    <w:rsid w:val="00236CD1"/>
    <w:rsid w:val="00237062"/>
    <w:rsid w:val="00237113"/>
    <w:rsid w:val="00237A75"/>
    <w:rsid w:val="00237E17"/>
    <w:rsid w:val="00237E22"/>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6481"/>
    <w:rsid w:val="002466FC"/>
    <w:rsid w:val="0024685B"/>
    <w:rsid w:val="00246917"/>
    <w:rsid w:val="00246C75"/>
    <w:rsid w:val="0024739D"/>
    <w:rsid w:val="002476B6"/>
    <w:rsid w:val="00247811"/>
    <w:rsid w:val="002479D0"/>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3EC3"/>
    <w:rsid w:val="002941BF"/>
    <w:rsid w:val="0029440D"/>
    <w:rsid w:val="002949ED"/>
    <w:rsid w:val="00294B23"/>
    <w:rsid w:val="0029577A"/>
    <w:rsid w:val="00295FE7"/>
    <w:rsid w:val="00296485"/>
    <w:rsid w:val="00296CE3"/>
    <w:rsid w:val="00296E15"/>
    <w:rsid w:val="0029712D"/>
    <w:rsid w:val="0029739B"/>
    <w:rsid w:val="00297D4C"/>
    <w:rsid w:val="00297DAF"/>
    <w:rsid w:val="00297DCE"/>
    <w:rsid w:val="002A01B3"/>
    <w:rsid w:val="002A03DC"/>
    <w:rsid w:val="002A0678"/>
    <w:rsid w:val="002A0A42"/>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6300"/>
    <w:rsid w:val="002A63B1"/>
    <w:rsid w:val="002A66B9"/>
    <w:rsid w:val="002A6995"/>
    <w:rsid w:val="002A77CA"/>
    <w:rsid w:val="002A795C"/>
    <w:rsid w:val="002A7B61"/>
    <w:rsid w:val="002A7F9B"/>
    <w:rsid w:val="002B044F"/>
    <w:rsid w:val="002B06A6"/>
    <w:rsid w:val="002B0D7F"/>
    <w:rsid w:val="002B1313"/>
    <w:rsid w:val="002B1E42"/>
    <w:rsid w:val="002B2479"/>
    <w:rsid w:val="002B27FD"/>
    <w:rsid w:val="002B29BC"/>
    <w:rsid w:val="002B2EB9"/>
    <w:rsid w:val="002B3B69"/>
    <w:rsid w:val="002B3E62"/>
    <w:rsid w:val="002B3F10"/>
    <w:rsid w:val="002B400E"/>
    <w:rsid w:val="002B4E38"/>
    <w:rsid w:val="002B51DB"/>
    <w:rsid w:val="002B60A3"/>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454B"/>
    <w:rsid w:val="00305D2A"/>
    <w:rsid w:val="00305EEB"/>
    <w:rsid w:val="00306397"/>
    <w:rsid w:val="003063DE"/>
    <w:rsid w:val="003064DE"/>
    <w:rsid w:val="00306945"/>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18FA"/>
    <w:rsid w:val="003A1AC6"/>
    <w:rsid w:val="003A2212"/>
    <w:rsid w:val="003A2263"/>
    <w:rsid w:val="003A31C3"/>
    <w:rsid w:val="003A3577"/>
    <w:rsid w:val="003A3AD6"/>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973"/>
    <w:rsid w:val="003D2BB7"/>
    <w:rsid w:val="003D2EE5"/>
    <w:rsid w:val="003D31E4"/>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2F3F"/>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51"/>
    <w:rsid w:val="00490A63"/>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9C9"/>
    <w:rsid w:val="004C1C44"/>
    <w:rsid w:val="004C23B4"/>
    <w:rsid w:val="004C27C8"/>
    <w:rsid w:val="004C2ACB"/>
    <w:rsid w:val="004C3606"/>
    <w:rsid w:val="004C364F"/>
    <w:rsid w:val="004C3D54"/>
    <w:rsid w:val="004C4374"/>
    <w:rsid w:val="004C4643"/>
    <w:rsid w:val="004C4C7E"/>
    <w:rsid w:val="004C60FA"/>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26C"/>
    <w:rsid w:val="00503546"/>
    <w:rsid w:val="00504721"/>
    <w:rsid w:val="005049B0"/>
    <w:rsid w:val="00505B7B"/>
    <w:rsid w:val="00506031"/>
    <w:rsid w:val="0050697A"/>
    <w:rsid w:val="00506B5B"/>
    <w:rsid w:val="00506BE2"/>
    <w:rsid w:val="0050741B"/>
    <w:rsid w:val="005079E3"/>
    <w:rsid w:val="00510296"/>
    <w:rsid w:val="00510397"/>
    <w:rsid w:val="00510587"/>
    <w:rsid w:val="005106A3"/>
    <w:rsid w:val="005109E5"/>
    <w:rsid w:val="00511984"/>
    <w:rsid w:val="00511F12"/>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718C"/>
    <w:rsid w:val="00537265"/>
    <w:rsid w:val="00537879"/>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E4A"/>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9D2"/>
    <w:rsid w:val="006139F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4414"/>
    <w:rsid w:val="00624588"/>
    <w:rsid w:val="00624BB9"/>
    <w:rsid w:val="006253A6"/>
    <w:rsid w:val="00625521"/>
    <w:rsid w:val="0062616E"/>
    <w:rsid w:val="00626379"/>
    <w:rsid w:val="0062673B"/>
    <w:rsid w:val="0062690B"/>
    <w:rsid w:val="00626AB9"/>
    <w:rsid w:val="00627144"/>
    <w:rsid w:val="00627218"/>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E2B"/>
    <w:rsid w:val="00775E44"/>
    <w:rsid w:val="007763FA"/>
    <w:rsid w:val="00776B22"/>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D5F"/>
    <w:rsid w:val="007F4E77"/>
    <w:rsid w:val="007F4EAC"/>
    <w:rsid w:val="007F51A0"/>
    <w:rsid w:val="007F58F3"/>
    <w:rsid w:val="007F6C30"/>
    <w:rsid w:val="007F6EC3"/>
    <w:rsid w:val="007F74EE"/>
    <w:rsid w:val="007F7B45"/>
    <w:rsid w:val="007F7BCF"/>
    <w:rsid w:val="007F7FCC"/>
    <w:rsid w:val="008002C9"/>
    <w:rsid w:val="0080152B"/>
    <w:rsid w:val="00801AAB"/>
    <w:rsid w:val="00801B86"/>
    <w:rsid w:val="00801C13"/>
    <w:rsid w:val="00802343"/>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BCA"/>
    <w:rsid w:val="00903CF1"/>
    <w:rsid w:val="00903D5C"/>
    <w:rsid w:val="00903E6E"/>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813"/>
    <w:rsid w:val="00A3690B"/>
    <w:rsid w:val="00A36BF7"/>
    <w:rsid w:val="00A371B2"/>
    <w:rsid w:val="00A37829"/>
    <w:rsid w:val="00A40FEE"/>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25E"/>
    <w:rsid w:val="00A445B4"/>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6810"/>
    <w:rsid w:val="00A76922"/>
    <w:rsid w:val="00A76980"/>
    <w:rsid w:val="00A76A37"/>
    <w:rsid w:val="00A773BD"/>
    <w:rsid w:val="00A777EC"/>
    <w:rsid w:val="00A77FCB"/>
    <w:rsid w:val="00A8091E"/>
    <w:rsid w:val="00A80E8F"/>
    <w:rsid w:val="00A81FC2"/>
    <w:rsid w:val="00A81FE5"/>
    <w:rsid w:val="00A82222"/>
    <w:rsid w:val="00A8284E"/>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4AC1"/>
    <w:rsid w:val="00AF57F9"/>
    <w:rsid w:val="00AF5DA1"/>
    <w:rsid w:val="00AF5F6E"/>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502AC"/>
    <w:rsid w:val="00B50350"/>
    <w:rsid w:val="00B50F6F"/>
    <w:rsid w:val="00B51663"/>
    <w:rsid w:val="00B51CFB"/>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D1"/>
    <w:rsid w:val="00B70CC0"/>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91D"/>
    <w:rsid w:val="00BC7A3C"/>
    <w:rsid w:val="00BC7BC1"/>
    <w:rsid w:val="00BC7E0F"/>
    <w:rsid w:val="00BD02EF"/>
    <w:rsid w:val="00BD0599"/>
    <w:rsid w:val="00BD0947"/>
    <w:rsid w:val="00BD0C04"/>
    <w:rsid w:val="00BD0E2B"/>
    <w:rsid w:val="00BD17AC"/>
    <w:rsid w:val="00BD17E1"/>
    <w:rsid w:val="00BD1C70"/>
    <w:rsid w:val="00BD1D19"/>
    <w:rsid w:val="00BD1D21"/>
    <w:rsid w:val="00BD1DBB"/>
    <w:rsid w:val="00BD2413"/>
    <w:rsid w:val="00BD2A9B"/>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885"/>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91"/>
    <w:rsid w:val="00D06FC3"/>
    <w:rsid w:val="00D0732A"/>
    <w:rsid w:val="00D074CB"/>
    <w:rsid w:val="00D07503"/>
    <w:rsid w:val="00D0779D"/>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2A4"/>
    <w:rsid w:val="00D326F7"/>
    <w:rsid w:val="00D32CAB"/>
    <w:rsid w:val="00D334A9"/>
    <w:rsid w:val="00D33528"/>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603A7"/>
    <w:rsid w:val="00D60498"/>
    <w:rsid w:val="00D60795"/>
    <w:rsid w:val="00D607E6"/>
    <w:rsid w:val="00D60A97"/>
    <w:rsid w:val="00D60F13"/>
    <w:rsid w:val="00D610FB"/>
    <w:rsid w:val="00D620AF"/>
    <w:rsid w:val="00D6210F"/>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217"/>
    <w:rsid w:val="00E023CF"/>
    <w:rsid w:val="00E02F29"/>
    <w:rsid w:val="00E03262"/>
    <w:rsid w:val="00E0335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61"/>
    <w:rsid w:val="00EF4F9D"/>
    <w:rsid w:val="00EF5623"/>
    <w:rsid w:val="00EF5973"/>
    <w:rsid w:val="00EF5DF9"/>
    <w:rsid w:val="00EF632E"/>
    <w:rsid w:val="00EF678A"/>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40571"/>
    <w:rsid w:val="00F4078B"/>
    <w:rsid w:val="00F40E62"/>
    <w:rsid w:val="00F41463"/>
    <w:rsid w:val="00F41D17"/>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67B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AD63E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AD63E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56A7E-C520-4EB6-9F36-D194B6B9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2825</Words>
  <Characters>16106</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野上智造/課長</cp:lastModifiedBy>
  <cp:revision>3</cp:revision>
  <cp:lastPrinted>2019-02-13T08:31:00Z</cp:lastPrinted>
  <dcterms:created xsi:type="dcterms:W3CDTF">2023-08-10T08:41:00Z</dcterms:created>
  <dcterms:modified xsi:type="dcterms:W3CDTF">2023-08-10T10:20:00Z</dcterms:modified>
</cp:coreProperties>
</file>