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176E53F" w14:textId="1238A47F" w:rsidR="006C5951" w:rsidRPr="00123348" w:rsidRDefault="006C5951" w:rsidP="006C5951">
      <w:pPr>
        <w:widowControl w:val="0"/>
        <w:tabs>
          <w:tab w:val="right" w:pos="9639"/>
        </w:tabs>
        <w:spacing w:after="0"/>
        <w:rPr>
          <w:rFonts w:ascii="Arial" w:hAnsi="Arial"/>
          <w:b/>
          <w:sz w:val="24"/>
          <w:szCs w:val="24"/>
          <w:lang w:val="pt-BR"/>
        </w:rPr>
      </w:pPr>
      <w:r w:rsidRPr="003A74B1">
        <w:rPr>
          <w:rFonts w:ascii="Arial" w:hAnsi="Arial"/>
          <w:b/>
          <w:sz w:val="24"/>
          <w:szCs w:val="24"/>
        </w:rPr>
        <w:fldChar w:fldCharType="begin"/>
      </w:r>
      <w:r w:rsidRPr="00123348">
        <w:rPr>
          <w:rFonts w:ascii="Arial" w:hAnsi="Arial"/>
          <w:b/>
          <w:sz w:val="24"/>
          <w:szCs w:val="24"/>
          <w:lang w:val="pt-BR"/>
        </w:rPr>
        <w:instrText xml:space="preserve"> DOCPROPERTY  MeetingName  \* MERGEFORMAT </w:instrText>
      </w:r>
      <w:r w:rsidRPr="003A74B1">
        <w:rPr>
          <w:rFonts w:ascii="Arial" w:hAnsi="Arial"/>
          <w:b/>
          <w:sz w:val="24"/>
          <w:szCs w:val="24"/>
        </w:rPr>
        <w:fldChar w:fldCharType="separate"/>
      </w:r>
      <w:r w:rsidR="003B6427">
        <w:rPr>
          <w:rFonts w:ascii="Arial" w:hAnsi="Arial"/>
          <w:b/>
          <w:sz w:val="24"/>
          <w:szCs w:val="24"/>
          <w:lang w:val="pt-BR"/>
        </w:rPr>
        <w:t>3GPP TSG RAN WG1 #114</w:t>
      </w:r>
      <w:r w:rsidRPr="003A74B1">
        <w:rPr>
          <w:rFonts w:ascii="Arial" w:hAnsi="Arial"/>
          <w:b/>
          <w:sz w:val="24"/>
          <w:szCs w:val="24"/>
        </w:rPr>
        <w:fldChar w:fldCharType="end"/>
      </w:r>
      <w:r w:rsidRPr="00123348">
        <w:rPr>
          <w:rFonts w:ascii="Arial" w:hAnsi="Arial"/>
          <w:b/>
          <w:sz w:val="18"/>
          <w:lang w:val="pt-BR"/>
        </w:rPr>
        <w:tab/>
      </w:r>
      <w:r w:rsidRPr="003A74B1">
        <w:rPr>
          <w:rFonts w:ascii="Arial" w:hAnsi="Arial"/>
          <w:b/>
          <w:sz w:val="24"/>
          <w:szCs w:val="24"/>
        </w:rPr>
        <w:fldChar w:fldCharType="begin"/>
      </w:r>
      <w:r w:rsidRPr="00123348">
        <w:rPr>
          <w:rFonts w:ascii="Arial" w:hAnsi="Arial"/>
          <w:b/>
          <w:sz w:val="24"/>
          <w:szCs w:val="24"/>
          <w:lang w:val="pt-BR"/>
        </w:rPr>
        <w:instrText xml:space="preserve"> DOCPROPERTY  TdocId  \* MERGEFORMAT </w:instrText>
      </w:r>
      <w:r w:rsidRPr="003A74B1">
        <w:rPr>
          <w:rFonts w:ascii="Arial" w:hAnsi="Arial"/>
          <w:b/>
          <w:sz w:val="24"/>
          <w:szCs w:val="24"/>
        </w:rPr>
        <w:fldChar w:fldCharType="separate"/>
      </w:r>
      <w:r w:rsidR="003B6427">
        <w:rPr>
          <w:rFonts w:ascii="Arial" w:hAnsi="Arial"/>
          <w:b/>
          <w:sz w:val="24"/>
          <w:szCs w:val="24"/>
          <w:lang w:val="pt-BR"/>
        </w:rPr>
        <w:t>R1-2306450</w:t>
      </w:r>
      <w:r w:rsidRPr="003A74B1">
        <w:rPr>
          <w:rFonts w:ascii="Arial" w:hAnsi="Arial"/>
          <w:b/>
          <w:sz w:val="24"/>
          <w:szCs w:val="24"/>
        </w:rPr>
        <w:fldChar w:fldCharType="end"/>
      </w:r>
    </w:p>
    <w:p w14:paraId="39455CDB" w14:textId="25C6798C" w:rsidR="006C5951" w:rsidRPr="003A74B1" w:rsidRDefault="006C5951" w:rsidP="006C595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3B6427">
        <w:rPr>
          <w:rFonts w:ascii="Arial" w:hAnsi="Arial"/>
          <w:b/>
          <w:sz w:val="24"/>
          <w:szCs w:val="24"/>
          <w:lang w:val="en-US"/>
        </w:rPr>
        <w:t>Toulouse, France, August 21st - August 25th, 2023</w:t>
      </w:r>
      <w:r w:rsidRPr="003A74B1">
        <w:rPr>
          <w:rFonts w:ascii="Arial" w:hAnsi="Arial"/>
          <w:b/>
          <w:sz w:val="24"/>
          <w:szCs w:val="24"/>
          <w:lang w:val="en-US"/>
        </w:rPr>
        <w:fldChar w:fldCharType="end"/>
      </w:r>
    </w:p>
    <w:p w14:paraId="35081587" w14:textId="77777777" w:rsidR="006C5951" w:rsidRPr="003A74B1" w:rsidRDefault="006C5951" w:rsidP="006C5951">
      <w:pPr>
        <w:widowControl w:val="0"/>
        <w:spacing w:after="0"/>
        <w:rPr>
          <w:rFonts w:ascii="Arial" w:hAnsi="Arial"/>
          <w:b/>
          <w:sz w:val="24"/>
          <w:lang w:val="en-US" w:eastAsia="ja-JP"/>
        </w:rPr>
      </w:pPr>
    </w:p>
    <w:p w14:paraId="122E98F6" w14:textId="77777777" w:rsidR="006C5951" w:rsidRPr="003A74B1" w:rsidRDefault="006C5951" w:rsidP="006C595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20AEE2B2" w14:textId="7019EBF8" w:rsidR="006C5951" w:rsidRPr="003A74B1" w:rsidRDefault="006C5951" w:rsidP="006C595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3B6427">
        <w:rPr>
          <w:rFonts w:ascii="Arial" w:hAnsi="Arial" w:cs="Arial"/>
          <w:b/>
          <w:sz w:val="24"/>
          <w:szCs w:val="24"/>
          <w:lang w:val="en-US"/>
        </w:rPr>
        <w:t>On Sidelink Carrier Aggregation for NR</w:t>
      </w:r>
      <w:r w:rsidRPr="00FA36A6">
        <w:rPr>
          <w:rFonts w:ascii="Arial" w:hAnsi="Arial" w:cs="Arial"/>
          <w:b/>
          <w:sz w:val="24"/>
          <w:szCs w:val="24"/>
        </w:rPr>
        <w:fldChar w:fldCharType="end"/>
      </w:r>
    </w:p>
    <w:p w14:paraId="703B8B85" w14:textId="6743FE5C" w:rsidR="006C5951" w:rsidRPr="003A74B1" w:rsidRDefault="006C5951" w:rsidP="006C595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3B6427">
        <w:rPr>
          <w:rFonts w:ascii="Arial" w:eastAsia="MS Mincho" w:hAnsi="Arial" w:cs="Arial"/>
          <w:b/>
          <w:sz w:val="24"/>
          <w:szCs w:val="24"/>
          <w:lang w:val="en-US"/>
        </w:rPr>
        <w:t>9.4.4</w:t>
      </w:r>
      <w:r w:rsidRPr="003A74B1">
        <w:rPr>
          <w:rFonts w:ascii="Arial" w:eastAsia="MS Mincho" w:hAnsi="Arial" w:cs="Arial"/>
          <w:b/>
          <w:sz w:val="24"/>
          <w:szCs w:val="24"/>
        </w:rPr>
        <w:fldChar w:fldCharType="end"/>
      </w:r>
    </w:p>
    <w:p w14:paraId="37646ABF" w14:textId="3661E183" w:rsidR="006C5951" w:rsidRPr="003A74B1" w:rsidRDefault="006C5951" w:rsidP="006C595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3B6427">
        <w:rPr>
          <w:rFonts w:ascii="Arial" w:hAnsi="Arial" w:cs="Arial"/>
          <w:b/>
          <w:sz w:val="24"/>
          <w:szCs w:val="24"/>
          <w:lang w:val="en-US"/>
        </w:rPr>
        <w:t>Discussion and Decision</w:t>
      </w:r>
      <w:r w:rsidRPr="003A74B1">
        <w:rPr>
          <w:rFonts w:ascii="Arial" w:hAnsi="Arial" w:cs="Arial"/>
          <w:b/>
          <w:sz w:val="24"/>
          <w:szCs w:val="24"/>
        </w:rPr>
        <w:fldChar w:fldCharType="end"/>
      </w:r>
    </w:p>
    <w:bookmarkEnd w:id="0"/>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4135C29B" w14:textId="30A4CBA1" w:rsidR="00FA07FA" w:rsidRPr="00FA07FA" w:rsidRDefault="00932D64" w:rsidP="00FA07FA">
      <w:pPr>
        <w:spacing w:after="240"/>
        <w:jc w:val="both"/>
        <w:rPr>
          <w:szCs w:val="18"/>
          <w:lang w:val="en-US"/>
        </w:rPr>
      </w:pPr>
      <w:bookmarkStart w:id="1" w:name="_Hlk525462591"/>
      <w:bookmarkStart w:id="2" w:name="_Hlk510705081"/>
      <w:r>
        <w:rPr>
          <w:szCs w:val="18"/>
          <w:lang w:val="en-US"/>
        </w:rPr>
        <w:t xml:space="preserve">In the work item description </w:t>
      </w:r>
      <w:r w:rsidR="008F6CD2">
        <w:rPr>
          <w:szCs w:val="18"/>
          <w:lang w:val="en-US"/>
        </w:rPr>
        <w:fldChar w:fldCharType="begin"/>
      </w:r>
      <w:r w:rsidR="008F6CD2">
        <w:rPr>
          <w:szCs w:val="18"/>
          <w:lang w:val="en-US"/>
        </w:rPr>
        <w:instrText xml:space="preserve"> REF _Ref139274545 \r \h </w:instrText>
      </w:r>
      <w:r w:rsidR="008F6CD2">
        <w:rPr>
          <w:szCs w:val="18"/>
          <w:lang w:val="en-US"/>
        </w:rPr>
      </w:r>
      <w:r w:rsidR="008F6CD2">
        <w:rPr>
          <w:szCs w:val="18"/>
          <w:lang w:val="en-US"/>
        </w:rPr>
        <w:fldChar w:fldCharType="separate"/>
      </w:r>
      <w:r w:rsidR="003B6427">
        <w:rPr>
          <w:szCs w:val="18"/>
          <w:lang w:val="en-US"/>
        </w:rPr>
        <w:t>[1]</w:t>
      </w:r>
      <w:r w:rsidR="008F6CD2">
        <w:rPr>
          <w:szCs w:val="18"/>
          <w:lang w:val="en-US"/>
        </w:rPr>
        <w:fldChar w:fldCharType="end"/>
      </w:r>
      <w:r>
        <w:rPr>
          <w:szCs w:val="18"/>
          <w:lang w:val="en-US"/>
        </w:rPr>
        <w:t xml:space="preserve"> t</w:t>
      </w:r>
      <w:r w:rsidR="00FA07FA" w:rsidRPr="00FA07FA">
        <w:rPr>
          <w:szCs w:val="18"/>
          <w:lang w:val="en-US"/>
        </w:rPr>
        <w:t xml:space="preserve">he following justification is given as background for the objective to support NR SL </w:t>
      </w:r>
      <w:r>
        <w:rPr>
          <w:szCs w:val="18"/>
          <w:lang w:val="en-US"/>
        </w:rPr>
        <w:t>CA</w:t>
      </w:r>
      <w:r w:rsidR="00FA07FA" w:rsidRPr="00FA07FA">
        <w:rPr>
          <w:szCs w:val="18"/>
          <w:lang w:val="en-US"/>
        </w:rPr>
        <w:t>:</w:t>
      </w:r>
    </w:p>
    <w:tbl>
      <w:tblPr>
        <w:tblStyle w:val="TableGrid1"/>
        <w:tblW w:w="0" w:type="auto"/>
        <w:tblInd w:w="360" w:type="dxa"/>
        <w:tblLook w:val="04A0" w:firstRow="1" w:lastRow="0" w:firstColumn="1" w:lastColumn="0" w:noHBand="0" w:noVBand="1"/>
      </w:tblPr>
      <w:tblGrid>
        <w:gridCol w:w="9269"/>
      </w:tblGrid>
      <w:tr w:rsidR="00FA07FA" w:rsidRPr="00FA07FA" w14:paraId="74B76C69" w14:textId="77777777" w:rsidTr="009C07E0">
        <w:tc>
          <w:tcPr>
            <w:tcW w:w="9602" w:type="dxa"/>
          </w:tcPr>
          <w:p w14:paraId="467795B7" w14:textId="3880D3E9" w:rsidR="00FA07FA" w:rsidRPr="00FA07FA" w:rsidRDefault="00932D64" w:rsidP="00FA07FA">
            <w:pPr>
              <w:jc w:val="both"/>
              <w:rPr>
                <w:iCs/>
                <w:szCs w:val="18"/>
                <w:lang w:val="en-US"/>
              </w:rPr>
            </w:pPr>
            <w:bookmarkStart w:id="3" w:name="_Hlk139026505"/>
            <w:r>
              <w:rPr>
                <w:rStyle w:val="Emphasis"/>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w:t>
            </w:r>
          </w:p>
        </w:tc>
      </w:tr>
    </w:tbl>
    <w:bookmarkEnd w:id="3"/>
    <w:p w14:paraId="693B9763" w14:textId="4206BE4C" w:rsidR="00932D64" w:rsidRDefault="00FA07FA" w:rsidP="00FA07FA">
      <w:pPr>
        <w:spacing w:before="240" w:after="240"/>
        <w:jc w:val="both"/>
        <w:rPr>
          <w:lang w:val="en-US"/>
        </w:rPr>
      </w:pPr>
      <w:r w:rsidRPr="00FA07FA">
        <w:rPr>
          <w:lang w:val="en-US"/>
        </w:rPr>
        <w:t xml:space="preserve">The </w:t>
      </w:r>
      <w:r w:rsidR="00932D64">
        <w:rPr>
          <w:lang w:val="en-US"/>
        </w:rPr>
        <w:t xml:space="preserve">objectives of the SL CA work according to the WID </w:t>
      </w:r>
      <w:r w:rsidR="008F6CD2">
        <w:rPr>
          <w:lang w:val="en-US"/>
        </w:rPr>
        <w:fldChar w:fldCharType="begin"/>
      </w:r>
      <w:r w:rsidR="008F6CD2">
        <w:rPr>
          <w:lang w:val="en-US"/>
        </w:rPr>
        <w:instrText xml:space="preserve"> REF _Ref139274545 \r \h </w:instrText>
      </w:r>
      <w:r w:rsidR="008F6CD2">
        <w:rPr>
          <w:lang w:val="en-US"/>
        </w:rPr>
      </w:r>
      <w:r w:rsidR="008F6CD2">
        <w:rPr>
          <w:lang w:val="en-US"/>
        </w:rPr>
        <w:fldChar w:fldCharType="separate"/>
      </w:r>
      <w:r w:rsidR="003B6427">
        <w:rPr>
          <w:lang w:val="en-US"/>
        </w:rPr>
        <w:t>[1]</w:t>
      </w:r>
      <w:r w:rsidR="008F6CD2">
        <w:rPr>
          <w:lang w:val="en-US"/>
        </w:rPr>
        <w:fldChar w:fldCharType="end"/>
      </w:r>
      <w:r w:rsidR="008F6CD2">
        <w:rPr>
          <w:lang w:val="en-US"/>
        </w:rPr>
        <w:t xml:space="preserve"> </w:t>
      </w:r>
      <w:r w:rsidR="00932D64">
        <w:rPr>
          <w:lang w:val="en-US"/>
        </w:rPr>
        <w:t>are the following:</w:t>
      </w:r>
    </w:p>
    <w:p w14:paraId="0EE48714" w14:textId="24D55AC2" w:rsidR="00932D64" w:rsidRDefault="00932D64" w:rsidP="00932D64">
      <w:pPr>
        <w:numPr>
          <w:ilvl w:val="0"/>
          <w:numId w:val="36"/>
        </w:numPr>
        <w:spacing w:before="120" w:after="0"/>
        <w:ind w:left="426" w:hanging="284"/>
        <w:rPr>
          <w:rFonts w:ascii="Times" w:hAnsi="Times" w:cs="Times"/>
        </w:rPr>
      </w:pPr>
      <w:r>
        <w:rPr>
          <w:rFonts w:ascii="Times" w:hAnsi="Times" w:cs="Times"/>
        </w:rPr>
        <w:t>Specify mechanism to support NR sidelink CA operation based on LTE sidelink CA operation [RAN2, RAN1, RAN4]</w:t>
      </w:r>
    </w:p>
    <w:p w14:paraId="701ED005" w14:textId="28078D62"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Support only LTE sidelink CA features for NR (i.e., SL carrier (re-)selection, synchronization of aggregated carriers, power control for simultaneous sidelink TX, packet duplication)</w:t>
      </w:r>
    </w:p>
    <w:p w14:paraId="691F5423" w14:textId="44C7B853"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The work is limited to intra-band CA for the ITS band in FR1 (Band n47).</w:t>
      </w:r>
    </w:p>
    <w:p w14:paraId="71EBBA86"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No specific enhancements of Rel-17 sidelink features with sidelink CA support.</w:t>
      </w:r>
    </w:p>
    <w:p w14:paraId="7B5F9186"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This feature is backwards compatible in the following regards</w:t>
      </w:r>
    </w:p>
    <w:p w14:paraId="1C5EC2C9" w14:textId="77777777" w:rsidR="00932D64" w:rsidRDefault="00932D64" w:rsidP="00932D64">
      <w:pPr>
        <w:numPr>
          <w:ilvl w:val="1"/>
          <w:numId w:val="37"/>
        </w:numPr>
        <w:spacing w:before="60" w:after="60"/>
        <w:ind w:left="1418" w:hanging="284"/>
        <w:rPr>
          <w:rFonts w:ascii="Times" w:hAnsi="Times" w:cs="Times"/>
          <w:lang w:eastAsia="ko-KR"/>
        </w:rPr>
      </w:pPr>
      <w:bookmarkStart w:id="4" w:name="_Hlk89619097"/>
      <w:r>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4"/>
      <w:r>
        <w:rPr>
          <w:rFonts w:ascii="Times" w:hAnsi="Times" w:cs="Times"/>
          <w:lang w:eastAsia="ko-KR"/>
        </w:rPr>
        <w:t xml:space="preserve"> (when SL-HARQ is enabled in SCI)</w:t>
      </w:r>
    </w:p>
    <w:p w14:paraId="7A634B4B"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Only Mode 2 operation</w:t>
      </w:r>
    </w:p>
    <w:p w14:paraId="4E4C77E1"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Same subcarrier spacing (SCS) among CA carriers to avoid resource selection enhancements and AGC issues</w:t>
      </w:r>
    </w:p>
    <w:p w14:paraId="669FC17C" w14:textId="77777777" w:rsidR="00932D64" w:rsidRDefault="00932D64" w:rsidP="00932D64">
      <w:pPr>
        <w:numPr>
          <w:ilvl w:val="1"/>
          <w:numId w:val="37"/>
        </w:numPr>
        <w:spacing w:before="60" w:after="60"/>
        <w:rPr>
          <w:rFonts w:ascii="Times" w:hAnsi="Times" w:cs="Times"/>
          <w:lang w:eastAsia="ko-KR"/>
        </w:rPr>
      </w:pPr>
      <w:r>
        <w:rPr>
          <w:rFonts w:ascii="Times" w:hAnsi="Times" w:cs="Times"/>
          <w:lang w:eastAsia="ko-KR"/>
        </w:rPr>
        <w:t>Time resources for PSFCH are aligned among the carriers for CA</w:t>
      </w:r>
    </w:p>
    <w:p w14:paraId="19CEAE95"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No enhancement related to SCI transmissions on PSCCH/PSSCH, PSFCH transmission, RSRP feedback, CSI feedback and congestion control compared to Rel-16 (i.e., per-carrier operation)</w:t>
      </w:r>
    </w:p>
    <w:p w14:paraId="290C3943" w14:textId="77777777" w:rsidR="00932D64" w:rsidRDefault="00932D64" w:rsidP="00932D64">
      <w:pPr>
        <w:numPr>
          <w:ilvl w:val="1"/>
          <w:numId w:val="37"/>
        </w:numPr>
        <w:spacing w:before="60" w:after="60"/>
        <w:rPr>
          <w:rFonts w:ascii="Times" w:hAnsi="Times" w:cs="Times"/>
          <w:lang w:eastAsia="ko-KR"/>
        </w:rPr>
      </w:pPr>
      <w:r>
        <w:rPr>
          <w:rFonts w:ascii="Times" w:hAnsi="Times" w:cs="Times"/>
          <w:lang w:eastAsia="ko-KR"/>
        </w:rPr>
        <w:t>SL resource indication remains to be per-resource pool and per-carrier basis (no cross-carrier scheduling in SCI)</w:t>
      </w:r>
    </w:p>
    <w:p w14:paraId="54FD7C7B" w14:textId="77777777" w:rsidR="00932D64" w:rsidRDefault="00932D64" w:rsidP="00932D64">
      <w:pPr>
        <w:numPr>
          <w:ilvl w:val="1"/>
          <w:numId w:val="37"/>
        </w:numPr>
        <w:spacing w:before="60" w:after="60"/>
        <w:rPr>
          <w:rFonts w:ascii="Times" w:hAnsi="Times" w:cs="Times"/>
          <w:lang w:eastAsia="ko-KR"/>
        </w:rPr>
      </w:pPr>
      <w:r>
        <w:rPr>
          <w:rFonts w:ascii="Times" w:hAnsi="Times" w:cs="Times"/>
          <w:lang w:eastAsia="ko-KR"/>
        </w:rPr>
        <w:t>UE transmits SL HARQ feedback on the same carrier on which it receives the associated PSSCH</w:t>
      </w:r>
    </w:p>
    <w:p w14:paraId="1B9D5CEB"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No consideration for limited transmission and reception capability</w:t>
      </w:r>
    </w:p>
    <w:p w14:paraId="7F025BDD"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No primary/secondary carrier differentiation</w:t>
      </w:r>
    </w:p>
    <w:p w14:paraId="188B2BD7"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Reuse the LTE sidelink CA design for the following aspects:</w:t>
      </w:r>
    </w:p>
    <w:p w14:paraId="2E1DA901" w14:textId="77777777" w:rsidR="00932D64" w:rsidRDefault="00932D64" w:rsidP="00932D64">
      <w:pPr>
        <w:numPr>
          <w:ilvl w:val="1"/>
          <w:numId w:val="37"/>
        </w:numPr>
        <w:spacing w:before="60" w:after="60"/>
        <w:rPr>
          <w:rFonts w:ascii="Times" w:hAnsi="Times" w:cs="Times"/>
          <w:lang w:eastAsia="ko-KR"/>
        </w:rPr>
      </w:pPr>
      <w:r>
        <w:rPr>
          <w:rFonts w:ascii="Times" w:hAnsi="Times" w:cs="Times"/>
          <w:lang w:eastAsia="ko-KR"/>
        </w:rPr>
        <w:t>Sidelink carrier (re-)selection, synchronization of aggregated carriers, Tx power split for simultaneous sidelink transmissions, packet duplication</w:t>
      </w:r>
    </w:p>
    <w:p w14:paraId="42E9534B"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The CA band combination work in RAN4 is limited to intra-band contiguous CA in Rel-18.</w:t>
      </w:r>
    </w:p>
    <w:p w14:paraId="0C2D4C7A" w14:textId="77777777" w:rsidR="00932D64" w:rsidRDefault="00932D64" w:rsidP="00932D64">
      <w:pPr>
        <w:numPr>
          <w:ilvl w:val="0"/>
          <w:numId w:val="37"/>
        </w:numPr>
        <w:spacing w:before="60" w:after="60"/>
        <w:ind w:left="993" w:hanging="284"/>
        <w:rPr>
          <w:rFonts w:ascii="Times" w:hAnsi="Times" w:cs="Times"/>
          <w:lang w:eastAsia="ko-KR"/>
        </w:rPr>
      </w:pPr>
      <w:r>
        <w:rPr>
          <w:rFonts w:ascii="Times" w:hAnsi="Times" w:cs="Times"/>
          <w:lang w:eastAsia="ko-KR"/>
        </w:rPr>
        <w:t>Note: The SL CA work in Rel-18 mainly targets some V2X use cases</w:t>
      </w:r>
    </w:p>
    <w:p w14:paraId="5AD44BD7" w14:textId="767B994F" w:rsidR="00932D64" w:rsidRPr="00932D64" w:rsidRDefault="00932D64" w:rsidP="00FA07FA">
      <w:pPr>
        <w:spacing w:before="240" w:after="240"/>
        <w:jc w:val="both"/>
      </w:pPr>
      <w:r>
        <w:t>In this contribution we discuss the</w:t>
      </w:r>
      <w:r w:rsidR="0071211E" w:rsidRPr="0071211E">
        <w:t xml:space="preserve"> necessary changes to the current specifications</w:t>
      </w:r>
      <w:r w:rsidR="0071211E">
        <w:t xml:space="preserve"> to support CA in NR SL.</w:t>
      </w:r>
    </w:p>
    <w:bookmarkEnd w:id="1"/>
    <w:p w14:paraId="71230483" w14:textId="72F9C930" w:rsidR="00305297" w:rsidRDefault="007820D0" w:rsidP="00A23DCA">
      <w:pPr>
        <w:pStyle w:val="Heading1"/>
      </w:pPr>
      <w:r>
        <w:lastRenderedPageBreak/>
        <w:t>Discussion</w:t>
      </w:r>
    </w:p>
    <w:p w14:paraId="73A82122" w14:textId="66B99B23" w:rsidR="001F201D" w:rsidRPr="006E615D" w:rsidRDefault="006E615D" w:rsidP="006E615D">
      <w:pPr>
        <w:pStyle w:val="Heading2"/>
      </w:pPr>
      <w:r w:rsidRPr="006E615D">
        <w:t>Tx power split</w:t>
      </w:r>
    </w:p>
    <w:p w14:paraId="6A285868" w14:textId="77777777" w:rsidR="00CB399B" w:rsidRDefault="006E615D" w:rsidP="005E369D">
      <w:r>
        <w:t xml:space="preserve">According to the WID RAN1 should reuse LTE Tx power splitting mechanism for simultaneous sidelink transmissions. In LTE </w:t>
      </w:r>
      <w:r w:rsidR="00CB399B">
        <w:t xml:space="preserve">TS </w:t>
      </w:r>
      <w:r>
        <w:t>36.213</w:t>
      </w:r>
      <w:r w:rsidR="00CB399B">
        <w:t xml:space="preserve"> the operation is specified in the following way:</w:t>
      </w:r>
    </w:p>
    <w:p w14:paraId="728DC633" w14:textId="77777777" w:rsidR="00CB399B" w:rsidRDefault="006E615D" w:rsidP="005E369D">
      <w:pPr>
        <w:rPr>
          <w:lang w:val="en-US"/>
        </w:rPr>
      </w:pPr>
      <w:r>
        <w:t xml:space="preserve"> </w:t>
      </w:r>
    </w:p>
    <w:tbl>
      <w:tblPr>
        <w:tblStyle w:val="TableGrid1"/>
        <w:tblW w:w="0" w:type="auto"/>
        <w:tblInd w:w="360" w:type="dxa"/>
        <w:tblLook w:val="04A0" w:firstRow="1" w:lastRow="0" w:firstColumn="1" w:lastColumn="0" w:noHBand="0" w:noVBand="1"/>
      </w:tblPr>
      <w:tblGrid>
        <w:gridCol w:w="9269"/>
      </w:tblGrid>
      <w:tr w:rsidR="00CB399B" w:rsidRPr="00FA07FA" w14:paraId="587EE1AE" w14:textId="77777777" w:rsidTr="009C07E0">
        <w:tc>
          <w:tcPr>
            <w:tcW w:w="9602" w:type="dxa"/>
          </w:tcPr>
          <w:p w14:paraId="43F992BB" w14:textId="42EAD8B3" w:rsidR="00CB399B" w:rsidRPr="00CB399B" w:rsidRDefault="00CB399B" w:rsidP="00CB399B">
            <w:pPr>
              <w:rPr>
                <w:iCs/>
              </w:rPr>
            </w:pPr>
            <w:r>
              <w:rPr>
                <w:rFonts w:eastAsia="Malgun Gothic"/>
              </w:rPr>
              <w:t>In sidelink transmission mode 3 or 4, i</w:t>
            </w:r>
            <w:r>
              <w:rPr>
                <w:rFonts w:eastAsia="Times New Roman"/>
                <w:lang w:eastAsia="en-GB"/>
              </w:rPr>
              <w:t xml:space="preserve">f a UE's sidelink transmission </w:t>
            </w:r>
            <w:r>
              <w:t xml:space="preserve">on a carrier overlaps in time with sidelink transmission on other carrier(s) and </w:t>
            </w:r>
            <w:r>
              <w:rPr>
                <w:rFonts w:eastAsia="Times New Roman"/>
                <w:lang w:eastAsia="en-GB"/>
              </w:rPr>
              <w:t>its total transmission power exceed</w:t>
            </w:r>
            <w:r>
              <w:t>s</w:t>
            </w:r>
            <w:r>
              <w:rPr>
                <w:rFonts w:eastAsia="Times New Roman"/>
                <w:lang w:eastAsia="en-GB"/>
              </w:rPr>
              <w:t> </w:t>
            </w:r>
            <w:r>
              <w:rPr>
                <w:rFonts w:eastAsia="Times New Roman"/>
                <w:iCs/>
                <w:position w:val="-12"/>
                <w:lang w:eastAsia="en-GB"/>
              </w:rPr>
              <w:object w:dxaOrig="615" w:dyaOrig="375" w14:anchorId="5CA78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75pt" o:ole="">
                  <v:imagedata r:id="rId11" o:title=""/>
                </v:shape>
                <o:OLEObject Type="Embed" ProgID="Equation.DSMT4" ShapeID="_x0000_i1025" DrawAspect="Content" ObjectID="_1753306602" r:id="rId12"/>
              </w:object>
            </w:r>
            <w:r>
              <w:rPr>
                <w:rFonts w:eastAsia="Times New Roman"/>
                <w:iCs/>
                <w:lang w:eastAsia="en-GB"/>
              </w:rPr>
              <w:t>defined in [6]</w:t>
            </w:r>
            <w:r>
              <w:rPr>
                <w:iCs/>
              </w:rPr>
              <w:t xml:space="preserve">, the UE shall adjust the transmission power of the sidelink transmission which has SCI whose </w:t>
            </w:r>
            <w:r>
              <w:rPr>
                <w:rFonts w:eastAsia="Malgun Gothic"/>
              </w:rPr>
              <w:t>"Priority" field is set to the largest value among all the “Priority” values of the overlapped sidelink transmissions such that</w:t>
            </w:r>
            <w:r>
              <w:rPr>
                <w:rFonts w:eastAsia="Times New Roman"/>
                <w:lang w:eastAsia="en-GB"/>
              </w:rPr>
              <w:t xml:space="preserve"> its total transmission power does not exceed </w:t>
            </w:r>
            <w:r>
              <w:rPr>
                <w:rFonts w:eastAsia="Times New Roman"/>
                <w:iCs/>
                <w:position w:val="-12"/>
                <w:lang w:eastAsia="en-GB"/>
              </w:rPr>
              <w:object w:dxaOrig="615" w:dyaOrig="375" w14:anchorId="22989F09">
                <v:shape id="_x0000_i1026" type="#_x0000_t75" style="width:30.75pt;height:18.75pt" o:ole="">
                  <v:imagedata r:id="rId11" o:title=""/>
                </v:shape>
                <o:OLEObject Type="Embed" ProgID="Equation.DSMT4" ShapeID="_x0000_i1026" DrawAspect="Content" ObjectID="_1753306603" r:id="rId13"/>
              </w:object>
            </w:r>
            <w:r>
              <w:rPr>
                <w:rFonts w:eastAsia="Times New Roman"/>
                <w:iCs/>
                <w:lang w:eastAsia="en-GB"/>
              </w:rPr>
              <w:t>defined in [6]</w:t>
            </w:r>
            <w:r>
              <w:rPr>
                <w:iCs/>
              </w:rPr>
              <w:t xml:space="preserve">. In this case, calculation of the adjustment to the sidelink transmission power is not specified. If the transmission power still exceeds </w:t>
            </w:r>
            <w:r>
              <w:rPr>
                <w:rFonts w:eastAsia="Times New Roman"/>
                <w:iCs/>
                <w:position w:val="-12"/>
                <w:lang w:eastAsia="en-GB"/>
              </w:rPr>
              <w:object w:dxaOrig="615" w:dyaOrig="375" w14:anchorId="5419D25E">
                <v:shape id="_x0000_i1027" type="#_x0000_t75" style="width:30.75pt;height:18.75pt" o:ole="">
                  <v:imagedata r:id="rId11" o:title=""/>
                </v:shape>
                <o:OLEObject Type="Embed" ProgID="Equation.DSMT4" ShapeID="_x0000_i1027" DrawAspect="Content" ObjectID="_1753306604" r:id="rId14"/>
              </w:object>
            </w:r>
            <w:r>
              <w:rPr>
                <w:iCs/>
              </w:rPr>
              <w:t xml:space="preserve"> defined in [6] after this power adjustment, the UE shall drop the sidelink transmission with the largest “Priority” field in its SCI and repeat this procedure over the non-dropped carriers. It is not specified which sidelink transmission the UE adjusts when sidelink transmissions overlapping in time on two or more carriers have the same value for the “Priority” field.</w:t>
            </w:r>
          </w:p>
        </w:tc>
      </w:tr>
    </w:tbl>
    <w:p w14:paraId="7AC7C161" w14:textId="4688144F" w:rsidR="005E369D" w:rsidRDefault="005E369D" w:rsidP="005E369D">
      <w:pPr>
        <w:rPr>
          <w:lang w:val="en-US"/>
        </w:rPr>
      </w:pPr>
    </w:p>
    <w:p w14:paraId="6D7FE6E6" w14:textId="0B922E1E" w:rsidR="00CB399B" w:rsidRDefault="007A489D" w:rsidP="005E369D">
      <w:pPr>
        <w:rPr>
          <w:lang w:val="en-US"/>
        </w:rPr>
      </w:pPr>
      <w:r>
        <w:rPr>
          <w:lang w:val="en-US"/>
        </w:rPr>
        <w:t>The priority</w:t>
      </w:r>
      <w:r w:rsidR="78AAC798" w:rsidRPr="6E8C101B">
        <w:rPr>
          <w:lang w:val="en-US"/>
        </w:rPr>
        <w:t>-</w:t>
      </w:r>
      <w:r>
        <w:rPr>
          <w:lang w:val="en-US"/>
        </w:rPr>
        <w:t xml:space="preserve">based power allocation/splitting </w:t>
      </w:r>
      <w:r w:rsidR="00EB47D6">
        <w:rPr>
          <w:lang w:val="en-US"/>
        </w:rPr>
        <w:t xml:space="preserve">specified for LTE </w:t>
      </w:r>
      <w:r>
        <w:rPr>
          <w:lang w:val="en-US"/>
        </w:rPr>
        <w:t>can be used for</w:t>
      </w:r>
      <w:r w:rsidR="00CB399B">
        <w:rPr>
          <w:lang w:val="en-US"/>
        </w:rPr>
        <w:t xml:space="preserve"> </w:t>
      </w:r>
      <w:r w:rsidR="00EB47D6">
        <w:rPr>
          <w:lang w:val="en-US"/>
        </w:rPr>
        <w:t xml:space="preserve">NR </w:t>
      </w:r>
      <w:r w:rsidR="00CB399B">
        <w:rPr>
          <w:lang w:val="en-US"/>
        </w:rPr>
        <w:t>PSSCH/PSCCH</w:t>
      </w:r>
      <w:r>
        <w:rPr>
          <w:lang w:val="en-US"/>
        </w:rPr>
        <w:t xml:space="preserve"> transmissions.</w:t>
      </w:r>
    </w:p>
    <w:p w14:paraId="3FB71A16" w14:textId="33AEDFC3" w:rsidR="00CB399B" w:rsidRDefault="005A1109" w:rsidP="005E369D">
      <w:pPr>
        <w:rPr>
          <w:lang w:val="en-US"/>
        </w:rPr>
      </w:pPr>
      <w:r>
        <w:rPr>
          <w:lang w:val="en-US"/>
        </w:rPr>
        <w:t xml:space="preserve">In LTE, SLSS is transmitted on all the synchronization carriers or in one of the synchronization carriers depending on UE capability. </w:t>
      </w:r>
      <w:r w:rsidR="00CB399B">
        <w:rPr>
          <w:lang w:val="en-US"/>
        </w:rPr>
        <w:t xml:space="preserve">For </w:t>
      </w:r>
      <w:r w:rsidR="007C1A1C">
        <w:rPr>
          <w:lang w:val="en-US"/>
        </w:rPr>
        <w:t xml:space="preserve">NR </w:t>
      </w:r>
      <w:r w:rsidR="00CB399B">
        <w:rPr>
          <w:lang w:val="en-US"/>
        </w:rPr>
        <w:t>S-SSB</w:t>
      </w:r>
      <w:r w:rsidR="007C1A1C">
        <w:rPr>
          <w:lang w:val="en-US"/>
        </w:rPr>
        <w:t xml:space="preserve"> transmissions</w:t>
      </w:r>
      <w:r w:rsidR="00AC74D1">
        <w:rPr>
          <w:lang w:val="en-US"/>
        </w:rPr>
        <w:t>,</w:t>
      </w:r>
      <w:r w:rsidR="00CB399B">
        <w:rPr>
          <w:lang w:val="en-US"/>
        </w:rPr>
        <w:t xml:space="preserve"> </w:t>
      </w:r>
      <w:r w:rsidR="007C1A1C">
        <w:rPr>
          <w:lang w:val="en-US"/>
        </w:rPr>
        <w:t>the same operation as in LTE should be supported so that S-SSBs are transmitted in all the synchronization carriers simultaneously and the Tx powers of the S-SSBs are the same</w:t>
      </w:r>
      <w:r w:rsidR="00CB399B">
        <w:rPr>
          <w:lang w:val="en-US"/>
        </w:rPr>
        <w:t>.</w:t>
      </w:r>
    </w:p>
    <w:p w14:paraId="49542AB7" w14:textId="2CB3803B" w:rsidR="00CB399B" w:rsidRDefault="00CB399B" w:rsidP="005E369D">
      <w:pPr>
        <w:rPr>
          <w:lang w:val="en-US"/>
        </w:rPr>
      </w:pPr>
      <w:r>
        <w:rPr>
          <w:lang w:val="en-US"/>
        </w:rPr>
        <w:t>For PSFCH the current operation of having equal power for all the transmitted PSFCH</w:t>
      </w:r>
      <w:r w:rsidR="008F6CD2">
        <w:rPr>
          <w:lang w:val="en-US"/>
        </w:rPr>
        <w:t>s</w:t>
      </w:r>
      <w:r>
        <w:rPr>
          <w:lang w:val="en-US"/>
        </w:rPr>
        <w:t xml:space="preserve"> in the BWP </w:t>
      </w:r>
      <w:r w:rsidRPr="73080E13">
        <w:rPr>
          <w:lang w:val="en-US"/>
        </w:rPr>
        <w:t>c</w:t>
      </w:r>
      <w:r w:rsidR="13FBBD29" w:rsidRPr="73080E13">
        <w:rPr>
          <w:lang w:val="en-US"/>
        </w:rPr>
        <w:t>an</w:t>
      </w:r>
      <w:r>
        <w:rPr>
          <w:lang w:val="en-US"/>
        </w:rPr>
        <w:t xml:space="preserve"> be extended so that UE transmits all the PSFCHs </w:t>
      </w:r>
      <w:r w:rsidR="00C8019A">
        <w:rPr>
          <w:lang w:val="en-US"/>
        </w:rPr>
        <w:t xml:space="preserve">in all the aggregated carriers </w:t>
      </w:r>
      <w:r>
        <w:rPr>
          <w:lang w:val="en-US"/>
        </w:rPr>
        <w:t>with equal power</w:t>
      </w:r>
      <w:r w:rsidR="00C8019A">
        <w:rPr>
          <w:lang w:val="en-US"/>
        </w:rPr>
        <w:t>.</w:t>
      </w:r>
      <w:r w:rsidR="007C1A1C">
        <w:rPr>
          <w:lang w:val="en-US"/>
        </w:rPr>
        <w:t xml:space="preserve"> </w:t>
      </w:r>
      <w:r w:rsidR="00547EF7">
        <w:rPr>
          <w:lang w:val="en-US"/>
        </w:rPr>
        <w:t xml:space="preserve">According to the current specification </w:t>
      </w:r>
      <w:r w:rsidR="00940A26">
        <w:rPr>
          <w:lang w:val="en-US"/>
        </w:rPr>
        <w:t xml:space="preserve">a </w:t>
      </w:r>
      <w:r w:rsidR="00547EF7">
        <w:rPr>
          <w:lang w:val="en-US"/>
        </w:rPr>
        <w:t xml:space="preserve">UE may drop some of the PSFCH transmissions associated with lower priority PSSCH transmissions if the number of simultaneously supported PSFCH transmissions is exceeded or if </w:t>
      </w:r>
      <w:r w:rsidR="00940A26">
        <w:rPr>
          <w:lang w:val="en-US"/>
        </w:rPr>
        <w:t xml:space="preserve">the </w:t>
      </w:r>
      <w:r w:rsidR="00547EF7">
        <w:rPr>
          <w:lang w:val="en-US"/>
        </w:rPr>
        <w:t xml:space="preserve">UE is power limited when DL pathloss based power control is used. </w:t>
      </w:r>
      <w:r w:rsidR="00547EF7" w:rsidRPr="73080E13">
        <w:rPr>
          <w:lang w:val="en-US"/>
        </w:rPr>
        <w:t xml:space="preserve">The number of simultaneously transmitted PSFCHs can be large in CA </w:t>
      </w:r>
      <w:r w:rsidR="6A52F682" w:rsidRPr="73080E13">
        <w:rPr>
          <w:rFonts w:eastAsia="Times New Roman"/>
          <w:lang w:val="en-US"/>
        </w:rPr>
        <w:t xml:space="preserve">but the Rel-16/17 method of splitting the TX power </w:t>
      </w:r>
      <w:r w:rsidR="00547EF7" w:rsidRPr="73080E13">
        <w:rPr>
          <w:lang w:val="en-US"/>
        </w:rPr>
        <w:t xml:space="preserve">and </w:t>
      </w:r>
      <w:r w:rsidR="5EE3AB00" w:rsidRPr="73080E13">
        <w:rPr>
          <w:lang w:val="en-US"/>
        </w:rPr>
        <w:t xml:space="preserve">dropping of </w:t>
      </w:r>
      <w:r w:rsidR="0E2D65D6" w:rsidRPr="73080E13">
        <w:rPr>
          <w:lang w:val="en-US"/>
        </w:rPr>
        <w:t>the low priority PSFCH transmissions</w:t>
      </w:r>
      <w:r w:rsidR="1F374C93" w:rsidRPr="73080E13">
        <w:rPr>
          <w:lang w:val="en-US"/>
        </w:rPr>
        <w:t xml:space="preserve"> </w:t>
      </w:r>
      <w:r w:rsidR="1970187D" w:rsidRPr="73080E13">
        <w:rPr>
          <w:lang w:val="en-US"/>
        </w:rPr>
        <w:t>can</w:t>
      </w:r>
      <w:r w:rsidR="1F374C93" w:rsidRPr="73080E13">
        <w:rPr>
          <w:lang w:val="en-US"/>
        </w:rPr>
        <w:t xml:space="preserve"> be modified so that all the simultaneous PSFCH transmissions in all the aggregated carriers are </w:t>
      </w:r>
      <w:r w:rsidR="163877BB" w:rsidRPr="73080E13">
        <w:rPr>
          <w:lang w:val="en-US"/>
        </w:rPr>
        <w:t>considered</w:t>
      </w:r>
      <w:r w:rsidR="4C17B3FB" w:rsidRPr="73080E13">
        <w:rPr>
          <w:lang w:val="en-US"/>
        </w:rPr>
        <w:t xml:space="preserve"> in the PSFCH power contro</w:t>
      </w:r>
      <w:r w:rsidR="4C435576" w:rsidRPr="73080E13">
        <w:rPr>
          <w:lang w:val="en-US"/>
        </w:rPr>
        <w:t>l procedure</w:t>
      </w:r>
      <w:r w:rsidR="4C17B3FB" w:rsidRPr="73080E13">
        <w:rPr>
          <w:lang w:val="en-US"/>
        </w:rPr>
        <w:t>.</w:t>
      </w:r>
      <w:r w:rsidR="0E2D65D6" w:rsidRPr="73080E13">
        <w:rPr>
          <w:lang w:val="en-US"/>
        </w:rPr>
        <w:t xml:space="preserve"> </w:t>
      </w:r>
    </w:p>
    <w:p w14:paraId="05BC2721" w14:textId="2F763E84" w:rsidR="00CB399B" w:rsidRDefault="003B0FA6" w:rsidP="005E369D">
      <w:pPr>
        <w:rPr>
          <w:lang w:val="en-US"/>
        </w:rPr>
      </w:pPr>
      <w:r w:rsidRPr="0054040B">
        <w:rPr>
          <w:b/>
          <w:bCs/>
          <w:lang w:val="en-US"/>
        </w:rPr>
        <w:t>Proposal 1:</w:t>
      </w:r>
      <w:r>
        <w:rPr>
          <w:lang w:val="en-US"/>
        </w:rPr>
        <w:t xml:space="preserve"> For NR PSSCH/PSCCH, when </w:t>
      </w:r>
      <w:r w:rsidR="00940A26">
        <w:rPr>
          <w:lang w:val="en-US"/>
        </w:rPr>
        <w:t>a</w:t>
      </w:r>
      <w:r>
        <w:rPr>
          <w:lang w:val="en-US"/>
        </w:rPr>
        <w:t xml:space="preserve"> UE is power limited reuse the power splitting/allocation mechanism specified for LTE.</w:t>
      </w:r>
    </w:p>
    <w:p w14:paraId="3C657CBA" w14:textId="0C765904" w:rsidR="003B0FA6" w:rsidRDefault="003B0FA6" w:rsidP="005E369D">
      <w:pPr>
        <w:rPr>
          <w:lang w:val="en-US"/>
        </w:rPr>
      </w:pPr>
      <w:r w:rsidRPr="0054040B">
        <w:rPr>
          <w:b/>
          <w:bCs/>
          <w:lang w:val="en-US"/>
        </w:rPr>
        <w:t>Proposal 2:</w:t>
      </w:r>
      <w:r>
        <w:rPr>
          <w:lang w:val="en-US"/>
        </w:rPr>
        <w:t xml:space="preserve"> When </w:t>
      </w:r>
      <w:r w:rsidR="00940A26">
        <w:rPr>
          <w:lang w:val="en-US"/>
        </w:rPr>
        <w:t xml:space="preserve">a </w:t>
      </w:r>
      <w:r>
        <w:rPr>
          <w:lang w:val="en-US"/>
        </w:rPr>
        <w:t>UE transmits S-SSB simultaneously in multiple carriers, the TX power is split equally to the carriers.</w:t>
      </w:r>
    </w:p>
    <w:p w14:paraId="23E10F8B" w14:textId="440DD162" w:rsidR="003B0FA6" w:rsidRDefault="003B0FA6" w:rsidP="005E369D">
      <w:pPr>
        <w:rPr>
          <w:rFonts w:eastAsia="Times New Roman"/>
          <w:lang w:val="en-US"/>
        </w:rPr>
      </w:pPr>
      <w:r w:rsidRPr="73080E13">
        <w:rPr>
          <w:b/>
          <w:bCs/>
          <w:lang w:val="en-US"/>
        </w:rPr>
        <w:t>Proposal 3:</w:t>
      </w:r>
      <w:r w:rsidRPr="73080E13">
        <w:rPr>
          <w:lang w:val="en-US"/>
        </w:rPr>
        <w:t xml:space="preserve"> </w:t>
      </w:r>
      <w:r w:rsidR="164AAAD9" w:rsidRPr="73080E13">
        <w:rPr>
          <w:rFonts w:eastAsia="Times New Roman"/>
          <w:lang w:val="en-US"/>
        </w:rPr>
        <w:t xml:space="preserve"> For PSFCH, the current Rel-16/17 power </w:t>
      </w:r>
      <w:r w:rsidR="076BEE4F" w:rsidRPr="73080E13">
        <w:rPr>
          <w:rFonts w:eastAsia="Times New Roman"/>
          <w:lang w:val="en-US"/>
        </w:rPr>
        <w:t>control procedure</w:t>
      </w:r>
      <w:r w:rsidR="164AAAD9" w:rsidRPr="73080E13">
        <w:rPr>
          <w:rFonts w:eastAsia="Times New Roman"/>
          <w:lang w:val="en-US"/>
        </w:rPr>
        <w:t xml:space="preserve"> is modified so that </w:t>
      </w:r>
      <w:r w:rsidR="6CE2A9C3" w:rsidRPr="73080E13">
        <w:rPr>
          <w:rFonts w:eastAsia="Times New Roman"/>
          <w:lang w:val="en-US"/>
        </w:rPr>
        <w:t xml:space="preserve">the </w:t>
      </w:r>
      <w:r w:rsidR="164AAAD9" w:rsidRPr="73080E13">
        <w:rPr>
          <w:rFonts w:eastAsia="Times New Roman"/>
          <w:lang w:val="en-US"/>
        </w:rPr>
        <w:t xml:space="preserve">Tx power of each PSFCH is based on </w:t>
      </w:r>
      <w:r w:rsidR="2E98EC87" w:rsidRPr="73080E13">
        <w:rPr>
          <w:rFonts w:eastAsia="Times New Roman"/>
          <w:lang w:val="en-US"/>
        </w:rPr>
        <w:t xml:space="preserve">the number of </w:t>
      </w:r>
      <w:r w:rsidR="164AAAD9" w:rsidRPr="73080E13">
        <w:rPr>
          <w:rFonts w:eastAsia="Times New Roman"/>
          <w:lang w:val="en-US"/>
        </w:rPr>
        <w:t>simultaneous PSFCH transmissions on all the resource pools on all</w:t>
      </w:r>
      <w:r w:rsidR="0640AE89" w:rsidRPr="73080E13">
        <w:rPr>
          <w:rFonts w:eastAsia="Times New Roman"/>
          <w:lang w:val="en-US"/>
        </w:rPr>
        <w:t xml:space="preserve"> the</w:t>
      </w:r>
      <w:r w:rsidR="164AAAD9" w:rsidRPr="73080E13">
        <w:rPr>
          <w:rFonts w:eastAsia="Times New Roman"/>
          <w:lang w:val="en-US"/>
        </w:rPr>
        <w:t xml:space="preserve"> aggregated carriers.</w:t>
      </w:r>
    </w:p>
    <w:p w14:paraId="5852854F" w14:textId="77777777" w:rsidR="003B0FA6" w:rsidRDefault="003B0FA6" w:rsidP="005E369D">
      <w:pPr>
        <w:rPr>
          <w:lang w:val="en-US"/>
        </w:rPr>
      </w:pPr>
    </w:p>
    <w:p w14:paraId="7593B710" w14:textId="0AB9D9DE" w:rsidR="006E615D" w:rsidRDefault="006E615D" w:rsidP="006E615D">
      <w:pPr>
        <w:pStyle w:val="Heading2"/>
        <w:rPr>
          <w:lang w:val="en-US"/>
        </w:rPr>
      </w:pPr>
      <w:r>
        <w:rPr>
          <w:lang w:val="en-US"/>
        </w:rPr>
        <w:t>Synchronization of aggregated carriers</w:t>
      </w:r>
    </w:p>
    <w:p w14:paraId="16E7CF13" w14:textId="1519D000" w:rsidR="006E615D" w:rsidRDefault="003B0FA6" w:rsidP="005E369D">
      <w:pPr>
        <w:rPr>
          <w:lang w:val="en-US"/>
        </w:rPr>
      </w:pPr>
      <w:r>
        <w:rPr>
          <w:lang w:val="en-US"/>
        </w:rPr>
        <w:t xml:space="preserve">In LTE </w:t>
      </w:r>
      <w:r w:rsidR="004A6C53">
        <w:rPr>
          <w:lang w:val="en-US"/>
        </w:rPr>
        <w:t xml:space="preserve">when SLSS based synchronization is used, UE compares SLSS-ids in all the carriers and selects the </w:t>
      </w:r>
      <w:r w:rsidR="0054040B">
        <w:rPr>
          <w:lang w:val="en-US"/>
        </w:rPr>
        <w:t xml:space="preserve">carrier with the </w:t>
      </w:r>
      <w:r w:rsidR="004A6C53">
        <w:rPr>
          <w:lang w:val="en-US"/>
        </w:rPr>
        <w:t>highest priority SLSS</w:t>
      </w:r>
      <w:r w:rsidR="0054040B">
        <w:rPr>
          <w:lang w:val="en-US"/>
        </w:rPr>
        <w:t xml:space="preserve"> as the synchronization carrier</w:t>
      </w:r>
      <w:r w:rsidR="004A6C53">
        <w:rPr>
          <w:lang w:val="en-US"/>
        </w:rPr>
        <w:t>. Th</w:t>
      </w:r>
      <w:r w:rsidR="00014ED7">
        <w:rPr>
          <w:lang w:val="en-US"/>
        </w:rPr>
        <w:t>e selected</w:t>
      </w:r>
      <w:r w:rsidR="004A6C53">
        <w:rPr>
          <w:lang w:val="en-US"/>
        </w:rPr>
        <w:t xml:space="preserve"> SLSS is used to synchronize all the aggregated carriers. If only lowest priority SLSS is found i</w:t>
      </w:r>
      <w:r w:rsidR="00014ED7">
        <w:rPr>
          <w:lang w:val="en-US"/>
        </w:rPr>
        <w:t>n</w:t>
      </w:r>
      <w:r w:rsidR="004A6C53">
        <w:rPr>
          <w:lang w:val="en-US"/>
        </w:rPr>
        <w:t xml:space="preserve"> the synchronization carriers, it is up to </w:t>
      </w:r>
      <w:r w:rsidR="00940A26">
        <w:rPr>
          <w:lang w:val="en-US"/>
        </w:rPr>
        <w:t xml:space="preserve">the </w:t>
      </w:r>
      <w:r w:rsidR="004A6C53">
        <w:rPr>
          <w:lang w:val="en-US"/>
        </w:rPr>
        <w:t>UE to select the synchronization reference. For NR, the same procedure can be used. If only lowest priority SLSS-ids are found</w:t>
      </w:r>
      <w:r w:rsidR="00014ED7">
        <w:rPr>
          <w:lang w:val="en-US"/>
        </w:rPr>
        <w:t>,</w:t>
      </w:r>
      <w:r w:rsidR="004A6C53">
        <w:rPr>
          <w:lang w:val="en-US"/>
        </w:rPr>
        <w:t xml:space="preserve"> using S-RSRP </w:t>
      </w:r>
      <w:r w:rsidR="00014ED7">
        <w:rPr>
          <w:lang w:val="en-US"/>
        </w:rPr>
        <w:t xml:space="preserve">as an additional criteria should be considered. </w:t>
      </w:r>
      <w:r w:rsidR="00940A26">
        <w:rPr>
          <w:lang w:val="en-US"/>
        </w:rPr>
        <w:t xml:space="preserve">A </w:t>
      </w:r>
      <w:r w:rsidR="00014ED7">
        <w:rPr>
          <w:lang w:val="en-US"/>
        </w:rPr>
        <w:t>CA UE may be able to find that synchronization in the aggregated carriers is not aligned and selecting the highest RSRP and using it for S-SSB transmissions could speed up the process of finding common synchronization for all the nearby UEs.</w:t>
      </w:r>
    </w:p>
    <w:p w14:paraId="59E6E38A" w14:textId="61268008" w:rsidR="00014ED7" w:rsidRDefault="00B757FD" w:rsidP="005E369D">
      <w:pPr>
        <w:rPr>
          <w:rFonts w:ascii="TimesNewRoman" w:eastAsia="Times New Roman" w:hAnsi="TimesNewRoman" w:cs="TimesNewRoman"/>
          <w:iCs/>
          <w:color w:val="000000"/>
          <w:szCs w:val="24"/>
          <w:lang w:val="en-US"/>
        </w:rPr>
      </w:pPr>
      <w:r>
        <w:rPr>
          <w:lang w:val="en-US"/>
        </w:rPr>
        <w:t xml:space="preserve">Regarding S-SSB transmission, depending on </w:t>
      </w:r>
      <w:r w:rsidR="0099169E">
        <w:rPr>
          <w:lang w:val="en-US"/>
        </w:rPr>
        <w:t xml:space="preserve">the </w:t>
      </w:r>
      <w:r>
        <w:rPr>
          <w:lang w:val="en-US"/>
        </w:rPr>
        <w:t>threshold</w:t>
      </w:r>
      <w:r w:rsidR="0099169E">
        <w:rPr>
          <w:lang w:val="en-US"/>
        </w:rPr>
        <w:t xml:space="preserve"> defined by parameter</w:t>
      </w:r>
      <w:r>
        <w:rPr>
          <w:lang w:val="en-US"/>
        </w:rPr>
        <w:t xml:space="preserve"> </w:t>
      </w:r>
      <w:r>
        <w:rPr>
          <w:rFonts w:ascii="TimesNewRoman" w:eastAsia="Times New Roman" w:hAnsi="TimesNewRoman" w:cs="TimesNewRoman"/>
          <w:i/>
          <w:color w:val="000000"/>
          <w:szCs w:val="24"/>
          <w:lang w:val="x-none"/>
        </w:rPr>
        <w:t>syncTxThresh</w:t>
      </w:r>
      <w:r w:rsidR="0099169E" w:rsidRPr="0099169E">
        <w:rPr>
          <w:rFonts w:ascii="TimesNewRoman" w:eastAsia="Times New Roman" w:hAnsi="TimesNewRoman" w:cs="TimesNewRoman"/>
          <w:i/>
          <w:color w:val="000000"/>
          <w:szCs w:val="24"/>
          <w:lang w:val="x-none"/>
        </w:rPr>
        <w:t>OoC</w:t>
      </w:r>
      <w:r w:rsidR="0099169E" w:rsidRPr="0099169E">
        <w:rPr>
          <w:rFonts w:ascii="TimesNewRoman" w:eastAsia="Times New Roman" w:hAnsi="TimesNewRoman" w:cs="TimesNewRoman"/>
          <w:i/>
          <w:color w:val="000000"/>
          <w:szCs w:val="24"/>
          <w:lang w:val="en-US"/>
        </w:rPr>
        <w:t xml:space="preserve"> </w:t>
      </w:r>
      <w:r w:rsidR="0099169E">
        <w:rPr>
          <w:rFonts w:ascii="TimesNewRoman" w:eastAsia="Times New Roman" w:hAnsi="TimesNewRoman" w:cs="TimesNewRoman"/>
          <w:iCs/>
          <w:color w:val="000000"/>
          <w:szCs w:val="24"/>
          <w:lang w:val="en-US"/>
        </w:rPr>
        <w:t xml:space="preserve">UE may skip the S-SSB transmission, if it concludes that S-SSB power level is already high enough. In LTE CA, the determination of the </w:t>
      </w:r>
      <w:r w:rsidR="0099169E">
        <w:rPr>
          <w:rFonts w:ascii="TimesNewRoman" w:eastAsia="Times New Roman" w:hAnsi="TimesNewRoman" w:cs="TimesNewRoman"/>
          <w:i/>
          <w:color w:val="000000"/>
          <w:szCs w:val="24"/>
          <w:lang w:val="x-none"/>
        </w:rPr>
        <w:t>syncTxThresh</w:t>
      </w:r>
      <w:r w:rsidR="0099169E" w:rsidRPr="0099169E">
        <w:rPr>
          <w:rFonts w:ascii="TimesNewRoman" w:eastAsia="Times New Roman" w:hAnsi="TimesNewRoman" w:cs="TimesNewRoman"/>
          <w:i/>
          <w:color w:val="000000"/>
          <w:szCs w:val="24"/>
          <w:lang w:val="x-none"/>
        </w:rPr>
        <w:t>OoC</w:t>
      </w:r>
      <w:r w:rsidR="0099169E" w:rsidRPr="0099169E">
        <w:rPr>
          <w:rFonts w:ascii="TimesNewRoman" w:eastAsia="Times New Roman" w:hAnsi="TimesNewRoman" w:cs="TimesNewRoman"/>
          <w:i/>
          <w:color w:val="000000"/>
          <w:szCs w:val="24"/>
          <w:lang w:val="en-US"/>
        </w:rPr>
        <w:t xml:space="preserve"> </w:t>
      </w:r>
      <w:r w:rsidR="0099169E">
        <w:rPr>
          <w:rFonts w:ascii="TimesNewRoman" w:eastAsia="Times New Roman" w:hAnsi="TimesNewRoman" w:cs="TimesNewRoman"/>
          <w:iCs/>
          <w:color w:val="000000"/>
          <w:szCs w:val="24"/>
          <w:lang w:val="en-US"/>
        </w:rPr>
        <w:t xml:space="preserve">threshold is done on the selected synchronization carrier and </w:t>
      </w:r>
      <w:r w:rsidR="00940A26">
        <w:rPr>
          <w:rFonts w:ascii="TimesNewRoman" w:eastAsia="Times New Roman" w:hAnsi="TimesNewRoman" w:cs="TimesNewRoman"/>
          <w:iCs/>
          <w:color w:val="000000"/>
          <w:szCs w:val="24"/>
          <w:lang w:val="en-US"/>
        </w:rPr>
        <w:t xml:space="preserve">the </w:t>
      </w:r>
      <w:r w:rsidR="0099169E">
        <w:rPr>
          <w:rFonts w:ascii="TimesNewRoman" w:eastAsia="Times New Roman" w:hAnsi="TimesNewRoman" w:cs="TimesNewRoman"/>
          <w:iCs/>
          <w:color w:val="000000"/>
          <w:szCs w:val="24"/>
          <w:lang w:val="en-US"/>
        </w:rPr>
        <w:t xml:space="preserve">UE then transmits or skips </w:t>
      </w:r>
      <w:r w:rsidR="0099169E">
        <w:rPr>
          <w:rFonts w:ascii="TimesNewRoman" w:eastAsia="Times New Roman" w:hAnsi="TimesNewRoman" w:cs="TimesNewRoman"/>
          <w:iCs/>
          <w:color w:val="000000"/>
          <w:szCs w:val="24"/>
          <w:lang w:val="en-US"/>
        </w:rPr>
        <w:lastRenderedPageBreak/>
        <w:t xml:space="preserve">SLSS in all the aggregated carriers. The consequence of this operation is that </w:t>
      </w:r>
      <w:r w:rsidR="00940A26">
        <w:rPr>
          <w:rFonts w:ascii="TimesNewRoman" w:eastAsia="Times New Roman" w:hAnsi="TimesNewRoman" w:cs="TimesNewRoman"/>
          <w:iCs/>
          <w:color w:val="000000"/>
          <w:szCs w:val="24"/>
          <w:lang w:val="en-US"/>
        </w:rPr>
        <w:t xml:space="preserve">the </w:t>
      </w:r>
      <w:r w:rsidR="0099169E">
        <w:rPr>
          <w:rFonts w:ascii="TimesNewRoman" w:eastAsia="Times New Roman" w:hAnsi="TimesNewRoman" w:cs="TimesNewRoman"/>
          <w:iCs/>
          <w:color w:val="000000"/>
          <w:szCs w:val="24"/>
          <w:lang w:val="en-US"/>
        </w:rPr>
        <w:t xml:space="preserve">UE may skip SLSS transmissions in </w:t>
      </w:r>
      <w:r w:rsidR="008841E7">
        <w:rPr>
          <w:rFonts w:ascii="TimesNewRoman" w:eastAsia="Times New Roman" w:hAnsi="TimesNewRoman" w:cs="TimesNewRoman"/>
          <w:iCs/>
          <w:color w:val="000000"/>
          <w:szCs w:val="24"/>
          <w:lang w:val="en-US"/>
        </w:rPr>
        <w:t xml:space="preserve">some of </w:t>
      </w:r>
      <w:r w:rsidR="0099169E">
        <w:rPr>
          <w:rFonts w:ascii="TimesNewRoman" w:eastAsia="Times New Roman" w:hAnsi="TimesNewRoman" w:cs="TimesNewRoman"/>
          <w:iCs/>
          <w:color w:val="000000"/>
          <w:szCs w:val="24"/>
          <w:lang w:val="en-US"/>
        </w:rPr>
        <w:t>the synchronization carrier</w:t>
      </w:r>
      <w:r w:rsidR="008841E7">
        <w:rPr>
          <w:rFonts w:ascii="TimesNewRoman" w:eastAsia="Times New Roman" w:hAnsi="TimesNewRoman" w:cs="TimesNewRoman"/>
          <w:iCs/>
          <w:color w:val="000000"/>
          <w:szCs w:val="24"/>
          <w:lang w:val="en-US"/>
        </w:rPr>
        <w:t>s</w:t>
      </w:r>
      <w:r w:rsidR="0099169E">
        <w:rPr>
          <w:rFonts w:ascii="TimesNewRoman" w:eastAsia="Times New Roman" w:hAnsi="TimesNewRoman" w:cs="TimesNewRoman"/>
          <w:iCs/>
          <w:color w:val="000000"/>
          <w:szCs w:val="24"/>
          <w:lang w:val="en-US"/>
        </w:rPr>
        <w:t xml:space="preserve"> even if there are no SLSS in that </w:t>
      </w:r>
      <w:r w:rsidR="00940A26">
        <w:rPr>
          <w:rFonts w:ascii="TimesNewRoman" w:eastAsia="Times New Roman" w:hAnsi="TimesNewRoman" w:cs="TimesNewRoman"/>
          <w:iCs/>
          <w:color w:val="000000"/>
          <w:szCs w:val="24"/>
          <w:lang w:val="en-US"/>
        </w:rPr>
        <w:t>carrier</w:t>
      </w:r>
      <w:r w:rsidR="0099169E">
        <w:rPr>
          <w:rFonts w:ascii="TimesNewRoman" w:eastAsia="Times New Roman" w:hAnsi="TimesNewRoman" w:cs="TimesNewRoman"/>
          <w:iCs/>
          <w:color w:val="000000"/>
          <w:szCs w:val="24"/>
          <w:lang w:val="en-US"/>
        </w:rPr>
        <w:t xml:space="preserve">. For NR the operation could be improved so that checking of </w:t>
      </w:r>
      <w:r w:rsidR="0099169E">
        <w:rPr>
          <w:rFonts w:ascii="TimesNewRoman" w:eastAsia="Times New Roman" w:hAnsi="TimesNewRoman" w:cs="TimesNewRoman"/>
          <w:i/>
          <w:color w:val="000000"/>
          <w:szCs w:val="24"/>
          <w:lang w:val="x-none"/>
        </w:rPr>
        <w:t>syncTxThresh</w:t>
      </w:r>
      <w:r w:rsidR="0099169E" w:rsidRPr="0099169E">
        <w:rPr>
          <w:rFonts w:ascii="TimesNewRoman" w:eastAsia="Times New Roman" w:hAnsi="TimesNewRoman" w:cs="TimesNewRoman"/>
          <w:i/>
          <w:color w:val="000000"/>
          <w:szCs w:val="24"/>
          <w:lang w:val="x-none"/>
        </w:rPr>
        <w:t>OoC</w:t>
      </w:r>
      <w:r w:rsidR="0099169E" w:rsidRPr="0099169E">
        <w:rPr>
          <w:rFonts w:ascii="TimesNewRoman" w:eastAsia="Times New Roman" w:hAnsi="TimesNewRoman" w:cs="TimesNewRoman"/>
          <w:i/>
          <w:color w:val="000000"/>
          <w:szCs w:val="24"/>
          <w:lang w:val="en-US"/>
        </w:rPr>
        <w:t xml:space="preserve"> </w:t>
      </w:r>
      <w:r w:rsidR="0099169E">
        <w:rPr>
          <w:rFonts w:ascii="TimesNewRoman" w:eastAsia="Times New Roman" w:hAnsi="TimesNewRoman" w:cs="TimesNewRoman"/>
          <w:iCs/>
          <w:color w:val="000000"/>
          <w:szCs w:val="24"/>
          <w:lang w:val="en-US"/>
        </w:rPr>
        <w:t xml:space="preserve">threshold is done separately for all the carriers where S-SSB </w:t>
      </w:r>
      <w:r w:rsidR="008841E7">
        <w:rPr>
          <w:rFonts w:ascii="TimesNewRoman" w:eastAsia="Times New Roman" w:hAnsi="TimesNewRoman" w:cs="TimesNewRoman"/>
          <w:iCs/>
          <w:color w:val="000000"/>
          <w:szCs w:val="24"/>
          <w:lang w:val="en-US"/>
        </w:rPr>
        <w:t xml:space="preserve">is intended to be transmitted. </w:t>
      </w:r>
    </w:p>
    <w:p w14:paraId="0391EE83" w14:textId="022DE10F" w:rsidR="008841E7" w:rsidRDefault="0054040B" w:rsidP="005E369D">
      <w:pPr>
        <w:rPr>
          <w:lang w:eastAsia="zh-CN"/>
        </w:rPr>
      </w:pPr>
      <w:r w:rsidRPr="0054040B">
        <w:rPr>
          <w:b/>
          <w:bCs/>
          <w:iCs/>
          <w:lang w:val="en-US"/>
        </w:rPr>
        <w:t>Proposal 4:</w:t>
      </w:r>
      <w:r>
        <w:rPr>
          <w:iCs/>
          <w:lang w:val="en-US"/>
        </w:rPr>
        <w:t xml:space="preserve"> </w:t>
      </w:r>
      <w:r>
        <w:rPr>
          <w:lang w:val="en-US" w:eastAsia="zh-CN"/>
        </w:rPr>
        <w:t>I</w:t>
      </w:r>
      <w:r>
        <w:rPr>
          <w:lang w:eastAsia="zh-CN"/>
        </w:rPr>
        <w:t xml:space="preserve">f a UE detects two or more </w:t>
      </w:r>
      <w:r w:rsidR="00AD670F">
        <w:rPr>
          <w:lang w:eastAsia="zh-CN"/>
        </w:rPr>
        <w:t>synchronization</w:t>
      </w:r>
      <w:r>
        <w:rPr>
          <w:lang w:eastAsia="zh-CN"/>
        </w:rPr>
        <w:t xml:space="preserve"> carriers with the same </w:t>
      </w:r>
      <w:r w:rsidR="00AD670F">
        <w:rPr>
          <w:lang w:eastAsia="zh-CN"/>
        </w:rPr>
        <w:t>synchronization</w:t>
      </w:r>
      <w:r>
        <w:rPr>
          <w:lang w:eastAsia="zh-CN"/>
        </w:rPr>
        <w:t xml:space="preserve"> source priority, then SLSS RSRP criteria is used for the selection of the synchronization carrier.</w:t>
      </w:r>
    </w:p>
    <w:p w14:paraId="0394B7F9" w14:textId="19D851CE" w:rsidR="0054040B" w:rsidRPr="0054040B" w:rsidRDefault="0054040B" w:rsidP="005E369D">
      <w:pPr>
        <w:rPr>
          <w:b/>
          <w:bCs/>
          <w:iCs/>
          <w:lang w:val="en-US"/>
        </w:rPr>
      </w:pPr>
      <w:r w:rsidRPr="0054040B">
        <w:rPr>
          <w:b/>
          <w:bCs/>
          <w:lang w:eastAsia="zh-CN"/>
        </w:rPr>
        <w:t xml:space="preserve">Proposal 5: </w:t>
      </w:r>
      <w:r w:rsidRPr="0054040B">
        <w:rPr>
          <w:lang w:eastAsia="zh-CN"/>
        </w:rPr>
        <w:t>The checkin</w:t>
      </w:r>
      <w:r>
        <w:rPr>
          <w:lang w:eastAsia="zh-CN"/>
        </w:rPr>
        <w:t xml:space="preserve">g of </w:t>
      </w:r>
      <w:r>
        <w:rPr>
          <w:rFonts w:ascii="TimesNewRoman" w:eastAsia="Times New Roman" w:hAnsi="TimesNewRoman" w:cs="TimesNewRoman"/>
          <w:i/>
          <w:color w:val="000000"/>
          <w:szCs w:val="24"/>
          <w:lang w:val="x-none"/>
        </w:rPr>
        <w:t>syncTxThresh</w:t>
      </w:r>
      <w:r w:rsidRPr="0099169E">
        <w:rPr>
          <w:rFonts w:ascii="TimesNewRoman" w:eastAsia="Times New Roman" w:hAnsi="TimesNewRoman" w:cs="TimesNewRoman"/>
          <w:i/>
          <w:color w:val="000000"/>
          <w:szCs w:val="24"/>
          <w:lang w:val="x-none"/>
        </w:rPr>
        <w:t>OoC</w:t>
      </w:r>
      <w:r w:rsidRPr="0099169E">
        <w:rPr>
          <w:rFonts w:ascii="TimesNewRoman" w:eastAsia="Times New Roman" w:hAnsi="TimesNewRoman" w:cs="TimesNewRoman"/>
          <w:i/>
          <w:color w:val="000000"/>
          <w:szCs w:val="24"/>
          <w:lang w:val="en-US"/>
        </w:rPr>
        <w:t xml:space="preserve"> </w:t>
      </w:r>
      <w:r>
        <w:rPr>
          <w:rFonts w:ascii="TimesNewRoman" w:eastAsia="Times New Roman" w:hAnsi="TimesNewRoman" w:cs="TimesNewRoman"/>
          <w:iCs/>
          <w:color w:val="000000"/>
          <w:szCs w:val="24"/>
          <w:lang w:val="en-US"/>
        </w:rPr>
        <w:t>threshold</w:t>
      </w:r>
      <w:r w:rsidR="003222F9">
        <w:rPr>
          <w:rFonts w:ascii="TimesNewRoman" w:eastAsia="Times New Roman" w:hAnsi="TimesNewRoman" w:cs="TimesNewRoman"/>
          <w:iCs/>
          <w:color w:val="000000"/>
          <w:szCs w:val="24"/>
          <w:lang w:val="en-US"/>
        </w:rPr>
        <w:t xml:space="preserve"> to determine if NR S-SSB is transmitted,</w:t>
      </w:r>
      <w:r>
        <w:rPr>
          <w:rFonts w:ascii="TimesNewRoman" w:eastAsia="Times New Roman" w:hAnsi="TimesNewRoman" w:cs="TimesNewRoman"/>
          <w:iCs/>
          <w:color w:val="000000"/>
          <w:szCs w:val="24"/>
          <w:lang w:val="en-US"/>
        </w:rPr>
        <w:t xml:space="preserve"> is done separately </w:t>
      </w:r>
      <w:r w:rsidR="003222F9">
        <w:rPr>
          <w:rFonts w:ascii="TimesNewRoman" w:eastAsia="Times New Roman" w:hAnsi="TimesNewRoman" w:cs="TimesNewRoman"/>
          <w:iCs/>
          <w:color w:val="000000"/>
          <w:szCs w:val="24"/>
          <w:lang w:val="en-US"/>
        </w:rPr>
        <w:t>to</w:t>
      </w:r>
      <w:r>
        <w:rPr>
          <w:rFonts w:ascii="TimesNewRoman" w:eastAsia="Times New Roman" w:hAnsi="TimesNewRoman" w:cs="TimesNewRoman"/>
          <w:iCs/>
          <w:color w:val="000000"/>
          <w:szCs w:val="24"/>
          <w:lang w:val="en-US"/>
        </w:rPr>
        <w:t xml:space="preserve"> all the synchronization carriers</w:t>
      </w:r>
      <w:r w:rsidR="003222F9">
        <w:rPr>
          <w:rFonts w:ascii="TimesNewRoman" w:eastAsia="Times New Roman" w:hAnsi="TimesNewRoman" w:cs="TimesNewRoman"/>
          <w:iCs/>
          <w:color w:val="000000"/>
          <w:szCs w:val="24"/>
          <w:lang w:val="en-US"/>
        </w:rPr>
        <w:t xml:space="preserve">. </w:t>
      </w:r>
    </w:p>
    <w:p w14:paraId="1DEA30AD" w14:textId="77777777" w:rsidR="00C73653" w:rsidRPr="001F201D" w:rsidRDefault="00C73653" w:rsidP="001F201D"/>
    <w:bookmarkEnd w:id="2"/>
    <w:p w14:paraId="10445A01" w14:textId="65BF2491" w:rsidR="00885580" w:rsidRDefault="007820D0" w:rsidP="00885580">
      <w:pPr>
        <w:pStyle w:val="Heading1"/>
      </w:pPr>
      <w:r>
        <w:t>Conclusion</w:t>
      </w:r>
    </w:p>
    <w:p w14:paraId="384567B8" w14:textId="1AC71D10" w:rsidR="001337A5" w:rsidRDefault="0054040B" w:rsidP="001F201D">
      <w:pPr>
        <w:rPr>
          <w:lang w:val="en-US"/>
        </w:rPr>
      </w:pPr>
      <w:r>
        <w:rPr>
          <w:lang w:val="en-US"/>
        </w:rPr>
        <w:t>In this contribution we have discussed the changes needed to support NR sidelink carrier aggregation. We</w:t>
      </w:r>
      <w:r w:rsidR="003222F9">
        <w:rPr>
          <w:lang w:val="en-US"/>
        </w:rPr>
        <w:t xml:space="preserve"> </w:t>
      </w:r>
      <w:r>
        <w:rPr>
          <w:lang w:val="en-US"/>
        </w:rPr>
        <w:t>have the following proposals:</w:t>
      </w:r>
    </w:p>
    <w:p w14:paraId="1D52F7AD" w14:textId="77777777" w:rsidR="00940A26" w:rsidRDefault="00940A26" w:rsidP="00940A26">
      <w:pPr>
        <w:rPr>
          <w:lang w:val="en-US"/>
        </w:rPr>
      </w:pPr>
      <w:r w:rsidRPr="0054040B">
        <w:rPr>
          <w:b/>
          <w:bCs/>
          <w:lang w:val="en-US"/>
        </w:rPr>
        <w:t>Proposal 1:</w:t>
      </w:r>
      <w:r>
        <w:rPr>
          <w:lang w:val="en-US"/>
        </w:rPr>
        <w:t xml:space="preserve"> For NR PSSCH/PSCCH, when a UE is power limited reuse the power splitting/allocation mechanism specified for LTE.</w:t>
      </w:r>
    </w:p>
    <w:p w14:paraId="12F46345" w14:textId="77777777" w:rsidR="00940A26" w:rsidRDefault="00940A26" w:rsidP="00940A26">
      <w:pPr>
        <w:rPr>
          <w:lang w:val="en-US"/>
        </w:rPr>
      </w:pPr>
      <w:r w:rsidRPr="0054040B">
        <w:rPr>
          <w:b/>
          <w:bCs/>
          <w:lang w:val="en-US"/>
        </w:rPr>
        <w:t>Proposal 2:</w:t>
      </w:r>
      <w:r>
        <w:rPr>
          <w:lang w:val="en-US"/>
        </w:rPr>
        <w:t xml:space="preserve"> When a UE transmits S-SSB simultaneously in multiple carriers, the TX power is split equally to the carriers.</w:t>
      </w:r>
    </w:p>
    <w:p w14:paraId="4491031E" w14:textId="3F0304E5" w:rsidR="00940A26" w:rsidRDefault="00940A26" w:rsidP="00940A26">
      <w:pPr>
        <w:rPr>
          <w:rFonts w:eastAsia="Times New Roman"/>
          <w:lang w:val="en-US"/>
        </w:rPr>
      </w:pPr>
      <w:r w:rsidRPr="73080E13">
        <w:rPr>
          <w:b/>
          <w:bCs/>
          <w:lang w:val="en-US"/>
        </w:rPr>
        <w:t>Proposal 3:</w:t>
      </w:r>
      <w:r w:rsidRPr="73080E13">
        <w:rPr>
          <w:lang w:val="en-US"/>
        </w:rPr>
        <w:t xml:space="preserve"> </w:t>
      </w:r>
      <w:r w:rsidRPr="73080E13">
        <w:rPr>
          <w:rFonts w:eastAsia="Times New Roman"/>
          <w:lang w:val="en-US"/>
        </w:rPr>
        <w:t>For PSFCH, the current Rel-16/17 power control procedure is modified so that the Tx power of each PSFCH is based on the number of simultaneous PSFCH transmissions on all the resource pools on all the aggregated carriers.</w:t>
      </w:r>
    </w:p>
    <w:p w14:paraId="25F30259" w14:textId="08C653E4" w:rsidR="00940A26" w:rsidRDefault="00940A26" w:rsidP="00940A26">
      <w:pPr>
        <w:rPr>
          <w:lang w:eastAsia="zh-CN"/>
        </w:rPr>
      </w:pPr>
      <w:r w:rsidRPr="0054040B">
        <w:rPr>
          <w:b/>
          <w:bCs/>
          <w:iCs/>
          <w:lang w:val="en-US"/>
        </w:rPr>
        <w:t>Proposal 4:</w:t>
      </w:r>
      <w:r>
        <w:rPr>
          <w:iCs/>
          <w:lang w:val="en-US"/>
        </w:rPr>
        <w:t xml:space="preserve"> </w:t>
      </w:r>
      <w:r>
        <w:rPr>
          <w:lang w:val="en-US" w:eastAsia="zh-CN"/>
        </w:rPr>
        <w:t>I</w:t>
      </w:r>
      <w:r>
        <w:rPr>
          <w:lang w:eastAsia="zh-CN"/>
        </w:rPr>
        <w:t xml:space="preserve">f a UE detects two or more </w:t>
      </w:r>
      <w:r w:rsidR="00AD670F">
        <w:rPr>
          <w:lang w:eastAsia="zh-CN"/>
        </w:rPr>
        <w:t>synchronization</w:t>
      </w:r>
      <w:r>
        <w:rPr>
          <w:lang w:eastAsia="zh-CN"/>
        </w:rPr>
        <w:t xml:space="preserve"> carriers with the same </w:t>
      </w:r>
      <w:r w:rsidR="00AD670F">
        <w:rPr>
          <w:lang w:eastAsia="zh-CN"/>
        </w:rPr>
        <w:t>synchronization</w:t>
      </w:r>
      <w:r>
        <w:rPr>
          <w:lang w:eastAsia="zh-CN"/>
        </w:rPr>
        <w:t xml:space="preserve"> source priority, then SLSS RSRP criteria is used for the selection of the synchronization carrier.</w:t>
      </w:r>
    </w:p>
    <w:p w14:paraId="76ADDC02" w14:textId="77777777" w:rsidR="00940A26" w:rsidRPr="0054040B" w:rsidRDefault="00940A26" w:rsidP="00940A26">
      <w:pPr>
        <w:rPr>
          <w:b/>
          <w:bCs/>
          <w:iCs/>
          <w:lang w:val="en-US"/>
        </w:rPr>
      </w:pPr>
      <w:r w:rsidRPr="0054040B">
        <w:rPr>
          <w:b/>
          <w:bCs/>
          <w:lang w:eastAsia="zh-CN"/>
        </w:rPr>
        <w:t xml:space="preserve">Proposal 5: </w:t>
      </w:r>
      <w:r w:rsidRPr="0054040B">
        <w:rPr>
          <w:lang w:eastAsia="zh-CN"/>
        </w:rPr>
        <w:t>The checkin</w:t>
      </w:r>
      <w:r>
        <w:rPr>
          <w:lang w:eastAsia="zh-CN"/>
        </w:rPr>
        <w:t xml:space="preserve">g of </w:t>
      </w:r>
      <w:r>
        <w:rPr>
          <w:rFonts w:ascii="TimesNewRoman" w:eastAsia="Times New Roman" w:hAnsi="TimesNewRoman" w:cs="TimesNewRoman"/>
          <w:i/>
          <w:color w:val="000000"/>
          <w:szCs w:val="24"/>
          <w:lang w:val="x-none"/>
        </w:rPr>
        <w:t>syncTxThresh</w:t>
      </w:r>
      <w:r w:rsidRPr="0099169E">
        <w:rPr>
          <w:rFonts w:ascii="TimesNewRoman" w:eastAsia="Times New Roman" w:hAnsi="TimesNewRoman" w:cs="TimesNewRoman"/>
          <w:i/>
          <w:color w:val="000000"/>
          <w:szCs w:val="24"/>
          <w:lang w:val="x-none"/>
        </w:rPr>
        <w:t>OoC</w:t>
      </w:r>
      <w:r w:rsidRPr="0099169E">
        <w:rPr>
          <w:rFonts w:ascii="TimesNewRoman" w:eastAsia="Times New Roman" w:hAnsi="TimesNewRoman" w:cs="TimesNewRoman"/>
          <w:i/>
          <w:color w:val="000000"/>
          <w:szCs w:val="24"/>
          <w:lang w:val="en-US"/>
        </w:rPr>
        <w:t xml:space="preserve"> </w:t>
      </w:r>
      <w:r>
        <w:rPr>
          <w:rFonts w:ascii="TimesNewRoman" w:eastAsia="Times New Roman" w:hAnsi="TimesNewRoman" w:cs="TimesNewRoman"/>
          <w:iCs/>
          <w:color w:val="000000"/>
          <w:szCs w:val="24"/>
          <w:lang w:val="en-US"/>
        </w:rPr>
        <w:t xml:space="preserve">threshold to determine if NR S-SSB is transmitted, is done separately to all the synchronization carriers. </w:t>
      </w:r>
    </w:p>
    <w:p w14:paraId="069F6461" w14:textId="77777777" w:rsidR="0054040B" w:rsidRPr="001337A5" w:rsidRDefault="0054040B" w:rsidP="001F201D">
      <w:pPr>
        <w:rPr>
          <w:lang w:val="en-US"/>
        </w:rPr>
      </w:pPr>
    </w:p>
    <w:p w14:paraId="53CD9119" w14:textId="5206E1F5" w:rsidR="00885580" w:rsidRDefault="00885580" w:rsidP="00885580">
      <w:pPr>
        <w:pStyle w:val="Heading1"/>
        <w:numPr>
          <w:ilvl w:val="0"/>
          <w:numId w:val="0"/>
        </w:numPr>
      </w:pPr>
      <w:r>
        <w:t>References</w:t>
      </w:r>
    </w:p>
    <w:p w14:paraId="2C6979C9" w14:textId="1EDBC3A3" w:rsidR="00205A4B" w:rsidRPr="008F6CD2" w:rsidRDefault="00205A4B" w:rsidP="00205A4B">
      <w:pPr>
        <w:pStyle w:val="ListParagraph"/>
        <w:numPr>
          <w:ilvl w:val="0"/>
          <w:numId w:val="27"/>
        </w:numPr>
        <w:rPr>
          <w:sz w:val="20"/>
          <w:szCs w:val="20"/>
          <w:lang w:val="en-US"/>
        </w:rPr>
      </w:pPr>
      <w:bookmarkStart w:id="5" w:name="_Ref139274545"/>
      <w:r w:rsidRPr="008F6CD2">
        <w:rPr>
          <w:sz w:val="20"/>
          <w:szCs w:val="20"/>
          <w:lang w:val="en-US"/>
        </w:rPr>
        <w:t>R</w:t>
      </w:r>
      <w:r w:rsidR="008F6CD2" w:rsidRPr="008F6CD2">
        <w:rPr>
          <w:sz w:val="20"/>
          <w:szCs w:val="20"/>
          <w:lang w:val="en-US"/>
        </w:rPr>
        <w:t>P-230077, WID revision: NR sidelink evolution</w:t>
      </w:r>
      <w:r w:rsidR="008F6CD2">
        <w:rPr>
          <w:sz w:val="20"/>
          <w:szCs w:val="20"/>
          <w:lang w:val="en-US"/>
        </w:rPr>
        <w:t>, OPPO</w:t>
      </w:r>
      <w:bookmarkEnd w:id="5"/>
    </w:p>
    <w:p w14:paraId="093EE10C" w14:textId="77777777" w:rsidR="00205A4B" w:rsidRPr="008F6CD2" w:rsidRDefault="00205A4B" w:rsidP="00940A26">
      <w:pPr>
        <w:rPr>
          <w:lang w:val="en-US"/>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B2728" w14:textId="77777777" w:rsidR="00E71096" w:rsidRDefault="00E71096">
      <w:r>
        <w:separator/>
      </w:r>
    </w:p>
  </w:endnote>
  <w:endnote w:type="continuationSeparator" w:id="0">
    <w:p w14:paraId="72DE1CF6" w14:textId="77777777" w:rsidR="00E71096" w:rsidRDefault="00E71096">
      <w:r>
        <w:continuationSeparator/>
      </w:r>
    </w:p>
  </w:endnote>
  <w:endnote w:type="continuationNotice" w:id="1">
    <w:p w14:paraId="6FB40A97" w14:textId="77777777" w:rsidR="00E71096" w:rsidRDefault="00E71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A72F4" w14:textId="77777777" w:rsidR="00E71096" w:rsidRDefault="00E71096">
      <w:r>
        <w:separator/>
      </w:r>
    </w:p>
  </w:footnote>
  <w:footnote w:type="continuationSeparator" w:id="0">
    <w:p w14:paraId="3926AA0C" w14:textId="77777777" w:rsidR="00E71096" w:rsidRDefault="00E71096">
      <w:r>
        <w:continuationSeparator/>
      </w:r>
    </w:p>
  </w:footnote>
  <w:footnote w:type="continuationNotice" w:id="1">
    <w:p w14:paraId="5E60CD42" w14:textId="77777777" w:rsidR="00E71096" w:rsidRDefault="00E710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9526B1"/>
    <w:multiLevelType w:val="hybridMultilevel"/>
    <w:tmpl w:val="CE94B864"/>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3F1064"/>
    <w:multiLevelType w:val="hybridMultilevel"/>
    <w:tmpl w:val="F754D3D4"/>
    <w:lvl w:ilvl="0" w:tplc="FC9EBBAC">
      <w:start w:val="1"/>
      <w:numFmt w:val="bullet"/>
      <w:lvlText w:val="•"/>
      <w:lvlJc w:val="left"/>
      <w:pPr>
        <w:tabs>
          <w:tab w:val="num" w:pos="720"/>
        </w:tabs>
        <w:ind w:left="720" w:hanging="360"/>
      </w:pPr>
      <w:rPr>
        <w:rFonts w:ascii="Arial" w:hAnsi="Arial" w:hint="default"/>
      </w:rPr>
    </w:lvl>
    <w:lvl w:ilvl="1" w:tplc="35F6A9B2" w:tentative="1">
      <w:start w:val="1"/>
      <w:numFmt w:val="bullet"/>
      <w:lvlText w:val="•"/>
      <w:lvlJc w:val="left"/>
      <w:pPr>
        <w:tabs>
          <w:tab w:val="num" w:pos="1440"/>
        </w:tabs>
        <w:ind w:left="1440" w:hanging="360"/>
      </w:pPr>
      <w:rPr>
        <w:rFonts w:ascii="Arial" w:hAnsi="Arial" w:hint="default"/>
      </w:rPr>
    </w:lvl>
    <w:lvl w:ilvl="2" w:tplc="7F042182" w:tentative="1">
      <w:start w:val="1"/>
      <w:numFmt w:val="bullet"/>
      <w:lvlText w:val="•"/>
      <w:lvlJc w:val="left"/>
      <w:pPr>
        <w:tabs>
          <w:tab w:val="num" w:pos="2160"/>
        </w:tabs>
        <w:ind w:left="2160" w:hanging="360"/>
      </w:pPr>
      <w:rPr>
        <w:rFonts w:ascii="Arial" w:hAnsi="Arial" w:hint="default"/>
      </w:rPr>
    </w:lvl>
    <w:lvl w:ilvl="3" w:tplc="D9E0FE62" w:tentative="1">
      <w:start w:val="1"/>
      <w:numFmt w:val="bullet"/>
      <w:lvlText w:val="•"/>
      <w:lvlJc w:val="left"/>
      <w:pPr>
        <w:tabs>
          <w:tab w:val="num" w:pos="2880"/>
        </w:tabs>
        <w:ind w:left="2880" w:hanging="360"/>
      </w:pPr>
      <w:rPr>
        <w:rFonts w:ascii="Arial" w:hAnsi="Arial" w:hint="default"/>
      </w:rPr>
    </w:lvl>
    <w:lvl w:ilvl="4" w:tplc="AF12D0C8" w:tentative="1">
      <w:start w:val="1"/>
      <w:numFmt w:val="bullet"/>
      <w:lvlText w:val="•"/>
      <w:lvlJc w:val="left"/>
      <w:pPr>
        <w:tabs>
          <w:tab w:val="num" w:pos="3600"/>
        </w:tabs>
        <w:ind w:left="3600" w:hanging="360"/>
      </w:pPr>
      <w:rPr>
        <w:rFonts w:ascii="Arial" w:hAnsi="Arial" w:hint="default"/>
      </w:rPr>
    </w:lvl>
    <w:lvl w:ilvl="5" w:tplc="3878D4B6" w:tentative="1">
      <w:start w:val="1"/>
      <w:numFmt w:val="bullet"/>
      <w:lvlText w:val="•"/>
      <w:lvlJc w:val="left"/>
      <w:pPr>
        <w:tabs>
          <w:tab w:val="num" w:pos="4320"/>
        </w:tabs>
        <w:ind w:left="4320" w:hanging="360"/>
      </w:pPr>
      <w:rPr>
        <w:rFonts w:ascii="Arial" w:hAnsi="Arial" w:hint="default"/>
      </w:rPr>
    </w:lvl>
    <w:lvl w:ilvl="6" w:tplc="E196C700" w:tentative="1">
      <w:start w:val="1"/>
      <w:numFmt w:val="bullet"/>
      <w:lvlText w:val="•"/>
      <w:lvlJc w:val="left"/>
      <w:pPr>
        <w:tabs>
          <w:tab w:val="num" w:pos="5040"/>
        </w:tabs>
        <w:ind w:left="5040" w:hanging="360"/>
      </w:pPr>
      <w:rPr>
        <w:rFonts w:ascii="Arial" w:hAnsi="Arial" w:hint="default"/>
      </w:rPr>
    </w:lvl>
    <w:lvl w:ilvl="7" w:tplc="C5E8ED2E" w:tentative="1">
      <w:start w:val="1"/>
      <w:numFmt w:val="bullet"/>
      <w:lvlText w:val="•"/>
      <w:lvlJc w:val="left"/>
      <w:pPr>
        <w:tabs>
          <w:tab w:val="num" w:pos="5760"/>
        </w:tabs>
        <w:ind w:left="5760" w:hanging="360"/>
      </w:pPr>
      <w:rPr>
        <w:rFonts w:ascii="Arial" w:hAnsi="Arial" w:hint="default"/>
      </w:rPr>
    </w:lvl>
    <w:lvl w:ilvl="8" w:tplc="AC68BC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81A199A"/>
    <w:multiLevelType w:val="hybridMultilevel"/>
    <w:tmpl w:val="C2245276"/>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B730599"/>
    <w:multiLevelType w:val="hybridMultilevel"/>
    <w:tmpl w:val="535ECFF8"/>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20815B9"/>
    <w:multiLevelType w:val="hybridMultilevel"/>
    <w:tmpl w:val="23D29A2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8"/>
  </w:num>
  <w:num w:numId="2" w16cid:durableId="744496443">
    <w:abstractNumId w:val="29"/>
  </w:num>
  <w:num w:numId="3" w16cid:durableId="1859855038">
    <w:abstractNumId w:val="0"/>
  </w:num>
  <w:num w:numId="4" w16cid:durableId="1963807548">
    <w:abstractNumId w:val="4"/>
  </w:num>
  <w:num w:numId="5" w16cid:durableId="669986164">
    <w:abstractNumId w:val="16"/>
  </w:num>
  <w:num w:numId="6" w16cid:durableId="1168131915">
    <w:abstractNumId w:val="30"/>
  </w:num>
  <w:num w:numId="7" w16cid:durableId="813571431">
    <w:abstractNumId w:val="18"/>
  </w:num>
  <w:num w:numId="8" w16cid:durableId="1189026752">
    <w:abstractNumId w:val="15"/>
  </w:num>
  <w:num w:numId="9" w16cid:durableId="838931800">
    <w:abstractNumId w:val="34"/>
  </w:num>
  <w:num w:numId="10" w16cid:durableId="1573464737">
    <w:abstractNumId w:val="6"/>
  </w:num>
  <w:num w:numId="11" w16cid:durableId="257101052">
    <w:abstractNumId w:val="21"/>
  </w:num>
  <w:num w:numId="12" w16cid:durableId="1951353073">
    <w:abstractNumId w:val="5"/>
  </w:num>
  <w:num w:numId="13" w16cid:durableId="1911961443">
    <w:abstractNumId w:val="13"/>
  </w:num>
  <w:num w:numId="14" w16cid:durableId="630285384">
    <w:abstractNumId w:val="25"/>
  </w:num>
  <w:num w:numId="15" w16cid:durableId="357124585">
    <w:abstractNumId w:val="17"/>
  </w:num>
  <w:num w:numId="16" w16cid:durableId="1559780918">
    <w:abstractNumId w:val="1"/>
  </w:num>
  <w:num w:numId="17" w16cid:durableId="1764109268">
    <w:abstractNumId w:val="23"/>
  </w:num>
  <w:num w:numId="18" w16cid:durableId="139812750">
    <w:abstractNumId w:val="14"/>
  </w:num>
  <w:num w:numId="19" w16cid:durableId="1134371848">
    <w:abstractNumId w:val="19"/>
  </w:num>
  <w:num w:numId="20" w16cid:durableId="1905412601">
    <w:abstractNumId w:val="33"/>
  </w:num>
  <w:num w:numId="21" w16cid:durableId="346101783">
    <w:abstractNumId w:val="35"/>
  </w:num>
  <w:num w:numId="22" w16cid:durableId="1499273121">
    <w:abstractNumId w:val="22"/>
  </w:num>
  <w:num w:numId="23" w16cid:durableId="622422302">
    <w:abstractNumId w:val="12"/>
  </w:num>
  <w:num w:numId="24" w16cid:durableId="1385445363">
    <w:abstractNumId w:val="7"/>
  </w:num>
  <w:num w:numId="25" w16cid:durableId="533230926">
    <w:abstractNumId w:val="32"/>
  </w:num>
  <w:num w:numId="26" w16cid:durableId="1635525904">
    <w:abstractNumId w:val="28"/>
  </w:num>
  <w:num w:numId="27" w16cid:durableId="1644850337">
    <w:abstractNumId w:val="10"/>
  </w:num>
  <w:num w:numId="28" w16cid:durableId="1974865496">
    <w:abstractNumId w:val="9"/>
  </w:num>
  <w:num w:numId="29" w16cid:durableId="20857830">
    <w:abstractNumId w:val="24"/>
  </w:num>
  <w:num w:numId="30" w16cid:durableId="874778660">
    <w:abstractNumId w:val="2"/>
  </w:num>
  <w:num w:numId="31" w16cid:durableId="1667247318">
    <w:abstractNumId w:val="27"/>
  </w:num>
  <w:num w:numId="32" w16cid:durableId="1484546919">
    <w:abstractNumId w:val="11"/>
  </w:num>
  <w:num w:numId="33" w16cid:durableId="760101535">
    <w:abstractNumId w:val="31"/>
  </w:num>
  <w:num w:numId="34" w16cid:durableId="830097235">
    <w:abstractNumId w:val="3"/>
  </w:num>
  <w:num w:numId="35" w16cid:durableId="240870141">
    <w:abstractNumId w:val="26"/>
  </w:num>
  <w:num w:numId="36" w16cid:durableId="14911407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6081370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ED7"/>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56C"/>
    <w:rsid w:val="00051B32"/>
    <w:rsid w:val="0005230E"/>
    <w:rsid w:val="00052850"/>
    <w:rsid w:val="000528A2"/>
    <w:rsid w:val="00052BBA"/>
    <w:rsid w:val="0005355B"/>
    <w:rsid w:val="00053588"/>
    <w:rsid w:val="00054B05"/>
    <w:rsid w:val="00054D9D"/>
    <w:rsid w:val="00055676"/>
    <w:rsid w:val="00056544"/>
    <w:rsid w:val="00056BDE"/>
    <w:rsid w:val="00060D8E"/>
    <w:rsid w:val="00062159"/>
    <w:rsid w:val="00063D9E"/>
    <w:rsid w:val="00064138"/>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2CB"/>
    <w:rsid w:val="00084A65"/>
    <w:rsid w:val="0008559A"/>
    <w:rsid w:val="000902C2"/>
    <w:rsid w:val="00091A92"/>
    <w:rsid w:val="00093C49"/>
    <w:rsid w:val="00095A80"/>
    <w:rsid w:val="000973E1"/>
    <w:rsid w:val="00097767"/>
    <w:rsid w:val="000A1402"/>
    <w:rsid w:val="000A20BA"/>
    <w:rsid w:val="000A262C"/>
    <w:rsid w:val="000A2B74"/>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7C7"/>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8F7"/>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359"/>
    <w:rsid w:val="001F34DA"/>
    <w:rsid w:val="001F3BF7"/>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1AD"/>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18B"/>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1A3"/>
    <w:rsid w:val="002B3B31"/>
    <w:rsid w:val="002B3BBD"/>
    <w:rsid w:val="002B65C8"/>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4D9"/>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126"/>
    <w:rsid w:val="002F72DA"/>
    <w:rsid w:val="002F76B1"/>
    <w:rsid w:val="002F7D66"/>
    <w:rsid w:val="002F7DBE"/>
    <w:rsid w:val="0030090B"/>
    <w:rsid w:val="00302327"/>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2F3"/>
    <w:rsid w:val="00315AAB"/>
    <w:rsid w:val="003175E1"/>
    <w:rsid w:val="00320299"/>
    <w:rsid w:val="00321154"/>
    <w:rsid w:val="003211B0"/>
    <w:rsid w:val="00321EDA"/>
    <w:rsid w:val="003222F9"/>
    <w:rsid w:val="003224AA"/>
    <w:rsid w:val="003224E7"/>
    <w:rsid w:val="00325D7A"/>
    <w:rsid w:val="00326145"/>
    <w:rsid w:val="00327163"/>
    <w:rsid w:val="00327305"/>
    <w:rsid w:val="00327531"/>
    <w:rsid w:val="003277EC"/>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0FA6"/>
    <w:rsid w:val="003B2E9B"/>
    <w:rsid w:val="003B2F8D"/>
    <w:rsid w:val="003B333A"/>
    <w:rsid w:val="003B3C64"/>
    <w:rsid w:val="003B4FAA"/>
    <w:rsid w:val="003B547A"/>
    <w:rsid w:val="003B6427"/>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439"/>
    <w:rsid w:val="003F5547"/>
    <w:rsid w:val="003F5C40"/>
    <w:rsid w:val="003F6E12"/>
    <w:rsid w:val="003F6F8B"/>
    <w:rsid w:val="003F75ED"/>
    <w:rsid w:val="004002B7"/>
    <w:rsid w:val="00400F31"/>
    <w:rsid w:val="004023BA"/>
    <w:rsid w:val="00406B4D"/>
    <w:rsid w:val="00412857"/>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47AA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6C53"/>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392D"/>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0AA"/>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40B"/>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EF7"/>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109"/>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2AE8"/>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2DD7"/>
    <w:rsid w:val="005E3073"/>
    <w:rsid w:val="005E316A"/>
    <w:rsid w:val="005E369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1D44"/>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1C3"/>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CD8"/>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5951"/>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15D"/>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11E"/>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4541"/>
    <w:rsid w:val="007651CA"/>
    <w:rsid w:val="00767519"/>
    <w:rsid w:val="007678A0"/>
    <w:rsid w:val="007704E1"/>
    <w:rsid w:val="00770E5C"/>
    <w:rsid w:val="00772569"/>
    <w:rsid w:val="00772E8C"/>
    <w:rsid w:val="00772FDB"/>
    <w:rsid w:val="0077316B"/>
    <w:rsid w:val="007736D3"/>
    <w:rsid w:val="0077500F"/>
    <w:rsid w:val="0077548E"/>
    <w:rsid w:val="00777315"/>
    <w:rsid w:val="007802E4"/>
    <w:rsid w:val="00780919"/>
    <w:rsid w:val="007814D1"/>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89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1A1C"/>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1B9"/>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1E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07C3"/>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6CD2"/>
    <w:rsid w:val="008F700E"/>
    <w:rsid w:val="00900343"/>
    <w:rsid w:val="009006A2"/>
    <w:rsid w:val="009008D5"/>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2D64"/>
    <w:rsid w:val="00933040"/>
    <w:rsid w:val="009330E9"/>
    <w:rsid w:val="00934D97"/>
    <w:rsid w:val="00935D15"/>
    <w:rsid w:val="00940A26"/>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2F0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69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6D6"/>
    <w:rsid w:val="009B3B8B"/>
    <w:rsid w:val="009B3C90"/>
    <w:rsid w:val="009B76E3"/>
    <w:rsid w:val="009B76F9"/>
    <w:rsid w:val="009B7A72"/>
    <w:rsid w:val="009B7BB8"/>
    <w:rsid w:val="009C07E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575E"/>
    <w:rsid w:val="009F7867"/>
    <w:rsid w:val="009F7D66"/>
    <w:rsid w:val="00A00BD2"/>
    <w:rsid w:val="00A00E56"/>
    <w:rsid w:val="00A027F3"/>
    <w:rsid w:val="00A03978"/>
    <w:rsid w:val="00A03AB1"/>
    <w:rsid w:val="00A04D7E"/>
    <w:rsid w:val="00A051D9"/>
    <w:rsid w:val="00A05DF3"/>
    <w:rsid w:val="00A07E08"/>
    <w:rsid w:val="00A1036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4D1"/>
    <w:rsid w:val="00AC7D98"/>
    <w:rsid w:val="00AD00C5"/>
    <w:rsid w:val="00AD165F"/>
    <w:rsid w:val="00AD2794"/>
    <w:rsid w:val="00AD2DC5"/>
    <w:rsid w:val="00AD3455"/>
    <w:rsid w:val="00AD3CAD"/>
    <w:rsid w:val="00AD5A99"/>
    <w:rsid w:val="00AD670F"/>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209"/>
    <w:rsid w:val="00AF6C38"/>
    <w:rsid w:val="00AF6D64"/>
    <w:rsid w:val="00AF6E8A"/>
    <w:rsid w:val="00AF7213"/>
    <w:rsid w:val="00AF7771"/>
    <w:rsid w:val="00AF7D92"/>
    <w:rsid w:val="00B011CC"/>
    <w:rsid w:val="00B0232D"/>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78E2"/>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57F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0B1"/>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41E"/>
    <w:rsid w:val="00BF0CCF"/>
    <w:rsid w:val="00BF0FC5"/>
    <w:rsid w:val="00BF10BC"/>
    <w:rsid w:val="00BF21AC"/>
    <w:rsid w:val="00BF2E53"/>
    <w:rsid w:val="00BF2F1A"/>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1296"/>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2D9"/>
    <w:rsid w:val="00C51C37"/>
    <w:rsid w:val="00C520B1"/>
    <w:rsid w:val="00C522D6"/>
    <w:rsid w:val="00C52C52"/>
    <w:rsid w:val="00C54020"/>
    <w:rsid w:val="00C5406F"/>
    <w:rsid w:val="00C545C5"/>
    <w:rsid w:val="00C54817"/>
    <w:rsid w:val="00C54F35"/>
    <w:rsid w:val="00C55566"/>
    <w:rsid w:val="00C559C6"/>
    <w:rsid w:val="00C57A01"/>
    <w:rsid w:val="00C57A2D"/>
    <w:rsid w:val="00C57C8E"/>
    <w:rsid w:val="00C60B07"/>
    <w:rsid w:val="00C61D4B"/>
    <w:rsid w:val="00C62784"/>
    <w:rsid w:val="00C62B0A"/>
    <w:rsid w:val="00C63C52"/>
    <w:rsid w:val="00C63F08"/>
    <w:rsid w:val="00C6528C"/>
    <w:rsid w:val="00C661E8"/>
    <w:rsid w:val="00C66702"/>
    <w:rsid w:val="00C70084"/>
    <w:rsid w:val="00C7090B"/>
    <w:rsid w:val="00C7235B"/>
    <w:rsid w:val="00C72E18"/>
    <w:rsid w:val="00C731AD"/>
    <w:rsid w:val="00C73653"/>
    <w:rsid w:val="00C7380B"/>
    <w:rsid w:val="00C74421"/>
    <w:rsid w:val="00C75F2F"/>
    <w:rsid w:val="00C75FEE"/>
    <w:rsid w:val="00C76F1D"/>
    <w:rsid w:val="00C77937"/>
    <w:rsid w:val="00C77CA4"/>
    <w:rsid w:val="00C77D26"/>
    <w:rsid w:val="00C8019A"/>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55B"/>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99B"/>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3B36"/>
    <w:rsid w:val="00E564C4"/>
    <w:rsid w:val="00E567C9"/>
    <w:rsid w:val="00E57E1A"/>
    <w:rsid w:val="00E604C4"/>
    <w:rsid w:val="00E60809"/>
    <w:rsid w:val="00E61300"/>
    <w:rsid w:val="00E635B9"/>
    <w:rsid w:val="00E65D15"/>
    <w:rsid w:val="00E66CD8"/>
    <w:rsid w:val="00E67802"/>
    <w:rsid w:val="00E67EE5"/>
    <w:rsid w:val="00E7013A"/>
    <w:rsid w:val="00E71096"/>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7D6"/>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47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5E6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7FA"/>
    <w:rsid w:val="00FA2C35"/>
    <w:rsid w:val="00FA31E7"/>
    <w:rsid w:val="00FA3B9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E4C"/>
    <w:rsid w:val="00FE5FBF"/>
    <w:rsid w:val="00FE6C25"/>
    <w:rsid w:val="00FF033A"/>
    <w:rsid w:val="00FF0964"/>
    <w:rsid w:val="00FF0F67"/>
    <w:rsid w:val="00FF16F2"/>
    <w:rsid w:val="00FF1F9B"/>
    <w:rsid w:val="00FF2B42"/>
    <w:rsid w:val="00FF2D5B"/>
    <w:rsid w:val="00FF3B7F"/>
    <w:rsid w:val="00FF4F92"/>
    <w:rsid w:val="00FF54EB"/>
    <w:rsid w:val="00FF6822"/>
    <w:rsid w:val="00FF73D0"/>
    <w:rsid w:val="02662C60"/>
    <w:rsid w:val="0640AE89"/>
    <w:rsid w:val="076BEE4F"/>
    <w:rsid w:val="0AE83AA8"/>
    <w:rsid w:val="0DD5313A"/>
    <w:rsid w:val="0E2D65D6"/>
    <w:rsid w:val="0FC93637"/>
    <w:rsid w:val="10E807B4"/>
    <w:rsid w:val="13FBBD29"/>
    <w:rsid w:val="141204DA"/>
    <w:rsid w:val="163877BB"/>
    <w:rsid w:val="164AAAD9"/>
    <w:rsid w:val="16512788"/>
    <w:rsid w:val="17D4481C"/>
    <w:rsid w:val="1970187D"/>
    <w:rsid w:val="1A219784"/>
    <w:rsid w:val="1B0BE8DE"/>
    <w:rsid w:val="1F374C93"/>
    <w:rsid w:val="226EED55"/>
    <w:rsid w:val="2869996A"/>
    <w:rsid w:val="2E98EC87"/>
    <w:rsid w:val="32975CEE"/>
    <w:rsid w:val="34C8FFCD"/>
    <w:rsid w:val="3E61DC49"/>
    <w:rsid w:val="4006CB27"/>
    <w:rsid w:val="43B9F6F6"/>
    <w:rsid w:val="43F79FD9"/>
    <w:rsid w:val="4C17B3FB"/>
    <w:rsid w:val="4C435576"/>
    <w:rsid w:val="4F7594A4"/>
    <w:rsid w:val="586751F2"/>
    <w:rsid w:val="5EE3AB00"/>
    <w:rsid w:val="6A52F682"/>
    <w:rsid w:val="6CE2A9C3"/>
    <w:rsid w:val="6E8C101B"/>
    <w:rsid w:val="6FA7187A"/>
    <w:rsid w:val="70BAAF27"/>
    <w:rsid w:val="73080E13"/>
    <w:rsid w:val="78AAC798"/>
    <w:rsid w:val="78B5AB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TableGrid1">
    <w:name w:val="TableGrid1"/>
    <w:basedOn w:val="TableNormal"/>
    <w:next w:val="TableGrid"/>
    <w:qFormat/>
    <w:rsid w:val="00FA07FA"/>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E369D"/>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32D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26936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963181">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16103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80801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10194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1332</Words>
  <Characters>7597</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2016-06-20T03:35:00Z</cp:lastPrinted>
  <dcterms:created xsi:type="dcterms:W3CDTF">2023-08-11T23:50:00Z</dcterms:created>
  <dcterms:modified xsi:type="dcterms:W3CDTF">2023-08-11T23:50:00Z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a343371a-2e28-4004-9a00-446171ffdc64</vt:lpwstr>
  </property>
  <property fmtid="{D5CDD505-2E9C-101B-9397-08002B2CF9AE}" pid="9" name="TdocAgendaItem">
    <vt:lpwstr>9.4.4</vt:lpwstr>
  </property>
  <property fmtid="{D5CDD505-2E9C-101B-9397-08002B2CF9AE}" pid="10" name="TdocSource">
    <vt:lpwstr>Nokia, Nokia Shanghai Bell</vt:lpwstr>
  </property>
  <property fmtid="{D5CDD505-2E9C-101B-9397-08002B2CF9AE}" pid="11" name="TdocId">
    <vt:lpwstr>R1-2306450</vt:lpwstr>
  </property>
  <property fmtid="{D5CDD505-2E9C-101B-9397-08002B2CF9AE}" pid="12" name="TdocFor">
    <vt:lpwstr>Discussion and Decision</vt:lpwstr>
  </property>
  <property fmtid="{D5CDD505-2E9C-101B-9397-08002B2CF9AE}" pid="13" name="TdocTitle">
    <vt:lpwstr>On Sidelink Carrier Aggregation for NR</vt:lpwstr>
  </property>
  <property fmtid="{D5CDD505-2E9C-101B-9397-08002B2CF9AE}" pid="14" name="MeetingName">
    <vt:lpwstr>3GPP TSG RAN WG1 #114</vt:lpwstr>
  </property>
  <property fmtid="{D5CDD505-2E9C-101B-9397-08002B2CF9AE}" pid="15" name="MeetingPlaceDates">
    <vt:lpwstr>Toulouse, France, August 21st - August 25th, 2023</vt:lpwstr>
  </property>
</Properties>
</file>