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16AC4ED8"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w:t>
      </w:r>
      <w:r w:rsidR="007474D3">
        <w:rPr>
          <w:rFonts w:ascii="Arial" w:hAnsi="Arial" w:cs="Arial"/>
          <w:b/>
          <w:kern w:val="2"/>
          <w:lang w:eastAsia="zh-CN"/>
        </w:rPr>
        <w:t>4</w:t>
      </w:r>
      <w:r w:rsidRPr="0033128E">
        <w:rPr>
          <w:rFonts w:ascii="Arial" w:hAnsi="Arial" w:cs="Arial"/>
          <w:b/>
          <w:kern w:val="2"/>
          <w:lang w:eastAsia="zh-CN"/>
        </w:rPr>
        <w:tab/>
      </w:r>
      <w:r w:rsidR="00D52FD4" w:rsidRPr="00D52FD4">
        <w:rPr>
          <w:rFonts w:ascii="Arial" w:hAnsi="Arial" w:cs="Arial"/>
          <w:b/>
          <w:kern w:val="2"/>
          <w:lang w:eastAsia="zh-CN"/>
        </w:rPr>
        <w:t>R1-2306436</w:t>
      </w:r>
    </w:p>
    <w:p w14:paraId="5853677F" w14:textId="2A1A4866" w:rsidR="00DF7B0F" w:rsidRPr="0033128E" w:rsidRDefault="007474D3" w:rsidP="00DF7B0F">
      <w:pPr>
        <w:rPr>
          <w:rFonts w:ascii="Arial" w:hAnsi="Arial" w:cs="Arial"/>
          <w:b/>
          <w:kern w:val="2"/>
          <w:lang w:eastAsia="zh-CN"/>
        </w:rPr>
      </w:pPr>
      <w:r>
        <w:rPr>
          <w:rFonts w:ascii="Arial" w:hAnsi="Arial" w:cs="Arial"/>
          <w:b/>
          <w:kern w:val="2"/>
          <w:lang w:eastAsia="zh-CN"/>
        </w:rPr>
        <w:t>Toulouse</w:t>
      </w:r>
      <w:r w:rsidR="00605A06">
        <w:rPr>
          <w:rFonts w:ascii="Arial" w:hAnsi="Arial" w:cs="Arial"/>
          <w:b/>
          <w:kern w:val="2"/>
          <w:lang w:eastAsia="zh-CN"/>
        </w:rPr>
        <w:t xml:space="preserve">, </w:t>
      </w:r>
      <w:r>
        <w:rPr>
          <w:rFonts w:ascii="Arial" w:hAnsi="Arial" w:cs="Arial"/>
          <w:b/>
          <w:kern w:val="2"/>
          <w:lang w:eastAsia="zh-CN"/>
        </w:rPr>
        <w:t>France</w:t>
      </w:r>
      <w:r w:rsidR="00DF7B0F" w:rsidRPr="0033128E">
        <w:rPr>
          <w:rFonts w:ascii="Arial" w:hAnsi="Arial" w:cs="Arial"/>
          <w:b/>
          <w:kern w:val="2"/>
          <w:lang w:eastAsia="zh-CN"/>
        </w:rPr>
        <w:t xml:space="preserve">, </w:t>
      </w:r>
      <w:r>
        <w:rPr>
          <w:rFonts w:ascii="Arial" w:hAnsi="Arial" w:cs="Arial"/>
          <w:b/>
          <w:kern w:val="2"/>
          <w:lang w:eastAsia="zh-CN"/>
        </w:rPr>
        <w:t>August</w:t>
      </w:r>
      <w:r w:rsidR="00DB191B">
        <w:rPr>
          <w:rFonts w:ascii="Arial" w:hAnsi="Arial" w:cs="Arial"/>
          <w:b/>
          <w:kern w:val="2"/>
          <w:lang w:eastAsia="zh-CN"/>
        </w:rPr>
        <w:t xml:space="preserve"> 2</w:t>
      </w:r>
      <w:r>
        <w:rPr>
          <w:rFonts w:ascii="Arial" w:hAnsi="Arial" w:cs="Arial"/>
          <w:b/>
          <w:kern w:val="2"/>
          <w:lang w:eastAsia="zh-CN"/>
        </w:rPr>
        <w:t>1</w:t>
      </w:r>
      <w:r w:rsidR="00DB191B">
        <w:rPr>
          <w:rFonts w:ascii="Arial" w:hAnsi="Arial" w:cs="Arial"/>
          <w:b/>
          <w:kern w:val="2"/>
          <w:lang w:eastAsia="zh-CN"/>
        </w:rPr>
        <w:t>-2</w:t>
      </w:r>
      <w:r>
        <w:rPr>
          <w:rFonts w:ascii="Arial" w:hAnsi="Arial" w:cs="Arial"/>
          <w:b/>
          <w:kern w:val="2"/>
          <w:lang w:eastAsia="zh-CN"/>
        </w:rPr>
        <w:t>5</w:t>
      </w:r>
      <w:r w:rsidR="00BF70CF" w:rsidRPr="0033128E">
        <w:rPr>
          <w:rFonts w:ascii="Arial" w:hAnsi="Arial" w:cs="Arial"/>
          <w:b/>
          <w:kern w:val="2"/>
          <w:lang w:eastAsia="zh-CN"/>
        </w:rPr>
        <w:t>, 202</w:t>
      </w:r>
      <w:r w:rsidR="00300A0A">
        <w:rPr>
          <w:rFonts w:ascii="Arial" w:hAnsi="Arial" w:cs="Arial"/>
          <w:b/>
          <w:kern w:val="2"/>
          <w:lang w:eastAsia="zh-CN"/>
        </w:rPr>
        <w:t>3</w:t>
      </w:r>
    </w:p>
    <w:p w14:paraId="12B658E4" w14:textId="596D79E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DB191B">
        <w:rPr>
          <w:rFonts w:ascii="Arial" w:hAnsi="Arial" w:cs="Arial"/>
          <w:b/>
          <w:lang w:eastAsia="zh-CN"/>
        </w:rPr>
        <w:t>9</w:t>
      </w:r>
      <w:r w:rsidRPr="0033128E">
        <w:rPr>
          <w:rFonts w:ascii="Arial" w:hAnsi="Arial" w:cs="Arial"/>
          <w:b/>
          <w:lang w:eastAsia="zh-CN"/>
        </w:rPr>
        <w:t>.1</w:t>
      </w:r>
      <w:r w:rsidR="00605A06">
        <w:rPr>
          <w:rFonts w:ascii="Arial" w:hAnsi="Arial" w:cs="Arial"/>
          <w:b/>
          <w:lang w:eastAsia="zh-CN"/>
        </w:rPr>
        <w:t>6</w:t>
      </w:r>
      <w:r w:rsidR="00DB191B">
        <w:rPr>
          <w:rFonts w:ascii="Arial" w:hAnsi="Arial" w:cs="Arial"/>
          <w:b/>
          <w:lang w:eastAsia="zh-CN"/>
        </w:rPr>
        <w:t>.</w:t>
      </w:r>
      <w:r w:rsidR="00605A06">
        <w:rPr>
          <w:rFonts w:ascii="Arial" w:hAnsi="Arial" w:cs="Arial"/>
          <w:b/>
          <w:lang w:eastAsia="zh-CN"/>
        </w:rPr>
        <w:t>8</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1161ED6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DB191B" w:rsidRPr="00DB191B">
        <w:rPr>
          <w:rFonts w:ascii="Arial" w:hAnsi="Arial" w:cs="Arial"/>
          <w:b/>
          <w:lang w:eastAsia="zh-CN"/>
        </w:rPr>
        <w:t>Discussion on UE features for R18 RedCap</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33F3FC96" w:rsidR="00E52B46" w:rsidRPr="0033128E" w:rsidRDefault="0085451B" w:rsidP="00E52B46">
      <w:pPr>
        <w:rPr>
          <w:lang w:eastAsia="zh-CN"/>
        </w:rPr>
      </w:pPr>
      <w:r>
        <w:rPr>
          <w:lang w:eastAsia="zh-CN"/>
        </w:rPr>
        <w:t>In RAN1#113, discussions of UE features for R18 RedCap led to the introduction of two feature</w:t>
      </w:r>
      <w:r w:rsidR="007077C1">
        <w:rPr>
          <w:lang w:eastAsia="zh-CN"/>
        </w:rPr>
        <w:t xml:space="preserve"> groups</w:t>
      </w:r>
      <w:r>
        <w:rPr>
          <w:lang w:eastAsia="zh-CN"/>
        </w:rPr>
        <w:t xml:space="preserve"> </w:t>
      </w:r>
      <w:r>
        <w:rPr>
          <w:lang w:eastAsia="zh-CN"/>
        </w:rPr>
        <w:fldChar w:fldCharType="begin"/>
      </w:r>
      <w:r>
        <w:rPr>
          <w:lang w:eastAsia="zh-CN"/>
        </w:rPr>
        <w:instrText xml:space="preserve"> REF _Ref141252005 \r \h </w:instrText>
      </w:r>
      <w:r>
        <w:rPr>
          <w:lang w:eastAsia="zh-CN"/>
        </w:rPr>
      </w:r>
      <w:r>
        <w:rPr>
          <w:lang w:eastAsia="zh-CN"/>
        </w:rPr>
        <w:fldChar w:fldCharType="separate"/>
      </w:r>
      <w:r w:rsidR="005C2251">
        <w:rPr>
          <w:lang w:eastAsia="zh-CN"/>
        </w:rPr>
        <w:t>[1]</w:t>
      </w:r>
      <w:r>
        <w:rPr>
          <w:lang w:eastAsia="zh-CN"/>
        </w:rPr>
        <w:fldChar w:fldCharType="end"/>
      </w:r>
      <w:r>
        <w:rPr>
          <w:lang w:eastAsia="zh-CN"/>
        </w:rPr>
        <w:t xml:space="preserve"> (</w:t>
      </w:r>
      <w:r w:rsidR="007077C1">
        <w:rPr>
          <w:lang w:eastAsia="zh-CN"/>
        </w:rPr>
        <w:t>list</w:t>
      </w:r>
      <w:r>
        <w:rPr>
          <w:lang w:eastAsia="zh-CN"/>
        </w:rPr>
        <w:t>ed in the appendix). This contribution examines the impact of the RAN working assumption, the agreed components and provides proposals to make further progress on the UE features.</w:t>
      </w:r>
    </w:p>
    <w:p w14:paraId="35954F20" w14:textId="765386BB" w:rsidR="00816E9B" w:rsidRDefault="00982AAC" w:rsidP="00493C77">
      <w:pPr>
        <w:pStyle w:val="Heading1"/>
      </w:pPr>
      <w:r w:rsidRPr="0033128E">
        <w:t>Discussion</w:t>
      </w:r>
    </w:p>
    <w:p w14:paraId="7D649EAA" w14:textId="4D557FA1" w:rsidR="00A44035" w:rsidRDefault="007316F2" w:rsidP="007316F2">
      <w:pPr>
        <w:pStyle w:val="Heading2"/>
      </w:pPr>
      <w:r>
        <w:t>Background</w:t>
      </w:r>
    </w:p>
    <w:p w14:paraId="763E9744" w14:textId="2F70BEA3" w:rsidR="00C079BA" w:rsidRDefault="005C2251" w:rsidP="00652DC6">
      <w:r>
        <w:t>Considerable progress</w:t>
      </w:r>
      <w:r w:rsidR="00652DC6">
        <w:t xml:space="preserve"> was made in RAN1#113 regarding the features for Rel-18 RedCap. There are two feature </w:t>
      </w:r>
      <w:r w:rsidR="00E01305">
        <w:t xml:space="preserve">groups (FGs) </w:t>
      </w:r>
      <w:r w:rsidR="00C1129F">
        <w:t>introduced</w:t>
      </w:r>
      <w:r w:rsidR="00E01305">
        <w:t>, FG 48-1 and FG 48-2</w:t>
      </w:r>
      <w:r w:rsidR="00652DC6">
        <w:t>. FG</w:t>
      </w:r>
      <w:r w:rsidR="00C1129F">
        <w:t xml:space="preserve"> 48-1</w:t>
      </w:r>
      <w:r w:rsidR="00652DC6">
        <w:t xml:space="preserve"> capture</w:t>
      </w:r>
      <w:r w:rsidR="00C1129F">
        <w:t>s</w:t>
      </w:r>
      <w:r w:rsidR="00652DC6">
        <w:t xml:space="preserve"> </w:t>
      </w:r>
      <w:r w:rsidR="00B414C4">
        <w:t>most</w:t>
      </w:r>
      <w:r w:rsidR="00652DC6">
        <w:t xml:space="preserve"> </w:t>
      </w:r>
      <w:r w:rsidR="00B414C4">
        <w:t xml:space="preserve">of </w:t>
      </w:r>
      <w:r w:rsidR="00652DC6">
        <w:t xml:space="preserve">Rel-17 RedCap </w:t>
      </w:r>
      <w:r w:rsidR="00B414C4">
        <w:t xml:space="preserve">FG 28-1 </w:t>
      </w:r>
      <w:r w:rsidR="00652DC6">
        <w:t xml:space="preserve">as well as many </w:t>
      </w:r>
      <w:r w:rsidR="00B414C4">
        <w:t>components</w:t>
      </w:r>
      <w:r w:rsidR="00652DC6">
        <w:t xml:space="preserve"> based on Rel-18 RedCap agreements. </w:t>
      </w:r>
      <w:r w:rsidR="00C079BA">
        <w:t xml:space="preserve">Looking at FG 48-1, components 1 and 3-10 are the same as the corresponding components in FG 28-1. Component 2 in FG 28-1 is excluded as it relates to the 100 MHz maximum bandwidth </w:t>
      </w:r>
      <w:r w:rsidR="00C1129F">
        <w:t>for</w:t>
      </w:r>
      <w:r w:rsidR="00C079BA">
        <w:t xml:space="preserve"> FR2.</w:t>
      </w:r>
    </w:p>
    <w:p w14:paraId="640E1FA6" w14:textId="26EE729B" w:rsidR="00652DC6" w:rsidRDefault="00652DC6" w:rsidP="00652DC6">
      <w:r>
        <w:t xml:space="preserve">There are some open </w:t>
      </w:r>
      <w:r w:rsidR="00B414C4">
        <w:t>issues</w:t>
      </w:r>
      <w:r w:rsidR="00C079BA">
        <w:t xml:space="preserve"> with FG 48-1 and 48-2</w:t>
      </w:r>
      <w:r w:rsidR="00B414C4">
        <w:t xml:space="preserve">, with </w:t>
      </w:r>
      <w:r w:rsidR="00C1129F">
        <w:t>the main</w:t>
      </w:r>
      <w:r w:rsidR="00B414C4">
        <w:t xml:space="preserve"> issue mostly likely resolved in RAN#101. </w:t>
      </w:r>
      <w:r w:rsidR="00E01305">
        <w:t xml:space="preserve">The relationship the basic FG 48-1 and its dependent FG 48-2 is shown in </w:t>
      </w:r>
      <w:r w:rsidR="00E01305">
        <w:fldChar w:fldCharType="begin"/>
      </w:r>
      <w:r w:rsidR="00E01305">
        <w:instrText xml:space="preserve"> REF _Ref141426061 \h </w:instrText>
      </w:r>
      <w:r w:rsidR="00E01305">
        <w:fldChar w:fldCharType="separate"/>
      </w:r>
      <w:r w:rsidR="005C2251">
        <w:t xml:space="preserve">Fig. </w:t>
      </w:r>
      <w:r w:rsidR="005C2251">
        <w:rPr>
          <w:noProof/>
        </w:rPr>
        <w:t>1</w:t>
      </w:r>
      <w:r w:rsidR="00E01305">
        <w:fldChar w:fldCharType="end"/>
      </w:r>
      <w:r w:rsidR="00E01305">
        <w:t>.</w:t>
      </w:r>
    </w:p>
    <w:p w14:paraId="54BA9B3B" w14:textId="253F95C7" w:rsidR="00652DC6" w:rsidRDefault="00845AA3" w:rsidP="00C079BA">
      <w:pPr>
        <w:keepNext/>
        <w:jc w:val="center"/>
      </w:pPr>
      <w:r>
        <w:rPr>
          <w:noProof/>
        </w:rPr>
        <mc:AlternateContent>
          <mc:Choice Requires="wpc">
            <w:drawing>
              <wp:inline distT="0" distB="0" distL="0" distR="0" wp14:anchorId="1361B1B6" wp14:editId="2CF4DCC3">
                <wp:extent cx="4736465" cy="1719580"/>
                <wp:effectExtent l="0" t="0" r="698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718945" y="35999"/>
                            <a:ext cx="1097280" cy="548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4B2EB" w14:textId="2DA23A74" w:rsidR="00327F04" w:rsidRPr="00327F04" w:rsidRDefault="00327F04" w:rsidP="00327F04">
                              <w:pPr>
                                <w:spacing w:after="0"/>
                                <w:jc w:val="center"/>
                                <w:rPr>
                                  <w:color w:val="000000" w:themeColor="text1"/>
                                </w:rPr>
                              </w:pPr>
                              <w:r>
                                <w:rPr>
                                  <w:color w:val="000000" w:themeColor="text1"/>
                                </w:rPr>
                                <w:t>FG 48-1 (baseband complexity reduction)</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wps:wsp>
                        <wps:cNvPr id="4" name="Rectangle 4"/>
                        <wps:cNvSpPr/>
                        <wps:spPr>
                          <a:xfrm>
                            <a:off x="301625" y="35999"/>
                            <a:ext cx="914400" cy="548640"/>
                          </a:xfrm>
                          <a:prstGeom prst="rect">
                            <a:avLst/>
                          </a:prstGeom>
                          <a:solidFill>
                            <a:schemeClr val="bg1"/>
                          </a:solidFill>
                          <a:ln w="6350">
                            <a:no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1FE24E40" w14:textId="45D45F30" w:rsidR="00327F04" w:rsidRPr="00327F04" w:rsidRDefault="00327F04" w:rsidP="00327F04">
                              <w:pPr>
                                <w:spacing w:after="0"/>
                                <w:jc w:val="center"/>
                                <w:rPr>
                                  <w:color w:val="000000" w:themeColor="text1"/>
                                </w:rPr>
                              </w:pPr>
                              <w:r w:rsidRPr="00327F04">
                                <w:rPr>
                                  <w:color w:val="000000" w:themeColor="text1"/>
                                </w:rPr>
                                <w:t>Idle and during initial a</w:t>
                              </w:r>
                              <w:r>
                                <w:rPr>
                                  <w:color w:val="000000" w:themeColor="text1"/>
                                </w:rPr>
                                <w:t>c</w:t>
                              </w:r>
                              <w:r w:rsidRPr="00327F04">
                                <w:rPr>
                                  <w:color w:val="000000" w:themeColor="text1"/>
                                </w:rPr>
                                <w:t>cess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Rectangle 5"/>
                        <wps:cNvSpPr/>
                        <wps:spPr>
                          <a:xfrm>
                            <a:off x="213651" y="1001078"/>
                            <a:ext cx="914400" cy="548640"/>
                          </a:xfrm>
                          <a:prstGeom prst="rect">
                            <a:avLst/>
                          </a:prstGeom>
                          <a:solidFill>
                            <a:schemeClr val="bg1"/>
                          </a:solidFill>
                          <a:ln w="6350">
                            <a:no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47B218B2" w14:textId="409F5E43" w:rsidR="00327F04" w:rsidRPr="00327F04" w:rsidRDefault="00327F04" w:rsidP="00327F04">
                              <w:pPr>
                                <w:spacing w:after="0"/>
                                <w:jc w:val="center"/>
                                <w:rPr>
                                  <w:color w:val="000000" w:themeColor="text1"/>
                                </w:rPr>
                              </w:pPr>
                              <w:r>
                                <w:rPr>
                                  <w:color w:val="000000" w:themeColor="text1"/>
                                </w:rPr>
                                <w:t>Connected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Rectangle 6"/>
                        <wps:cNvSpPr/>
                        <wps:spPr>
                          <a:xfrm>
                            <a:off x="1718945" y="1046023"/>
                            <a:ext cx="1097280" cy="548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5311EA" w14:textId="77777777" w:rsidR="00327F04" w:rsidRPr="00327F04" w:rsidRDefault="00327F04" w:rsidP="00327F04">
                              <w:pPr>
                                <w:spacing w:after="0"/>
                                <w:jc w:val="center"/>
                                <w:rPr>
                                  <w:color w:val="000000" w:themeColor="text1"/>
                                </w:rPr>
                              </w:pPr>
                              <w:r>
                                <w:rPr>
                                  <w:color w:val="000000" w:themeColor="text1"/>
                                </w:rPr>
                                <w:t>FG 48-1 (baseband complexity reduction)</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wps:wsp>
                        <wps:cNvPr id="7" name="Rectangle 7"/>
                        <wps:cNvSpPr/>
                        <wps:spPr>
                          <a:xfrm>
                            <a:off x="3430916" y="1046023"/>
                            <a:ext cx="1097280" cy="548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735B7C" w14:textId="28B35DA9" w:rsidR="00327F04" w:rsidRPr="00327F04" w:rsidRDefault="00327F04" w:rsidP="00327F04">
                              <w:pPr>
                                <w:spacing w:after="0"/>
                                <w:jc w:val="center"/>
                                <w:rPr>
                                  <w:color w:val="000000" w:themeColor="text1"/>
                                </w:rPr>
                              </w:pPr>
                              <w:r>
                                <w:rPr>
                                  <w:color w:val="000000" w:themeColor="text1"/>
                                </w:rPr>
                                <w:t>FG 48-2 (peak data rate reduction)</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wps:wsp>
                        <wps:cNvPr id="8" name="Connector: Elbow 8"/>
                        <wps:cNvCnPr>
                          <a:stCxn id="3" idx="2"/>
                          <a:endCxn id="6" idx="0"/>
                        </wps:cNvCnPr>
                        <wps:spPr>
                          <a:xfrm rot="5400000">
                            <a:off x="2043243" y="821681"/>
                            <a:ext cx="461384" cy="0"/>
                          </a:xfrm>
                          <a:prstGeom prst="bent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 name="Connector: Elbow 9"/>
                        <wps:cNvCnPr>
                          <a:stCxn id="3" idx="2"/>
                          <a:endCxn id="7" idx="0"/>
                        </wps:cNvCnPr>
                        <wps:spPr>
                          <a:xfrm rot="16200000" flipH="1">
                            <a:off x="2892878" y="-40655"/>
                            <a:ext cx="461384" cy="1711971"/>
                          </a:xfrm>
                          <a:prstGeom prst="bent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361B1B6" id="Canvas 2" o:spid="_x0000_s1026" editas="canvas" style="width:372.95pt;height:135.4pt;mso-position-horizontal-relative:char;mso-position-vertical-relative:line" coordsize="47364,17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364;height:17195;visibility:visible;mso-wrap-style:square" filled="t">
                  <v:fill o:detectmouseclick="t"/>
                  <v:path o:connecttype="none"/>
                </v:shape>
                <v:rect id="Rectangle 3" o:spid="_x0000_s1028" style="position:absolute;left:17189;top:359;width:10973;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" fillcolor="white [3212]" strokecolor="black [3213]" strokeweight=".5pt">
                  <v:textbox inset="3.6pt,,3.6pt">
                    <w:txbxContent>
                      <w:p w14:paraId="57F4B2EB" w14:textId="2DA23A74" w:rsidR="00327F04" w:rsidRPr="00327F04" w:rsidRDefault="00327F04" w:rsidP="00327F04">
                        <w:pPr>
                          <w:spacing w:after="0"/>
                          <w:jc w:val="center"/>
                          <w:rPr>
                            <w:color w:val="000000" w:themeColor="text1"/>
                          </w:rPr>
                        </w:pPr>
                        <w:r>
                          <w:rPr>
                            <w:color w:val="000000" w:themeColor="text1"/>
                          </w:rPr>
                          <w:t>FG 48-1 (baseband complexity reduction)</w:t>
                        </w:r>
                      </w:p>
                    </w:txbxContent>
                  </v:textbox>
                </v:rect>
                <v:rect id="Rectangle 4" o:spid="_x0000_s1029" style="position:absolute;left:3016;top:359;width:914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" fillcolor="white [3212]" stroked="f" strokeweight=".5pt">
                  <v:stroke dashstyle="longDash"/>
                  <v:textbox inset="0,0,0,0">
                    <w:txbxContent>
                      <w:p w14:paraId="1FE24E40" w14:textId="45D45F30" w:rsidR="00327F04" w:rsidRPr="00327F04" w:rsidRDefault="00327F04" w:rsidP="00327F04">
                        <w:pPr>
                          <w:spacing w:after="0"/>
                          <w:jc w:val="center"/>
                          <w:rPr>
                            <w:color w:val="000000" w:themeColor="text1"/>
                          </w:rPr>
                        </w:pPr>
                        <w:r w:rsidRPr="00327F04">
                          <w:rPr>
                            <w:color w:val="000000" w:themeColor="text1"/>
                          </w:rPr>
                          <w:t>Idle and during initial a</w:t>
                        </w:r>
                        <w:r>
                          <w:rPr>
                            <w:color w:val="000000" w:themeColor="text1"/>
                          </w:rPr>
                          <w:t>c</w:t>
                        </w:r>
                        <w:r w:rsidRPr="00327F04">
                          <w:rPr>
                            <w:color w:val="000000" w:themeColor="text1"/>
                          </w:rPr>
                          <w:t>cess</w:t>
                        </w:r>
                      </w:p>
                    </w:txbxContent>
                  </v:textbox>
                </v:rect>
                <v:rect id="Rectangle 5" o:spid="_x0000_s1030" style="position:absolute;left:2136;top:10010;width:914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" fillcolor="white [3212]" stroked="f" strokeweight=".5pt">
                  <v:stroke dashstyle="longDash"/>
                  <v:textbox inset="0,0,0,0">
                    <w:txbxContent>
                      <w:p w14:paraId="47B218B2" w14:textId="409F5E43" w:rsidR="00327F04" w:rsidRPr="00327F04" w:rsidRDefault="00327F04" w:rsidP="00327F04">
                        <w:pPr>
                          <w:spacing w:after="0"/>
                          <w:jc w:val="center"/>
                          <w:rPr>
                            <w:color w:val="000000" w:themeColor="text1"/>
                          </w:rPr>
                        </w:pPr>
                        <w:r>
                          <w:rPr>
                            <w:color w:val="000000" w:themeColor="text1"/>
                          </w:rPr>
                          <w:t>Connected</w:t>
                        </w:r>
                      </w:p>
                    </w:txbxContent>
                  </v:textbox>
                </v:rect>
                <v:rect id="Rectangle 6" o:spid="_x0000_s1031" style="position:absolute;left:17189;top:10460;width:1097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" fillcolor="white [3212]" strokecolor="black [3213]" strokeweight=".5pt">
                  <v:textbox inset="3.6pt,,3.6pt">
                    <w:txbxContent>
                      <w:p w14:paraId="605311EA" w14:textId="77777777" w:rsidR="00327F04" w:rsidRPr="00327F04" w:rsidRDefault="00327F04" w:rsidP="00327F04">
                        <w:pPr>
                          <w:spacing w:after="0"/>
                          <w:jc w:val="center"/>
                          <w:rPr>
                            <w:color w:val="000000" w:themeColor="text1"/>
                          </w:rPr>
                        </w:pPr>
                        <w:r>
                          <w:rPr>
                            <w:color w:val="000000" w:themeColor="text1"/>
                          </w:rPr>
                          <w:t>FG 48-1 (baseband complexity reduction)</w:t>
                        </w:r>
                      </w:p>
                    </w:txbxContent>
                  </v:textbox>
                </v:rect>
                <v:rect id="Rectangle 7" o:spid="_x0000_s1032" style="position:absolute;left:34309;top:10460;width:10972;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" fillcolor="white [3212]" strokecolor="black [3213]" strokeweight=".5pt">
                  <v:textbox inset="3.6pt,,3.6pt">
                    <w:txbxContent>
                      <w:p w14:paraId="11735B7C" w14:textId="28B35DA9" w:rsidR="00327F04" w:rsidRPr="00327F04" w:rsidRDefault="00327F04" w:rsidP="00327F04">
                        <w:pPr>
                          <w:spacing w:after="0"/>
                          <w:jc w:val="center"/>
                          <w:rPr>
                            <w:color w:val="000000" w:themeColor="text1"/>
                          </w:rPr>
                        </w:pPr>
                        <w:r>
                          <w:rPr>
                            <w:color w:val="000000" w:themeColor="text1"/>
                          </w:rPr>
                          <w:t>FG 48-2 (peak data rate reduction)</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33" type="#_x0000_t34" style="position:absolute;left:20432;top:8216;width:4614;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" strokecolor="black [3213]">
                  <v:stroke endarrow="classic"/>
                </v:shape>
                <v:shape id="Connector: Elbow 9" o:spid="_x0000_s1034" type="#_x0000_t34" style="position:absolute;left:28928;top:-407;width:4614;height:171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" strokecolor="black [3213]">
                  <v:stroke endarrow="classic"/>
                </v:shape>
                <w10:anchorlock/>
              </v:group>
            </w:pict>
          </mc:Fallback>
        </mc:AlternateContent>
      </w:r>
    </w:p>
    <w:p w14:paraId="00B50512" w14:textId="72D8D498" w:rsidR="00845AA3" w:rsidRDefault="00C079BA" w:rsidP="00C079BA">
      <w:pPr>
        <w:pStyle w:val="Caption"/>
      </w:pPr>
      <w:bookmarkStart w:id="2" w:name="_Ref141426061"/>
      <w:r>
        <w:t xml:space="preserve">Fig. </w:t>
      </w:r>
      <w:fldSimple w:instr=" SEQ Fig. \* ARABIC ">
        <w:r w:rsidR="005C2251">
          <w:rPr>
            <w:noProof/>
          </w:rPr>
          <w:t>1</w:t>
        </w:r>
      </w:fldSimple>
      <w:bookmarkEnd w:id="2"/>
      <w:r>
        <w:t>. Relationship of complexity reduction techniques and feature groups</w:t>
      </w:r>
    </w:p>
    <w:p w14:paraId="1E8A6676" w14:textId="25AFC6AA" w:rsidR="00652DC6" w:rsidRDefault="00E01305" w:rsidP="00652DC6">
      <w:r>
        <w:t xml:space="preserve">This relationship was the result of the agreement in RAN#99 </w:t>
      </w:r>
      <w:r>
        <w:fldChar w:fldCharType="begin"/>
      </w:r>
      <w:r>
        <w:instrText xml:space="preserve"> REF _Ref130365493 \r \h </w:instrText>
      </w:r>
      <w:r>
        <w:fldChar w:fldCharType="separate"/>
      </w:r>
      <w:r w:rsidR="005C2251">
        <w:t>[2]</w:t>
      </w:r>
      <w:r>
        <w:fldChar w:fldCharType="end"/>
      </w:r>
      <w:r w:rsidR="00406A19">
        <w:t>, specifically Note 4.</w:t>
      </w:r>
    </w:p>
    <w:tbl>
      <w:tblPr>
        <w:tblStyle w:val="TableGrid"/>
        <w:tblW w:w="0" w:type="auto"/>
        <w:tblLook w:val="04A0" w:firstRow="1" w:lastRow="0" w:firstColumn="1" w:lastColumn="0" w:noHBand="0" w:noVBand="1"/>
      </w:tblPr>
      <w:tblGrid>
        <w:gridCol w:w="9016"/>
      </w:tblGrid>
      <w:tr w:rsidR="00E01305" w14:paraId="10CFB803" w14:textId="77777777" w:rsidTr="005243D0">
        <w:tc>
          <w:tcPr>
            <w:tcW w:w="9533" w:type="dxa"/>
          </w:tcPr>
          <w:p w14:paraId="25C13EAE" w14:textId="0D58CBD5" w:rsidR="00E01305" w:rsidRDefault="00E01305" w:rsidP="005243D0">
            <w:pPr>
              <w:pStyle w:val="TableCell0"/>
              <w:spacing w:after="120"/>
              <w:rPr>
                <w:lang w:eastAsia="zh-CN"/>
              </w:rPr>
            </w:pPr>
            <w:r>
              <w:rPr>
                <w:lang w:eastAsia="zh-CN"/>
              </w:rPr>
              <w:t>Rel-18 eRedCap UE capable of 20MHz + PR1 and Rel-18 eRedCap UE capable of BW3/PR3 + PR1 are designed/targeted to same peak data rate, i.e., 10Mbps</w:t>
            </w:r>
          </w:p>
          <w:p w14:paraId="018E5E00" w14:textId="77777777" w:rsidR="00E01305" w:rsidRDefault="00E01305" w:rsidP="005243D0">
            <w:pPr>
              <w:pStyle w:val="TableCell0"/>
              <w:spacing w:after="120"/>
              <w:ind w:left="720" w:hanging="720"/>
              <w:rPr>
                <w:lang w:eastAsia="zh-CN"/>
              </w:rPr>
            </w:pPr>
            <w:r>
              <w:rPr>
                <w:lang w:eastAsia="zh-CN"/>
              </w:rPr>
              <w:t>Note 1:</w:t>
            </w:r>
            <w:r>
              <w:rPr>
                <w:lang w:eastAsia="zh-CN"/>
              </w:rPr>
              <w:tab/>
              <w:t>Peak data rate of "Rel-18 eRedCap: UE capable of 20MHz + PR1" and "Rel-18 eRedCap: UE capable of BW3/PR3 + PR1" is same including unicast and broadcast respectively.</w:t>
            </w:r>
          </w:p>
          <w:p w14:paraId="4DB8CFBC" w14:textId="77777777" w:rsidR="00E01305" w:rsidRDefault="00E01305" w:rsidP="005243D0">
            <w:pPr>
              <w:pStyle w:val="TableCell0"/>
              <w:spacing w:after="120"/>
              <w:ind w:left="720" w:hanging="720"/>
              <w:rPr>
                <w:lang w:eastAsia="zh-CN"/>
              </w:rPr>
            </w:pPr>
            <w:r>
              <w:rPr>
                <w:lang w:eastAsia="zh-CN"/>
              </w:rPr>
              <w:t xml:space="preserve">Note 2: </w:t>
            </w:r>
            <w:r>
              <w:rPr>
                <w:lang w:eastAsia="zh-CN"/>
              </w:rPr>
              <w:tab/>
              <w:t>PRB processing capability of "Rel-18 eRedCap: UE capable of 20MHz + PR1" is not limited to "25 PRBs for 15 kHz SCS and 12 PRBs for 30 kHz SCS" and it corresponds to PRB size corresponding to 20 MHz.</w:t>
            </w:r>
          </w:p>
          <w:p w14:paraId="46063FCE" w14:textId="77777777" w:rsidR="00E01305" w:rsidRDefault="00E01305" w:rsidP="005243D0">
            <w:pPr>
              <w:pStyle w:val="TableCell0"/>
              <w:spacing w:after="120"/>
              <w:ind w:left="720" w:hanging="720"/>
              <w:rPr>
                <w:lang w:eastAsia="zh-CN"/>
              </w:rPr>
            </w:pPr>
            <w:r>
              <w:rPr>
                <w:lang w:eastAsia="zh-CN"/>
              </w:rPr>
              <w:t xml:space="preserve">Note 3: </w:t>
            </w:r>
            <w:r>
              <w:rPr>
                <w:lang w:eastAsia="zh-CN"/>
              </w:rPr>
              <w:tab/>
              <w:t xml:space="preserve">The only difference between "Rel-18 eRedCap: UE capable of 20MHz + PR1" and "Rel-18 eRedCap: UE capable of BW3/PR3 + PR1" is Note 2 and </w:t>
            </w:r>
            <w:r w:rsidRPr="007218B0">
              <w:rPr>
                <w:i/>
                <w:iCs/>
                <w:lang w:eastAsia="zh-CN"/>
              </w:rPr>
              <w:t>v</w:t>
            </w:r>
            <w:r w:rsidRPr="007218B0">
              <w:rPr>
                <w:i/>
                <w:iCs/>
                <w:vertAlign w:val="subscript"/>
                <w:lang w:eastAsia="zh-CN"/>
              </w:rPr>
              <w:t>Layers</w:t>
            </w:r>
            <w:r>
              <w:rPr>
                <w:lang w:eastAsia="zh-CN"/>
              </w:rPr>
              <w:t>·</w:t>
            </w:r>
            <w:r w:rsidRPr="007218B0">
              <w:rPr>
                <w:i/>
                <w:iCs/>
                <w:lang w:eastAsia="zh-CN"/>
              </w:rPr>
              <w:t>Q</w:t>
            </w:r>
            <w:r w:rsidRPr="007218B0">
              <w:rPr>
                <w:i/>
                <w:iCs/>
                <w:vertAlign w:val="subscript"/>
                <w:lang w:eastAsia="zh-CN"/>
              </w:rPr>
              <w:t>m</w:t>
            </w:r>
            <w:r>
              <w:rPr>
                <w:lang w:eastAsia="zh-CN"/>
              </w:rPr>
              <w:t>·</w:t>
            </w:r>
            <w:r w:rsidRPr="007218B0">
              <w:rPr>
                <w:i/>
                <w:iCs/>
                <w:lang w:eastAsia="zh-CN"/>
              </w:rPr>
              <w:t>f</w:t>
            </w:r>
            <w:r>
              <w:rPr>
                <w:lang w:eastAsia="zh-CN"/>
              </w:rPr>
              <w:t xml:space="preserve"> in order to have the same peak rate.</w:t>
            </w:r>
          </w:p>
          <w:p w14:paraId="78CAA556" w14:textId="77777777" w:rsidR="00E01305" w:rsidRDefault="00E01305" w:rsidP="005243D0">
            <w:pPr>
              <w:pStyle w:val="TableCell0"/>
              <w:spacing w:after="120"/>
              <w:ind w:left="720" w:hanging="720"/>
              <w:rPr>
                <w:lang w:eastAsia="zh-CN"/>
              </w:rPr>
            </w:pPr>
            <w:r>
              <w:rPr>
                <w:lang w:eastAsia="zh-CN"/>
              </w:rPr>
              <w:t xml:space="preserve">Note 4: </w:t>
            </w:r>
            <w:r>
              <w:rPr>
                <w:lang w:eastAsia="zh-CN"/>
              </w:rPr>
              <w:tab/>
              <w:t>The initial access procedure of Rel-18 eRedCap UE capable of 20MHz + PR1 is realized by following:</w:t>
            </w:r>
          </w:p>
          <w:p w14:paraId="1135DCD7" w14:textId="77777777" w:rsidR="00E01305" w:rsidRPr="00F735AA" w:rsidRDefault="00E01305" w:rsidP="00E01305">
            <w:pPr>
              <w:numPr>
                <w:ilvl w:val="0"/>
                <w:numId w:val="38"/>
              </w:numPr>
              <w:overflowPunct/>
              <w:autoSpaceDE/>
              <w:autoSpaceDN/>
              <w:adjustRightInd/>
              <w:spacing w:after="0"/>
              <w:jc w:val="left"/>
            </w:pPr>
            <w:r w:rsidRPr="00F735AA">
              <w:t>Same as Rel-18 eRedCap UE capable of BW3/PR3 + PR1</w:t>
            </w:r>
          </w:p>
          <w:p w14:paraId="5A65DCAD" w14:textId="77777777" w:rsidR="00E01305" w:rsidRDefault="00E01305" w:rsidP="005243D0">
            <w:pPr>
              <w:pStyle w:val="TableCell0"/>
              <w:spacing w:after="120"/>
              <w:rPr>
                <w:lang w:eastAsia="zh-CN"/>
              </w:rPr>
            </w:pPr>
          </w:p>
        </w:tc>
      </w:tr>
    </w:tbl>
    <w:p w14:paraId="0BD2F26E" w14:textId="61433D4E" w:rsidR="00E01305" w:rsidRDefault="00E01305" w:rsidP="00E01305">
      <w:pPr>
        <w:rPr>
          <w:lang w:eastAsia="zh-CN"/>
        </w:rPr>
      </w:pPr>
    </w:p>
    <w:p w14:paraId="0ADD0097" w14:textId="6710CB0A" w:rsidR="00406A19" w:rsidRDefault="00406A19" w:rsidP="00406A19">
      <w:pPr>
        <w:pStyle w:val="Heading2"/>
        <w:rPr>
          <w:lang w:eastAsia="zh-CN"/>
        </w:rPr>
      </w:pPr>
      <w:r>
        <w:rPr>
          <w:lang w:eastAsia="zh-CN"/>
        </w:rPr>
        <w:lastRenderedPageBreak/>
        <w:t>Discussion</w:t>
      </w:r>
    </w:p>
    <w:p w14:paraId="2942C6D6" w14:textId="134E41BE" w:rsidR="0048028B" w:rsidRDefault="00F212E1" w:rsidP="00652DC6">
      <w:r>
        <w:t>There were some open issues in the c</w:t>
      </w:r>
      <w:r w:rsidR="00406A19">
        <w:t>omponent</w:t>
      </w:r>
      <w:r>
        <w:t>s</w:t>
      </w:r>
      <w:r w:rsidR="0048028B">
        <w:t xml:space="preserve"> of FG 48-1 and FG 48-2, as listed below. </w:t>
      </w:r>
      <w:r w:rsidR="00151CA2">
        <w:t xml:space="preserve">The last issue is a catch-all in case more </w:t>
      </w:r>
      <w:r w:rsidR="00C1129F">
        <w:t xml:space="preserve">feature groups are </w:t>
      </w:r>
      <w:r w:rsidR="005C2251">
        <w:t>needed.</w:t>
      </w:r>
    </w:p>
    <w:p w14:paraId="558C7CAD" w14:textId="70ECA448" w:rsidR="00E01305" w:rsidRPr="00151CA2" w:rsidRDefault="00854885" w:rsidP="0048028B">
      <w:pPr>
        <w:pStyle w:val="ListParagraph"/>
        <w:numPr>
          <w:ilvl w:val="0"/>
          <w:numId w:val="38"/>
        </w:numPr>
      </w:pPr>
      <w:r w:rsidRPr="00151CA2">
        <w:t xml:space="preserve">48-1: </w:t>
      </w:r>
      <w:r w:rsidR="0048028B" w:rsidRPr="00151CA2">
        <w:rPr>
          <w:highlight w:val="yellow"/>
        </w:rPr>
        <w:t>[11. DL/UL peak data rate target of 10 Mbps]</w:t>
      </w:r>
    </w:p>
    <w:p w14:paraId="3DD8587C" w14:textId="5F0694D8" w:rsidR="0048028B" w:rsidRPr="00151CA2" w:rsidRDefault="00854885" w:rsidP="0048028B">
      <w:pPr>
        <w:pStyle w:val="ListParagraph"/>
        <w:numPr>
          <w:ilvl w:val="0"/>
          <w:numId w:val="38"/>
        </w:numPr>
      </w:pPr>
      <w:r w:rsidRPr="00151CA2">
        <w:t xml:space="preserve">48-2: </w:t>
      </w:r>
      <w:r w:rsidR="0048028B" w:rsidRPr="00151CA2">
        <w:rPr>
          <w:highlight w:val="yellow"/>
        </w:rPr>
        <w:t>[13. Relaxed RAR-PDSCH processing timeline]</w:t>
      </w:r>
    </w:p>
    <w:p w14:paraId="162DBD47" w14:textId="77777777" w:rsidR="00151CA2" w:rsidRPr="00151CA2" w:rsidRDefault="00151CA2" w:rsidP="00151CA2">
      <w:pPr>
        <w:pStyle w:val="ListParagraph"/>
        <w:numPr>
          <w:ilvl w:val="0"/>
          <w:numId w:val="38"/>
        </w:numPr>
      </w:pPr>
      <w:r w:rsidRPr="00151CA2">
        <w:t xml:space="preserve">48-1: </w:t>
      </w:r>
      <w:r w:rsidRPr="00151CA2">
        <w:rPr>
          <w:highlight w:val="yellow"/>
        </w:rPr>
        <w:t>FFS whether to add additional components</w:t>
      </w:r>
    </w:p>
    <w:p w14:paraId="39AB7A0B" w14:textId="39037C45" w:rsidR="00F212E1" w:rsidRDefault="0048028B" w:rsidP="00F212E1">
      <w:pPr>
        <w:rPr>
          <w:rFonts w:eastAsia="Yu Mincho"/>
          <w:bCs/>
          <w:iCs/>
          <w:lang w:eastAsia="ja-JP"/>
        </w:rPr>
      </w:pPr>
      <w:r>
        <w:rPr>
          <w:rFonts w:eastAsia="Yu Mincho"/>
          <w:bCs/>
          <w:iCs/>
          <w:lang w:eastAsia="ja-JP"/>
        </w:rPr>
        <w:t xml:space="preserve">For the peak data rate, discussions in </w:t>
      </w:r>
      <w:r w:rsidR="00F212E1">
        <w:rPr>
          <w:rFonts w:eastAsia="Yu Mincho"/>
          <w:bCs/>
          <w:iCs/>
          <w:lang w:eastAsia="ja-JP"/>
        </w:rPr>
        <w:t xml:space="preserve">RAN#100 about the data rate for the peak data rate reduction objective </w:t>
      </w:r>
      <w:r>
        <w:rPr>
          <w:rFonts w:eastAsia="Yu Mincho"/>
          <w:bCs/>
          <w:iCs/>
          <w:lang w:eastAsia="ja-JP"/>
        </w:rPr>
        <w:t>led to</w:t>
      </w:r>
      <w:r w:rsidR="00F212E1">
        <w:rPr>
          <w:rFonts w:eastAsia="Yu Mincho"/>
          <w:bCs/>
          <w:iCs/>
          <w:lang w:eastAsia="ja-JP"/>
        </w:rPr>
        <w:t xml:space="preserve"> the following working assumption </w:t>
      </w:r>
      <w:r w:rsidR="00F212E1">
        <w:rPr>
          <w:rFonts w:eastAsia="Yu Mincho"/>
          <w:bCs/>
          <w:iCs/>
          <w:lang w:eastAsia="ja-JP"/>
        </w:rPr>
        <w:fldChar w:fldCharType="begin"/>
      </w:r>
      <w:r w:rsidR="00F212E1">
        <w:rPr>
          <w:rFonts w:eastAsia="Yu Mincho"/>
          <w:bCs/>
          <w:iCs/>
          <w:lang w:eastAsia="ja-JP"/>
        </w:rPr>
        <w:instrText xml:space="preserve"> REF _Ref138679322 \r \h </w:instrText>
      </w:r>
      <w:r w:rsidR="00F212E1">
        <w:rPr>
          <w:rFonts w:eastAsia="Yu Mincho"/>
          <w:bCs/>
          <w:iCs/>
          <w:lang w:eastAsia="ja-JP"/>
        </w:rPr>
      </w:r>
      <w:r w:rsidR="00F212E1">
        <w:rPr>
          <w:rFonts w:eastAsia="Yu Mincho"/>
          <w:bCs/>
          <w:iCs/>
          <w:lang w:eastAsia="ja-JP"/>
        </w:rPr>
        <w:fldChar w:fldCharType="separate"/>
      </w:r>
      <w:r w:rsidR="005C2251">
        <w:rPr>
          <w:rFonts w:eastAsia="Yu Mincho"/>
          <w:bCs/>
          <w:iCs/>
          <w:lang w:eastAsia="ja-JP"/>
        </w:rPr>
        <w:t>[3]</w:t>
      </w:r>
      <w:r w:rsidR="00F212E1">
        <w:rPr>
          <w:rFonts w:eastAsia="Yu Mincho"/>
          <w:bCs/>
          <w:iCs/>
          <w:lang w:eastAsia="ja-JP"/>
        </w:rPr>
        <w:fldChar w:fldCharType="end"/>
      </w:r>
      <w:r w:rsidR="00F212E1">
        <w:rPr>
          <w:rFonts w:eastAsia="Yu Mincho"/>
          <w:bCs/>
          <w:iCs/>
          <w:lang w:eastAsia="ja-JP"/>
        </w:rPr>
        <w:t>.</w:t>
      </w:r>
    </w:p>
    <w:tbl>
      <w:tblPr>
        <w:tblStyle w:val="TableGrid"/>
        <w:tblW w:w="0" w:type="auto"/>
        <w:tblLook w:val="04A0" w:firstRow="1" w:lastRow="0" w:firstColumn="1" w:lastColumn="0" w:noHBand="0" w:noVBand="1"/>
      </w:tblPr>
      <w:tblGrid>
        <w:gridCol w:w="9016"/>
      </w:tblGrid>
      <w:tr w:rsidR="00F212E1" w:rsidRPr="00F0459F" w14:paraId="7BB81F27" w14:textId="77777777" w:rsidTr="005243D0">
        <w:tc>
          <w:tcPr>
            <w:tcW w:w="9307" w:type="dxa"/>
          </w:tcPr>
          <w:p w14:paraId="0275C94C" w14:textId="77777777" w:rsidR="00F212E1" w:rsidRPr="00F0459F" w:rsidRDefault="00F212E1" w:rsidP="005243D0">
            <w:pPr>
              <w:pStyle w:val="TableCell0"/>
              <w:spacing w:after="120"/>
              <w:rPr>
                <w:lang w:eastAsia="ja-JP"/>
              </w:rPr>
            </w:pPr>
            <w:r w:rsidRPr="00F0459F">
              <w:rPr>
                <w:lang w:eastAsia="ja-JP"/>
              </w:rPr>
              <w:t>The peak rate target is 10 Mbps regardless of what optional features the UE may support. (i.e. WGs can progress on this topic based on this assumption)</w:t>
            </w:r>
          </w:p>
        </w:tc>
      </w:tr>
    </w:tbl>
    <w:p w14:paraId="6190245D" w14:textId="3A3790BB" w:rsidR="00F212E1" w:rsidRDefault="00F212E1" w:rsidP="00F212E1">
      <w:pPr>
        <w:rPr>
          <w:rFonts w:eastAsia="Yu Mincho"/>
          <w:bCs/>
          <w:iCs/>
          <w:lang w:eastAsia="ja-JP"/>
        </w:rPr>
      </w:pPr>
    </w:p>
    <w:p w14:paraId="00B81D0C" w14:textId="17E7B21D" w:rsidR="0048028B" w:rsidRDefault="00E15D38" w:rsidP="00F212E1">
      <w:pPr>
        <w:rPr>
          <w:rFonts w:eastAsia="Yu Mincho"/>
          <w:bCs/>
          <w:iCs/>
          <w:lang w:eastAsia="ja-JP"/>
        </w:rPr>
      </w:pPr>
      <w:r>
        <w:rPr>
          <w:rFonts w:eastAsia="Yu Mincho"/>
          <w:bCs/>
          <w:iCs/>
          <w:lang w:eastAsia="ja-JP"/>
        </w:rPr>
        <w:t xml:space="preserve">While RAN made a working assumption, it is expected that a specific WG (i.e., RAN1) will use the assumption and complete its portion of the work item. In our accompanying RAN1 contribution, our proposal supports the 10 Mbps peak </w:t>
      </w:r>
      <w:r w:rsidR="001D0CB6">
        <w:rPr>
          <w:rFonts w:eastAsia="Yu Mincho"/>
          <w:bCs/>
          <w:iCs/>
          <w:lang w:eastAsia="ja-JP"/>
        </w:rPr>
        <w:t xml:space="preserve">data </w:t>
      </w:r>
      <w:r>
        <w:rPr>
          <w:rFonts w:eastAsia="Yu Mincho"/>
          <w:bCs/>
          <w:iCs/>
          <w:lang w:eastAsia="ja-JP"/>
        </w:rPr>
        <w:t xml:space="preserve">rate target </w:t>
      </w:r>
      <w:r>
        <w:rPr>
          <w:rFonts w:eastAsia="Yu Mincho"/>
          <w:bCs/>
          <w:iCs/>
          <w:lang w:eastAsia="ja-JP"/>
        </w:rPr>
        <w:fldChar w:fldCharType="begin"/>
      </w:r>
      <w:r>
        <w:rPr>
          <w:rFonts w:eastAsia="Yu Mincho"/>
          <w:bCs/>
          <w:iCs/>
          <w:lang w:eastAsia="ja-JP"/>
        </w:rPr>
        <w:instrText xml:space="preserve"> REF _Ref142034600 \r \h </w:instrText>
      </w:r>
      <w:r>
        <w:rPr>
          <w:rFonts w:eastAsia="Yu Mincho"/>
          <w:bCs/>
          <w:iCs/>
          <w:lang w:eastAsia="ja-JP"/>
        </w:rPr>
      </w:r>
      <w:r>
        <w:rPr>
          <w:rFonts w:eastAsia="Yu Mincho"/>
          <w:bCs/>
          <w:iCs/>
          <w:lang w:eastAsia="ja-JP"/>
        </w:rPr>
        <w:fldChar w:fldCharType="separate"/>
      </w:r>
      <w:r w:rsidR="005C2251">
        <w:rPr>
          <w:rFonts w:eastAsia="Yu Mincho"/>
          <w:bCs/>
          <w:iCs/>
          <w:lang w:eastAsia="ja-JP"/>
        </w:rPr>
        <w:t>[4]</w:t>
      </w:r>
      <w:r>
        <w:rPr>
          <w:rFonts w:eastAsia="Yu Mincho"/>
          <w:bCs/>
          <w:iCs/>
          <w:lang w:eastAsia="ja-JP"/>
        </w:rPr>
        <w:fldChar w:fldCharType="end"/>
      </w:r>
      <w:r>
        <w:rPr>
          <w:rFonts w:eastAsia="Yu Mincho"/>
          <w:bCs/>
          <w:iCs/>
          <w:lang w:eastAsia="ja-JP"/>
        </w:rPr>
        <w:t xml:space="preserve">. Specifically, for a UE supporting FG 48-2, we </w:t>
      </w:r>
      <w:r w:rsidR="005C2251">
        <w:rPr>
          <w:rFonts w:eastAsia="Yu Mincho"/>
          <w:bCs/>
          <w:iCs/>
          <w:lang w:eastAsia="ja-JP"/>
        </w:rPr>
        <w:t xml:space="preserve">propose </w:t>
      </w:r>
      <w:r>
        <w:rPr>
          <w:rFonts w:eastAsia="Yu Mincho"/>
          <w:bCs/>
          <w:iCs/>
          <w:lang w:eastAsia="ja-JP"/>
        </w:rPr>
        <w:t xml:space="preserve">that both 0.75 and 0.8 values for the product </w:t>
      </w:r>
      <w:r w:rsidRPr="007218B0">
        <w:rPr>
          <w:i/>
          <w:iCs/>
          <w:lang w:eastAsia="zh-CN"/>
        </w:rPr>
        <w:t>v</w:t>
      </w:r>
      <w:r w:rsidRPr="007218B0">
        <w:rPr>
          <w:i/>
          <w:iCs/>
          <w:vertAlign w:val="subscript"/>
          <w:lang w:eastAsia="zh-CN"/>
        </w:rPr>
        <w:t>Layers</w:t>
      </w:r>
      <w:r>
        <w:rPr>
          <w:lang w:eastAsia="zh-CN"/>
        </w:rPr>
        <w:t>·</w:t>
      </w:r>
      <w:r w:rsidRPr="007218B0">
        <w:rPr>
          <w:i/>
          <w:iCs/>
          <w:lang w:eastAsia="zh-CN"/>
        </w:rPr>
        <w:t>Q</w:t>
      </w:r>
      <w:r w:rsidRPr="007218B0">
        <w:rPr>
          <w:i/>
          <w:iCs/>
          <w:vertAlign w:val="subscript"/>
          <w:lang w:eastAsia="zh-CN"/>
        </w:rPr>
        <w:t>m</w:t>
      </w:r>
      <w:r>
        <w:rPr>
          <w:lang w:eastAsia="zh-CN"/>
        </w:rPr>
        <w:t>·</w:t>
      </w:r>
      <w:r w:rsidRPr="007218B0">
        <w:rPr>
          <w:i/>
          <w:iCs/>
          <w:lang w:eastAsia="zh-CN"/>
        </w:rPr>
        <w:t>f</w:t>
      </w:r>
      <w:r>
        <w:rPr>
          <w:rFonts w:eastAsia="Yu Mincho"/>
          <w:bCs/>
          <w:iCs/>
          <w:lang w:eastAsia="ja-JP"/>
        </w:rPr>
        <w:t xml:space="preserve"> are supported. </w:t>
      </w:r>
      <w:r w:rsidR="00391B27">
        <w:rPr>
          <w:rFonts w:eastAsia="Yu Mincho"/>
          <w:bCs/>
          <w:iCs/>
          <w:lang w:eastAsia="ja-JP"/>
        </w:rPr>
        <w:t>How to specify both values is up to RAN2. For the features, component 11 of FG 48-1 “</w:t>
      </w:r>
      <w:r w:rsidR="00391B27" w:rsidRPr="00391B27">
        <w:rPr>
          <w:rFonts w:eastAsia="Yu Mincho"/>
          <w:bCs/>
          <w:iCs/>
          <w:lang w:eastAsia="ja-JP"/>
        </w:rPr>
        <w:t>[DL/UL peak data rate target of 10 Mbps]</w:t>
      </w:r>
      <w:r w:rsidR="00391B27">
        <w:rPr>
          <w:rFonts w:eastAsia="Yu Mincho"/>
          <w:bCs/>
          <w:iCs/>
          <w:lang w:eastAsia="ja-JP"/>
        </w:rPr>
        <w:t>” is applicable to both FG 48-1 and FG 48-2. We propose to remove the brackets.</w:t>
      </w:r>
    </w:p>
    <w:p w14:paraId="41076201" w14:textId="1A947518" w:rsidR="0048028B" w:rsidRPr="00854885" w:rsidRDefault="0048028B" w:rsidP="00F212E1">
      <w:pPr>
        <w:rPr>
          <w:rFonts w:eastAsia="Yu Mincho"/>
          <w:b/>
          <w:i/>
          <w:lang w:eastAsia="ja-JP"/>
        </w:rPr>
      </w:pPr>
      <w:r w:rsidRPr="00854885">
        <w:rPr>
          <w:rFonts w:eastAsia="Yu Mincho"/>
          <w:b/>
          <w:i/>
          <w:lang w:eastAsia="ja-JP"/>
        </w:rPr>
        <w:t xml:space="preserve">Proposal 1: For component 11 of FG 48-1, </w:t>
      </w:r>
      <w:r w:rsidR="00391B27">
        <w:rPr>
          <w:rFonts w:eastAsia="Yu Mincho"/>
          <w:b/>
          <w:i/>
          <w:lang w:eastAsia="ja-JP"/>
        </w:rPr>
        <w:t xml:space="preserve">indicate support of a 10 Mbps peak data </w:t>
      </w:r>
      <w:r w:rsidR="001D0CB6">
        <w:rPr>
          <w:rFonts w:eastAsia="Yu Mincho"/>
          <w:b/>
          <w:i/>
          <w:lang w:eastAsia="ja-JP"/>
        </w:rPr>
        <w:t xml:space="preserve">rate target by </w:t>
      </w:r>
      <w:r w:rsidR="00391B27">
        <w:rPr>
          <w:rFonts w:eastAsia="Yu Mincho"/>
          <w:b/>
          <w:i/>
          <w:lang w:eastAsia="ja-JP"/>
        </w:rPr>
        <w:t>remov</w:t>
      </w:r>
      <w:r w:rsidR="001D0CB6">
        <w:rPr>
          <w:rFonts w:eastAsia="Yu Mincho"/>
          <w:b/>
          <w:i/>
          <w:lang w:eastAsia="ja-JP"/>
        </w:rPr>
        <w:t>ing</w:t>
      </w:r>
      <w:r w:rsidR="00391B27">
        <w:rPr>
          <w:rFonts w:eastAsia="Yu Mincho"/>
          <w:b/>
          <w:i/>
          <w:lang w:eastAsia="ja-JP"/>
        </w:rPr>
        <w:t xml:space="preserve"> the brackets</w:t>
      </w:r>
      <w:r w:rsidR="001D0CB6">
        <w:rPr>
          <w:rFonts w:eastAsia="Yu Mincho"/>
          <w:b/>
          <w:i/>
          <w:lang w:eastAsia="ja-JP"/>
        </w:rPr>
        <w:t>.</w:t>
      </w:r>
    </w:p>
    <w:p w14:paraId="527D7588" w14:textId="77777777" w:rsidR="00C1129F" w:rsidRDefault="00151CA2" w:rsidP="00652DC6">
      <w:r>
        <w:t>In FG 48-2, it is proposed to remove c</w:t>
      </w:r>
      <w:r w:rsidR="00854885">
        <w:t>ompone</w:t>
      </w:r>
      <w:r w:rsidR="002D6B56">
        <w:t>nt 13</w:t>
      </w:r>
      <w:r w:rsidR="00B812F7">
        <w:t xml:space="preserve"> </w:t>
      </w:r>
      <w:r>
        <w:t>listed in</w:t>
      </w:r>
      <w:r w:rsidR="002D6B56">
        <w:t xml:space="preserve"> FG 48-1</w:t>
      </w:r>
      <w:r>
        <w:t>. The basis for component 13 i</w:t>
      </w:r>
      <w:r w:rsidR="00990618">
        <w:t>s</w:t>
      </w:r>
      <w:r>
        <w:t xml:space="preserve"> </w:t>
      </w:r>
      <w:r w:rsidR="00990618">
        <w:t>due to the processing limitations of the baseband complexity reduction</w:t>
      </w:r>
      <w:r w:rsidR="00345AA4">
        <w:t xml:space="preserve"> </w:t>
      </w:r>
      <w:r w:rsidR="008D4ED0">
        <w:t xml:space="preserve">UE </w:t>
      </w:r>
      <w:r w:rsidR="008A4E73">
        <w:t xml:space="preserve">when the number of PRBs used for the PDSCH exceeds the 25/12 PRB limit </w:t>
      </w:r>
      <w:r w:rsidR="00367FD9">
        <w:t xml:space="preserve">for 15/30 kHz SCS </w:t>
      </w:r>
      <w:r w:rsidR="008A4E73">
        <w:t xml:space="preserve">during RACH. </w:t>
      </w:r>
      <w:r w:rsidR="008D4ED0">
        <w:t>Th</w:t>
      </w:r>
      <w:r w:rsidR="00BB1CBA">
        <w:t>e</w:t>
      </w:r>
      <w:r w:rsidR="00BB1CBA" w:rsidRPr="00BB1CBA">
        <w:t xml:space="preserve"> </w:t>
      </w:r>
      <w:r w:rsidR="00BB1CBA">
        <w:t>baseband complexity reduction</w:t>
      </w:r>
      <w:r w:rsidR="008D4ED0">
        <w:t xml:space="preserve"> UE needs additional processing time</w:t>
      </w:r>
      <w:r w:rsidR="00BB1CBA">
        <w:t xml:space="preserve"> for the larger payload</w:t>
      </w:r>
      <w:r w:rsidR="008D4ED0">
        <w:t>; hence the relaxed timeline is introduced</w:t>
      </w:r>
      <w:r w:rsidR="00BB1CBA">
        <w:t xml:space="preserve"> because RACH has time </w:t>
      </w:r>
      <w:r w:rsidR="00C1129F">
        <w:t>restrictions</w:t>
      </w:r>
      <w:r w:rsidR="00BB1CBA">
        <w:t>.</w:t>
      </w:r>
    </w:p>
    <w:p w14:paraId="179824ED" w14:textId="02C3A4B2" w:rsidR="00A22CAA" w:rsidRDefault="008A4E73" w:rsidP="00652DC6">
      <w:r>
        <w:t>In contrast,</w:t>
      </w:r>
      <w:r w:rsidR="00345AA4">
        <w:t xml:space="preserve"> a UE supporting FG 48-2 (peak data rate reduction)</w:t>
      </w:r>
      <w:r>
        <w:t xml:space="preserve"> does not have a processing limitation</w:t>
      </w:r>
      <w:r w:rsidR="00C1129F">
        <w:t xml:space="preserve"> due to the number of PRBs</w:t>
      </w:r>
      <w:r>
        <w:t xml:space="preserve">; it can process </w:t>
      </w:r>
      <w:r w:rsidR="00367FD9">
        <w:t xml:space="preserve">any size PDSCH (up to 106/51 PRBs) </w:t>
      </w:r>
      <w:r w:rsidR="008D4ED0">
        <w:t>in the same time</w:t>
      </w:r>
      <w:r w:rsidR="00FD2E2F">
        <w:t>line</w:t>
      </w:r>
      <w:r w:rsidR="008D4ED0">
        <w:t xml:space="preserve"> a</w:t>
      </w:r>
      <w:r w:rsidR="00367FD9">
        <w:t xml:space="preserve">s non-RedCap UEs. </w:t>
      </w:r>
      <w:r w:rsidR="003D1117">
        <w:t xml:space="preserve">A UE supporting FG 48-2 is indeed more capable than a UE supporting FG 48-1. </w:t>
      </w:r>
      <w:r w:rsidR="00367FD9">
        <w:t xml:space="preserve">However, </w:t>
      </w:r>
      <w:r w:rsidR="005C2251">
        <w:t>because of</w:t>
      </w:r>
      <w:r w:rsidR="00367FD9">
        <w:t xml:space="preserve"> the RAN#99 agreement (</w:t>
      </w:r>
      <w:r w:rsidR="008D4ED0">
        <w:t xml:space="preserve">note 4 </w:t>
      </w:r>
      <w:r w:rsidR="00367FD9">
        <w:t>listed above)</w:t>
      </w:r>
      <w:r w:rsidR="008D4ED0">
        <w:t>, the peak data rate reduction UE must follow the same procedure during initial access as the baseband complexity reduction UE</w:t>
      </w:r>
      <w:r w:rsidR="003D1117">
        <w:t xml:space="preserve"> since there is no differentiation of FGs 48-1 and 48-2 during initial access</w:t>
      </w:r>
      <w:r w:rsidR="008D4ED0">
        <w:t xml:space="preserve">. </w:t>
      </w:r>
    </w:p>
    <w:p w14:paraId="415C77CA" w14:textId="20E71593" w:rsidR="00391B27" w:rsidRPr="005C2251" w:rsidRDefault="00391B27" w:rsidP="00652DC6">
      <w:pPr>
        <w:rPr>
          <w:b/>
          <w:bCs/>
          <w:i/>
          <w:iCs/>
        </w:rPr>
      </w:pPr>
      <w:r w:rsidRPr="005C2251">
        <w:rPr>
          <w:b/>
          <w:bCs/>
          <w:i/>
          <w:iCs/>
        </w:rPr>
        <w:t xml:space="preserve">Observation: PR1-only devices MUST implement the FG 48-1 component 13 timeline </w:t>
      </w:r>
      <w:proofErr w:type="gramStart"/>
      <w:r w:rsidRPr="005C2251">
        <w:rPr>
          <w:b/>
          <w:bCs/>
          <w:i/>
          <w:iCs/>
        </w:rPr>
        <w:t>in order to</w:t>
      </w:r>
      <w:proofErr w:type="gramEnd"/>
      <w:r w:rsidRPr="005C2251">
        <w:rPr>
          <w:b/>
          <w:bCs/>
          <w:i/>
          <w:iCs/>
        </w:rPr>
        <w:t xml:space="preserve"> follow the RAN agreement for allowing PR-1 devices in Rel-18</w:t>
      </w:r>
      <w:r>
        <w:rPr>
          <w:b/>
          <w:bCs/>
          <w:i/>
          <w:iCs/>
        </w:rPr>
        <w:t>.</w:t>
      </w:r>
    </w:p>
    <w:p w14:paraId="30693E7C" w14:textId="2E48AFE6" w:rsidR="003D1117" w:rsidRPr="00854885" w:rsidRDefault="003D1117" w:rsidP="003D1117">
      <w:pPr>
        <w:rPr>
          <w:rFonts w:eastAsia="Yu Mincho"/>
          <w:b/>
          <w:i/>
          <w:lang w:eastAsia="ja-JP"/>
        </w:rPr>
      </w:pPr>
      <w:r w:rsidRPr="00854885">
        <w:rPr>
          <w:rFonts w:eastAsia="Yu Mincho"/>
          <w:b/>
          <w:i/>
          <w:lang w:eastAsia="ja-JP"/>
        </w:rPr>
        <w:t xml:space="preserve">Proposal </w:t>
      </w:r>
      <w:r>
        <w:rPr>
          <w:rFonts w:eastAsia="Yu Mincho"/>
          <w:b/>
          <w:i/>
          <w:lang w:eastAsia="ja-JP"/>
        </w:rPr>
        <w:t>2</w:t>
      </w:r>
      <w:r w:rsidRPr="00854885">
        <w:rPr>
          <w:rFonts w:eastAsia="Yu Mincho"/>
          <w:b/>
          <w:i/>
          <w:lang w:eastAsia="ja-JP"/>
        </w:rPr>
        <w:t xml:space="preserve">: </w:t>
      </w:r>
      <w:r>
        <w:rPr>
          <w:rFonts w:eastAsia="Yu Mincho"/>
          <w:b/>
          <w:i/>
          <w:lang w:eastAsia="ja-JP"/>
        </w:rPr>
        <w:t>In</w:t>
      </w:r>
      <w:r w:rsidRPr="00854885">
        <w:rPr>
          <w:rFonts w:eastAsia="Yu Mincho"/>
          <w:b/>
          <w:i/>
          <w:lang w:eastAsia="ja-JP"/>
        </w:rPr>
        <w:t xml:space="preserve"> FG 48-</w:t>
      </w:r>
      <w:r>
        <w:rPr>
          <w:rFonts w:eastAsia="Yu Mincho"/>
          <w:b/>
          <w:i/>
          <w:lang w:eastAsia="ja-JP"/>
        </w:rPr>
        <w:t>2</w:t>
      </w:r>
      <w:r w:rsidRPr="00854885">
        <w:rPr>
          <w:rFonts w:eastAsia="Yu Mincho"/>
          <w:b/>
          <w:i/>
          <w:lang w:eastAsia="ja-JP"/>
        </w:rPr>
        <w:t xml:space="preserve">, </w:t>
      </w:r>
      <w:r>
        <w:rPr>
          <w:rFonts w:eastAsia="Yu Mincho"/>
          <w:b/>
          <w:i/>
          <w:lang w:eastAsia="ja-JP"/>
        </w:rPr>
        <w:t>remove “</w:t>
      </w:r>
      <w:r w:rsidRPr="003D1117">
        <w:rPr>
          <w:rFonts w:eastAsia="Yu Mincho"/>
          <w:b/>
          <w:i/>
          <w:lang w:eastAsia="ja-JP"/>
        </w:rPr>
        <w:t>[13. Relaxed RAR-PDSCH processing timeline]</w:t>
      </w:r>
      <w:r>
        <w:rPr>
          <w:rFonts w:eastAsia="Yu Mincho"/>
          <w:b/>
          <w:i/>
          <w:lang w:eastAsia="ja-JP"/>
        </w:rPr>
        <w:t>”</w:t>
      </w:r>
      <w:r w:rsidRPr="00854885">
        <w:rPr>
          <w:rFonts w:eastAsia="Yu Mincho"/>
          <w:b/>
          <w:i/>
          <w:lang w:eastAsia="ja-JP"/>
        </w:rPr>
        <w:t>.</w:t>
      </w:r>
    </w:p>
    <w:p w14:paraId="3518B99D" w14:textId="1D08E09C" w:rsidR="00744A23" w:rsidRPr="0033128E" w:rsidRDefault="00882E8B" w:rsidP="00882E8B">
      <w:pPr>
        <w:pStyle w:val="Heading1"/>
      </w:pPr>
      <w:r w:rsidRPr="0033128E">
        <w:t>Conclusion</w:t>
      </w:r>
    </w:p>
    <w:p w14:paraId="799CBE02" w14:textId="3590CDEB" w:rsidR="00117582" w:rsidRPr="0033128E" w:rsidRDefault="00117582" w:rsidP="00F25DA6">
      <w:pPr>
        <w:rPr>
          <w:lang w:eastAsia="zh-CN"/>
        </w:rPr>
      </w:pPr>
      <w:r w:rsidRPr="0033128E">
        <w:rPr>
          <w:lang w:eastAsia="zh-CN"/>
        </w:rPr>
        <w:t xml:space="preserve">This contribution examined the FG proposal for RedCap UEs. </w:t>
      </w:r>
    </w:p>
    <w:p w14:paraId="2BC2E5A4" w14:textId="7E4255F2" w:rsidR="001D0CB6" w:rsidRPr="00854885" w:rsidRDefault="001D0CB6" w:rsidP="001D0CB6">
      <w:pPr>
        <w:rPr>
          <w:rFonts w:eastAsia="Yu Mincho"/>
          <w:b/>
          <w:i/>
          <w:lang w:eastAsia="ja-JP"/>
        </w:rPr>
      </w:pPr>
      <w:r w:rsidRPr="00854885">
        <w:rPr>
          <w:rFonts w:eastAsia="Yu Mincho"/>
          <w:b/>
          <w:i/>
          <w:lang w:eastAsia="ja-JP"/>
        </w:rPr>
        <w:t xml:space="preserve">Proposal 1: For component 11 of FG 48-1, </w:t>
      </w:r>
      <w:r>
        <w:rPr>
          <w:rFonts w:eastAsia="Yu Mincho"/>
          <w:b/>
          <w:i/>
          <w:lang w:eastAsia="ja-JP"/>
        </w:rPr>
        <w:t>indicate support of a 10 Mbps peak data rate target by removing the brackets.</w:t>
      </w:r>
    </w:p>
    <w:p w14:paraId="601206A5" w14:textId="330C7F38" w:rsidR="00391B27" w:rsidRPr="00DB1294" w:rsidRDefault="00391B27" w:rsidP="00391B27">
      <w:pPr>
        <w:rPr>
          <w:b/>
          <w:bCs/>
          <w:i/>
          <w:iCs/>
        </w:rPr>
      </w:pPr>
      <w:r w:rsidRPr="00DB1294">
        <w:rPr>
          <w:b/>
          <w:bCs/>
          <w:i/>
          <w:iCs/>
        </w:rPr>
        <w:t xml:space="preserve">Observation: PR1-only devices MUST implement the FG 48-1 component 13 timeline </w:t>
      </w:r>
      <w:proofErr w:type="gramStart"/>
      <w:r w:rsidRPr="00DB1294">
        <w:rPr>
          <w:b/>
          <w:bCs/>
          <w:i/>
          <w:iCs/>
        </w:rPr>
        <w:t>in order to</w:t>
      </w:r>
      <w:proofErr w:type="gramEnd"/>
      <w:r w:rsidRPr="00DB1294">
        <w:rPr>
          <w:b/>
          <w:bCs/>
          <w:i/>
          <w:iCs/>
        </w:rPr>
        <w:t xml:space="preserve"> follow the RAN agreement for allowing PR-1 devices in Rel-18</w:t>
      </w:r>
      <w:r>
        <w:rPr>
          <w:b/>
          <w:bCs/>
          <w:i/>
          <w:iCs/>
        </w:rPr>
        <w:t>.</w:t>
      </w:r>
    </w:p>
    <w:p w14:paraId="66094194" w14:textId="77777777" w:rsidR="003D1117" w:rsidRPr="00854885" w:rsidRDefault="003D1117" w:rsidP="003D1117">
      <w:pPr>
        <w:rPr>
          <w:rFonts w:eastAsia="Yu Mincho"/>
          <w:b/>
          <w:i/>
          <w:lang w:eastAsia="ja-JP"/>
        </w:rPr>
      </w:pPr>
      <w:r w:rsidRPr="00854885">
        <w:rPr>
          <w:rFonts w:eastAsia="Yu Mincho"/>
          <w:b/>
          <w:i/>
          <w:lang w:eastAsia="ja-JP"/>
        </w:rPr>
        <w:t xml:space="preserve">Proposal </w:t>
      </w:r>
      <w:r>
        <w:rPr>
          <w:rFonts w:eastAsia="Yu Mincho"/>
          <w:b/>
          <w:i/>
          <w:lang w:eastAsia="ja-JP"/>
        </w:rPr>
        <w:t>2</w:t>
      </w:r>
      <w:r w:rsidRPr="00854885">
        <w:rPr>
          <w:rFonts w:eastAsia="Yu Mincho"/>
          <w:b/>
          <w:i/>
          <w:lang w:eastAsia="ja-JP"/>
        </w:rPr>
        <w:t xml:space="preserve">: </w:t>
      </w:r>
      <w:r>
        <w:rPr>
          <w:rFonts w:eastAsia="Yu Mincho"/>
          <w:b/>
          <w:i/>
          <w:lang w:eastAsia="ja-JP"/>
        </w:rPr>
        <w:t>In</w:t>
      </w:r>
      <w:r w:rsidRPr="00854885">
        <w:rPr>
          <w:rFonts w:eastAsia="Yu Mincho"/>
          <w:b/>
          <w:i/>
          <w:lang w:eastAsia="ja-JP"/>
        </w:rPr>
        <w:t xml:space="preserve"> FG 48-</w:t>
      </w:r>
      <w:r>
        <w:rPr>
          <w:rFonts w:eastAsia="Yu Mincho"/>
          <w:b/>
          <w:i/>
          <w:lang w:eastAsia="ja-JP"/>
        </w:rPr>
        <w:t>2</w:t>
      </w:r>
      <w:r w:rsidRPr="00854885">
        <w:rPr>
          <w:rFonts w:eastAsia="Yu Mincho"/>
          <w:b/>
          <w:i/>
          <w:lang w:eastAsia="ja-JP"/>
        </w:rPr>
        <w:t xml:space="preserve">, </w:t>
      </w:r>
      <w:r>
        <w:rPr>
          <w:rFonts w:eastAsia="Yu Mincho"/>
          <w:b/>
          <w:i/>
          <w:lang w:eastAsia="ja-JP"/>
        </w:rPr>
        <w:t>remove “</w:t>
      </w:r>
      <w:r w:rsidRPr="003D1117">
        <w:rPr>
          <w:rFonts w:eastAsia="Yu Mincho"/>
          <w:b/>
          <w:i/>
          <w:lang w:eastAsia="ja-JP"/>
        </w:rPr>
        <w:t>[13. Relaxed RAR-PDSCH processing timeline]</w:t>
      </w:r>
      <w:r>
        <w:rPr>
          <w:rFonts w:eastAsia="Yu Mincho"/>
          <w:b/>
          <w:i/>
          <w:lang w:eastAsia="ja-JP"/>
        </w:rPr>
        <w:t>”</w:t>
      </w:r>
      <w:r w:rsidRPr="00854885">
        <w:rPr>
          <w:rFonts w:eastAsia="Yu Mincho"/>
          <w:b/>
          <w:i/>
          <w:lang w:eastAsia="ja-JP"/>
        </w:rPr>
        <w:t>.</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t>References</w:t>
      </w:r>
    </w:p>
    <w:p w14:paraId="66BC03D2" w14:textId="37473E80" w:rsidR="007474D3" w:rsidRDefault="007474D3" w:rsidP="00013DA1">
      <w:pPr>
        <w:pStyle w:val="References"/>
      </w:pPr>
      <w:bookmarkStart w:id="3" w:name="_Ref141252005"/>
      <w:bookmarkStart w:id="4" w:name="_Hlk141336000"/>
      <w:bookmarkStart w:id="5" w:name="_Ref52458927"/>
      <w:bookmarkStart w:id="6" w:name="_Ref67924775"/>
      <w:bookmarkStart w:id="7" w:name="_Ref83573255"/>
      <w:r w:rsidRPr="007474D3">
        <w:t>R1-2306223</w:t>
      </w:r>
      <w:r>
        <w:t>, “</w:t>
      </w:r>
      <w:r w:rsidRPr="007474D3">
        <w:t>Updated RAN1 UE features list for Rel-18 NR after RAN1#113</w:t>
      </w:r>
      <w:r>
        <w:t>”, AT&amp;T, NTT DOCOMO, RAN1#113, May 22-26, 2023</w:t>
      </w:r>
      <w:bookmarkEnd w:id="3"/>
      <w:r w:rsidR="005C2251">
        <w:t>.</w:t>
      </w:r>
    </w:p>
    <w:p w14:paraId="7582A391" w14:textId="7EF43DE1" w:rsidR="00E01305" w:rsidRDefault="00E01305" w:rsidP="00E01305">
      <w:pPr>
        <w:pStyle w:val="References"/>
        <w:tabs>
          <w:tab w:val="clear" w:pos="360"/>
        </w:tabs>
        <w:ind w:left="432" w:hanging="432"/>
        <w:rPr>
          <w:lang w:eastAsia="zh-CN"/>
        </w:rPr>
      </w:pPr>
      <w:bookmarkStart w:id="8" w:name="_Ref130365493"/>
      <w:r>
        <w:rPr>
          <w:lang w:eastAsia="zh-CN"/>
        </w:rPr>
        <w:t xml:space="preserve">RP-230778, “Proposal for PR1 in eRedCap”, CMCC, RAN#99, Mar. 20-23, </w:t>
      </w:r>
      <w:bookmarkEnd w:id="8"/>
      <w:r w:rsidR="005C2251">
        <w:rPr>
          <w:lang w:eastAsia="zh-CN"/>
        </w:rPr>
        <w:t>2023.</w:t>
      </w:r>
      <w:r>
        <w:rPr>
          <w:lang w:eastAsia="zh-CN"/>
        </w:rPr>
        <w:t xml:space="preserve"> </w:t>
      </w:r>
    </w:p>
    <w:p w14:paraId="7E7551B4" w14:textId="6CD7DD08" w:rsidR="00F212E1" w:rsidRDefault="00F212E1" w:rsidP="00F212E1">
      <w:pPr>
        <w:pStyle w:val="References"/>
        <w:tabs>
          <w:tab w:val="clear" w:pos="360"/>
        </w:tabs>
        <w:ind w:left="432" w:hanging="432"/>
        <w:rPr>
          <w:lang w:eastAsia="zh-CN"/>
        </w:rPr>
      </w:pPr>
      <w:bookmarkStart w:id="9" w:name="_Ref138679322"/>
      <w:r>
        <w:rPr>
          <w:lang w:eastAsia="zh-CN"/>
        </w:rPr>
        <w:t>Draft meeting report RAN#100, Taipei, June 14, 2013</w:t>
      </w:r>
      <w:bookmarkEnd w:id="9"/>
      <w:r w:rsidR="005C2251">
        <w:rPr>
          <w:lang w:eastAsia="zh-CN"/>
        </w:rPr>
        <w:t>.</w:t>
      </w:r>
    </w:p>
    <w:p w14:paraId="326DBD17" w14:textId="11DC82B4" w:rsidR="00E15D38" w:rsidRDefault="00E15D38" w:rsidP="00F212E1">
      <w:pPr>
        <w:pStyle w:val="References"/>
        <w:tabs>
          <w:tab w:val="clear" w:pos="360"/>
        </w:tabs>
        <w:ind w:left="432" w:hanging="432"/>
        <w:rPr>
          <w:lang w:eastAsia="zh-CN"/>
        </w:rPr>
      </w:pPr>
      <w:bookmarkStart w:id="10" w:name="_Ref142034600"/>
      <w:r w:rsidRPr="00E15D38">
        <w:rPr>
          <w:lang w:eastAsia="zh-CN"/>
        </w:rPr>
        <w:t>R1-2306435</w:t>
      </w:r>
      <w:r>
        <w:rPr>
          <w:lang w:eastAsia="zh-CN"/>
        </w:rPr>
        <w:t>,</w:t>
      </w:r>
      <w:r w:rsidRPr="00E15D38">
        <w:rPr>
          <w:lang w:eastAsia="zh-CN"/>
        </w:rPr>
        <w:t xml:space="preserve"> </w:t>
      </w:r>
      <w:r>
        <w:rPr>
          <w:lang w:eastAsia="zh-CN"/>
        </w:rPr>
        <w:t>“</w:t>
      </w:r>
      <w:r w:rsidRPr="00E15D38">
        <w:rPr>
          <w:lang w:eastAsia="zh-CN"/>
        </w:rPr>
        <w:t>Discussion on R18 RedCap complexity</w:t>
      </w:r>
      <w:r>
        <w:rPr>
          <w:lang w:eastAsia="zh-CN"/>
        </w:rPr>
        <w:t>”,</w:t>
      </w:r>
      <w:r w:rsidRPr="00E15D38">
        <w:rPr>
          <w:lang w:eastAsia="zh-CN"/>
        </w:rPr>
        <w:t xml:space="preserve"> F</w:t>
      </w:r>
      <w:r>
        <w:rPr>
          <w:lang w:eastAsia="zh-CN"/>
        </w:rPr>
        <w:t>UTUREWEI, RAN1#114, Aug. 21-25, 2023</w:t>
      </w:r>
      <w:bookmarkEnd w:id="10"/>
      <w:r w:rsidR="005C2251">
        <w:rPr>
          <w:lang w:eastAsia="zh-CN"/>
        </w:rPr>
        <w:t>.</w:t>
      </w:r>
    </w:p>
    <w:p w14:paraId="255C0535" w14:textId="753B655D" w:rsidR="00E01305" w:rsidRDefault="00E01305" w:rsidP="00F212E1">
      <w:pPr>
        <w:pStyle w:val="References"/>
        <w:numPr>
          <w:ilvl w:val="0"/>
          <w:numId w:val="0"/>
        </w:numPr>
      </w:pPr>
    </w:p>
    <w:bookmarkEnd w:id="4"/>
    <w:p w14:paraId="383B4350" w14:textId="5E69CD0E" w:rsidR="003C3B68" w:rsidRDefault="003C3B68" w:rsidP="003C3B68">
      <w:pPr>
        <w:pStyle w:val="Heading1"/>
        <w:numPr>
          <w:ilvl w:val="0"/>
          <w:numId w:val="0"/>
        </w:numPr>
        <w:ind w:left="432" w:hanging="432"/>
      </w:pPr>
      <w:r>
        <w:t>Appendix</w:t>
      </w:r>
    </w:p>
    <w:bookmarkEnd w:id="5"/>
    <w:bookmarkEnd w:id="6"/>
    <w:bookmarkEnd w:id="7"/>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0A7603">
          <w:pgSz w:w="11906" w:h="16838" w:code="9"/>
          <w:pgMar w:top="1440" w:right="1440" w:bottom="1440" w:left="1440" w:header="720" w:footer="720" w:gutter="0"/>
          <w:cols w:space="720"/>
          <w:noEndnote/>
          <w:docGrid w:linePitch="299"/>
        </w:sectPr>
      </w:pPr>
    </w:p>
    <w:p w14:paraId="74B75237" w14:textId="51D3C29E"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510"/>
        <w:gridCol w:w="892"/>
        <w:gridCol w:w="2463"/>
        <w:gridCol w:w="878"/>
        <w:gridCol w:w="835"/>
        <w:gridCol w:w="935"/>
        <w:gridCol w:w="1120"/>
        <w:gridCol w:w="1112"/>
        <w:gridCol w:w="1001"/>
        <w:gridCol w:w="998"/>
        <w:gridCol w:w="1061"/>
        <w:gridCol w:w="1146"/>
        <w:gridCol w:w="1433"/>
      </w:tblGrid>
      <w:tr w:rsidR="007474D3" w:rsidRPr="007B5FB0" w14:paraId="08DA3940" w14:textId="77777777" w:rsidTr="007474D3">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892"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463"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7474D3" w:rsidRPr="007474D3" w14:paraId="2329F1E0" w14:textId="77777777" w:rsidTr="00747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305CC" w14:textId="3043A627" w:rsidR="007474D3" w:rsidRPr="007474D3" w:rsidRDefault="007474D3" w:rsidP="00345AA4">
            <w:pPr>
              <w:pStyle w:val="TAL"/>
              <w:keepNext w:val="0"/>
              <w:keepLines w:val="0"/>
              <w:jc w:val="left"/>
              <w:rPr>
                <w:rFonts w:ascii="Times New Roman" w:hAnsi="Times New Roman"/>
                <w:sz w:val="12"/>
                <w:szCs w:val="12"/>
                <w:lang w:val="nl-NL" w:eastAsia="ja-JP"/>
              </w:rPr>
            </w:pPr>
            <w:r w:rsidRPr="007474D3">
              <w:rPr>
                <w:rFonts w:ascii="Times New Roman" w:eastAsia="MS Mincho" w:hAnsi="Times New Roman"/>
                <w:sz w:val="12"/>
                <w:szCs w:val="12"/>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2E49E33C" w:rsidR="007474D3" w:rsidRPr="007474D3" w:rsidRDefault="007474D3" w:rsidP="007474D3">
            <w:pPr>
              <w:pStyle w:val="TAL"/>
              <w:jc w:val="left"/>
              <w:rPr>
                <w:rFonts w:ascii="Times New Roman" w:eastAsia="MS Mincho" w:hAnsi="Times New Roman"/>
                <w:sz w:val="12"/>
                <w:szCs w:val="12"/>
                <w:lang w:val="en-US" w:eastAsia="ja-JP"/>
              </w:rPr>
            </w:pPr>
            <w:r w:rsidRPr="007474D3">
              <w:rPr>
                <w:rFonts w:ascii="Times New Roman" w:eastAsia="MS Mincho" w:hAnsi="Times New Roman"/>
                <w:sz w:val="12"/>
                <w:szCs w:val="12"/>
                <w:lang w:val="en-US" w:eastAsia="ja-JP"/>
              </w:rPr>
              <w:t>48-1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59290E" w14:textId="639F500F" w:rsidR="007474D3" w:rsidRPr="007474D3" w:rsidRDefault="007474D3" w:rsidP="007474D3">
            <w:pPr>
              <w:pStyle w:val="TAL"/>
              <w:jc w:val="left"/>
              <w:rPr>
                <w:rFonts w:ascii="Times New Roman" w:eastAsia="SimSun" w:hAnsi="Times New Roman"/>
                <w:sz w:val="12"/>
                <w:szCs w:val="12"/>
                <w:lang w:val="en-US" w:eastAsia="zh-CN"/>
              </w:rPr>
            </w:pPr>
            <w:r w:rsidRPr="007474D3">
              <w:rPr>
                <w:rFonts w:ascii="Times New Roman" w:eastAsia="SimSun" w:hAnsi="Times New Roman"/>
                <w:sz w:val="12"/>
                <w:szCs w:val="12"/>
                <w:lang w:val="en-US" w:eastAsia="zh-CN"/>
              </w:rPr>
              <w:t>RedCap UE with reduced peak data rate and reduced baseband bandwidth in FR1</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1CF326D" w14:textId="77777777" w:rsidR="007474D3" w:rsidRPr="007474D3" w:rsidRDefault="007474D3" w:rsidP="00345AA4">
            <w:pPr>
              <w:keepNext/>
              <w:keepLines/>
              <w:spacing w:after="60"/>
              <w:jc w:val="left"/>
              <w:rPr>
                <w:rFonts w:eastAsia="MS Mincho"/>
                <w:sz w:val="12"/>
                <w:szCs w:val="12"/>
              </w:rPr>
            </w:pPr>
            <w:r w:rsidRPr="007474D3">
              <w:rPr>
                <w:rFonts w:eastAsia="MS Mincho"/>
                <w:sz w:val="12"/>
                <w:szCs w:val="12"/>
              </w:rPr>
              <w:t xml:space="preserve">The following components are the same as for </w:t>
            </w:r>
            <w:r w:rsidRPr="007474D3">
              <w:rPr>
                <w:rFonts w:eastAsia="MS Mincho"/>
                <w:i/>
                <w:iCs/>
                <w:sz w:val="12"/>
                <w:szCs w:val="12"/>
              </w:rPr>
              <w:t>supportOfRedCap-r17</w:t>
            </w:r>
            <w:r w:rsidRPr="007474D3">
              <w:rPr>
                <w:rFonts w:eastAsia="MS Mincho"/>
                <w:sz w:val="12"/>
                <w:szCs w:val="12"/>
              </w:rPr>
              <w:t xml:space="preserve"> (28-1):</w:t>
            </w:r>
          </w:p>
          <w:p w14:paraId="34CE7DC7" w14:textId="77777777" w:rsidR="007474D3" w:rsidRPr="007474D3" w:rsidRDefault="007474D3" w:rsidP="00345AA4">
            <w:pPr>
              <w:spacing w:after="60"/>
              <w:jc w:val="left"/>
              <w:rPr>
                <w:sz w:val="12"/>
                <w:szCs w:val="12"/>
              </w:rPr>
            </w:pPr>
            <w:r w:rsidRPr="007474D3">
              <w:rPr>
                <w:sz w:val="12"/>
                <w:szCs w:val="12"/>
              </w:rPr>
              <w:t>1. Maximum FR1 RedCap UE bandwidth is 20 MHz.</w:t>
            </w:r>
          </w:p>
          <w:p w14:paraId="70BC10A2" w14:textId="77777777" w:rsidR="007474D3" w:rsidRPr="007474D3" w:rsidRDefault="007474D3" w:rsidP="00345AA4">
            <w:pPr>
              <w:spacing w:after="60"/>
              <w:jc w:val="left"/>
              <w:rPr>
                <w:sz w:val="12"/>
                <w:szCs w:val="12"/>
              </w:rPr>
            </w:pPr>
            <w:r w:rsidRPr="007474D3">
              <w:rPr>
                <w:sz w:val="12"/>
                <w:szCs w:val="12"/>
              </w:rPr>
              <w:t>3. Early indication of RedCap UE in Msg.1 for 4-step RACH</w:t>
            </w:r>
          </w:p>
          <w:p w14:paraId="79D712C8" w14:textId="77777777" w:rsidR="007474D3" w:rsidRPr="007474D3" w:rsidRDefault="007474D3" w:rsidP="00345AA4">
            <w:pPr>
              <w:spacing w:after="60"/>
              <w:jc w:val="left"/>
              <w:rPr>
                <w:sz w:val="12"/>
                <w:szCs w:val="12"/>
              </w:rPr>
            </w:pPr>
            <w:r w:rsidRPr="007474D3">
              <w:rPr>
                <w:sz w:val="12"/>
                <w:szCs w:val="12"/>
              </w:rPr>
              <w:t>4. Separate initial UL BWP for RedCap UEs</w:t>
            </w:r>
          </w:p>
          <w:p w14:paraId="4AF86D47" w14:textId="77777777" w:rsidR="007474D3" w:rsidRPr="007474D3" w:rsidRDefault="007474D3" w:rsidP="00345AA4">
            <w:pPr>
              <w:spacing w:after="60"/>
              <w:jc w:val="left"/>
              <w:rPr>
                <w:sz w:val="12"/>
                <w:szCs w:val="12"/>
              </w:rPr>
            </w:pPr>
            <w:r w:rsidRPr="007474D3">
              <w:rPr>
                <w:sz w:val="12"/>
                <w:szCs w:val="12"/>
              </w:rPr>
              <w:t>- It includes the configuration(s) needed for RedCap UE to perform random access</w:t>
            </w:r>
          </w:p>
          <w:p w14:paraId="378528EA" w14:textId="77777777" w:rsidR="007474D3" w:rsidRPr="007474D3" w:rsidRDefault="007474D3" w:rsidP="00345AA4">
            <w:pPr>
              <w:spacing w:after="60"/>
              <w:jc w:val="left"/>
              <w:rPr>
                <w:sz w:val="12"/>
                <w:szCs w:val="12"/>
              </w:rPr>
            </w:pPr>
            <w:r w:rsidRPr="007474D3">
              <w:rPr>
                <w:sz w:val="12"/>
                <w:szCs w:val="12"/>
              </w:rPr>
              <w:t>- Enabling/disabling of frequency hopping for common PUCCH resources</w:t>
            </w:r>
          </w:p>
          <w:p w14:paraId="0A7F76F9" w14:textId="77777777" w:rsidR="007474D3" w:rsidRPr="007474D3" w:rsidRDefault="007474D3" w:rsidP="00345AA4">
            <w:pPr>
              <w:spacing w:after="60"/>
              <w:jc w:val="left"/>
              <w:rPr>
                <w:sz w:val="12"/>
                <w:szCs w:val="12"/>
              </w:rPr>
            </w:pPr>
            <w:r w:rsidRPr="007474D3">
              <w:rPr>
                <w:sz w:val="12"/>
                <w:szCs w:val="12"/>
              </w:rPr>
              <w:t>5. Separate initial DL BWP for RedCap UEs</w:t>
            </w:r>
          </w:p>
          <w:p w14:paraId="5703D964" w14:textId="77777777" w:rsidR="007474D3" w:rsidRPr="007474D3" w:rsidRDefault="007474D3" w:rsidP="00345AA4">
            <w:pPr>
              <w:spacing w:after="60"/>
              <w:jc w:val="left"/>
              <w:rPr>
                <w:sz w:val="12"/>
                <w:szCs w:val="12"/>
              </w:rPr>
            </w:pPr>
            <w:r w:rsidRPr="007474D3">
              <w:rPr>
                <w:sz w:val="12"/>
                <w:szCs w:val="12"/>
              </w:rPr>
              <w:t>- It includes CSS/CORESET for random access</w:t>
            </w:r>
          </w:p>
          <w:p w14:paraId="49B7AE3D" w14:textId="77777777" w:rsidR="007474D3" w:rsidRPr="007474D3" w:rsidRDefault="007474D3" w:rsidP="00345AA4">
            <w:pPr>
              <w:spacing w:after="60"/>
              <w:jc w:val="left"/>
              <w:rPr>
                <w:sz w:val="12"/>
                <w:szCs w:val="12"/>
              </w:rPr>
            </w:pPr>
            <w:r w:rsidRPr="007474D3">
              <w:rPr>
                <w:sz w:val="12"/>
                <w:szCs w:val="12"/>
              </w:rPr>
              <w:t>- For separate initial DL BWP used for paging, CD-SSB is included</w:t>
            </w:r>
          </w:p>
          <w:p w14:paraId="26A43CFE" w14:textId="77777777" w:rsidR="007474D3" w:rsidRPr="007474D3" w:rsidRDefault="007474D3" w:rsidP="00345AA4">
            <w:pPr>
              <w:spacing w:after="60"/>
              <w:jc w:val="left"/>
              <w:rPr>
                <w:sz w:val="12"/>
                <w:szCs w:val="12"/>
              </w:rPr>
            </w:pPr>
            <w:r w:rsidRPr="007474D3">
              <w:rPr>
                <w:sz w:val="12"/>
                <w:szCs w:val="12"/>
              </w:rPr>
              <w:t>- For separate initial DL BWP only used for RACH, SSB may or may not be included</w:t>
            </w:r>
          </w:p>
          <w:p w14:paraId="05C4A628" w14:textId="77777777" w:rsidR="007474D3" w:rsidRPr="007474D3" w:rsidRDefault="007474D3" w:rsidP="00345AA4">
            <w:pPr>
              <w:spacing w:after="60"/>
              <w:jc w:val="left"/>
              <w:rPr>
                <w:sz w:val="12"/>
                <w:szCs w:val="12"/>
              </w:rPr>
            </w:pPr>
            <w:r w:rsidRPr="007474D3">
              <w:rPr>
                <w:sz w:val="12"/>
                <w:szCs w:val="12"/>
              </w:rPr>
              <w:t>- For separate initial DL BWP used in connected mode as BWP#0 configuration option 1, CD-SSB is included</w:t>
            </w:r>
          </w:p>
          <w:p w14:paraId="642703C0" w14:textId="77777777" w:rsidR="007474D3" w:rsidRPr="007474D3" w:rsidRDefault="007474D3" w:rsidP="00345AA4">
            <w:pPr>
              <w:spacing w:after="60"/>
              <w:jc w:val="left"/>
              <w:rPr>
                <w:sz w:val="12"/>
                <w:szCs w:val="12"/>
              </w:rPr>
            </w:pPr>
            <w:r w:rsidRPr="007474D3">
              <w:rPr>
                <w:sz w:val="12"/>
                <w:szCs w:val="12"/>
              </w:rPr>
              <w:t>6. 1 UE-specific RRC configured DL BWP per carrier</w:t>
            </w:r>
          </w:p>
          <w:p w14:paraId="47C7D7EF" w14:textId="77777777" w:rsidR="007474D3" w:rsidRPr="007474D3" w:rsidRDefault="007474D3" w:rsidP="00345AA4">
            <w:pPr>
              <w:spacing w:after="60"/>
              <w:jc w:val="left"/>
              <w:rPr>
                <w:sz w:val="12"/>
                <w:szCs w:val="12"/>
              </w:rPr>
            </w:pPr>
            <w:r w:rsidRPr="007474D3">
              <w:rPr>
                <w:sz w:val="12"/>
                <w:szCs w:val="12"/>
              </w:rPr>
              <w:t>7. 1 UE-specific RRC configured UL BWP per carrier</w:t>
            </w:r>
          </w:p>
          <w:p w14:paraId="58B3B6FA" w14:textId="77777777" w:rsidR="007474D3" w:rsidRPr="007474D3" w:rsidRDefault="007474D3" w:rsidP="00345AA4">
            <w:pPr>
              <w:spacing w:after="60"/>
              <w:jc w:val="left"/>
              <w:rPr>
                <w:sz w:val="12"/>
                <w:szCs w:val="12"/>
              </w:rPr>
            </w:pPr>
            <w:r w:rsidRPr="007474D3">
              <w:rPr>
                <w:sz w:val="12"/>
                <w:szCs w:val="12"/>
              </w:rPr>
              <w:t>8. RRC reconfiguration of any parameters related to BWP</w:t>
            </w:r>
          </w:p>
          <w:p w14:paraId="017F75C8" w14:textId="77777777" w:rsidR="007474D3" w:rsidRPr="007474D3" w:rsidRDefault="007474D3" w:rsidP="00345AA4">
            <w:pPr>
              <w:spacing w:after="60"/>
              <w:jc w:val="left"/>
              <w:rPr>
                <w:sz w:val="12"/>
                <w:szCs w:val="12"/>
              </w:rPr>
            </w:pPr>
            <w:r w:rsidRPr="007474D3">
              <w:rPr>
                <w:sz w:val="12"/>
                <w:szCs w:val="12"/>
              </w:rPr>
              <w:t>9. UE-specific RRC configured DL BWP with CD-SSB or NCD-SSB</w:t>
            </w:r>
          </w:p>
          <w:p w14:paraId="60CD802D" w14:textId="54C0C8EB" w:rsidR="007474D3" w:rsidRPr="007474D3" w:rsidRDefault="007474D3" w:rsidP="00345AA4">
            <w:pPr>
              <w:spacing w:after="60"/>
              <w:jc w:val="left"/>
              <w:rPr>
                <w:sz w:val="12"/>
                <w:szCs w:val="12"/>
              </w:rPr>
            </w:pPr>
            <w:r w:rsidRPr="007474D3">
              <w:rPr>
                <w:sz w:val="12"/>
                <w:szCs w:val="12"/>
              </w:rPr>
              <w:t>10. NCD-SSB based measurements in RRC-configured DL BWP</w:t>
            </w:r>
          </w:p>
          <w:p w14:paraId="46BB3BAA" w14:textId="77777777" w:rsidR="007474D3" w:rsidRPr="007474D3" w:rsidRDefault="007474D3" w:rsidP="00345AA4">
            <w:pPr>
              <w:keepNext/>
              <w:keepLines/>
              <w:spacing w:after="60"/>
              <w:jc w:val="left"/>
              <w:rPr>
                <w:rFonts w:eastAsia="MS Mincho"/>
                <w:sz w:val="12"/>
                <w:szCs w:val="12"/>
              </w:rPr>
            </w:pPr>
            <w:r w:rsidRPr="007474D3">
              <w:rPr>
                <w:rFonts w:eastAsia="MS Mincho"/>
                <w:sz w:val="12"/>
                <w:szCs w:val="12"/>
              </w:rPr>
              <w:t xml:space="preserve">The following components are new compared to </w:t>
            </w:r>
            <w:r w:rsidRPr="007474D3">
              <w:rPr>
                <w:rFonts w:eastAsia="MS Mincho"/>
                <w:i/>
                <w:iCs/>
                <w:sz w:val="12"/>
                <w:szCs w:val="12"/>
              </w:rPr>
              <w:t>supportOfRedCap-r17</w:t>
            </w:r>
            <w:r w:rsidRPr="007474D3">
              <w:rPr>
                <w:rFonts w:eastAsia="MS Mincho"/>
                <w:sz w:val="12"/>
                <w:szCs w:val="12"/>
              </w:rPr>
              <w:t xml:space="preserve"> (28-1):</w:t>
            </w:r>
          </w:p>
          <w:p w14:paraId="17ECCDEA" w14:textId="77777777" w:rsidR="007474D3" w:rsidRPr="007474D3" w:rsidRDefault="007474D3" w:rsidP="00345AA4">
            <w:pPr>
              <w:spacing w:after="60"/>
              <w:jc w:val="left"/>
              <w:rPr>
                <w:sz w:val="12"/>
                <w:szCs w:val="12"/>
              </w:rPr>
            </w:pPr>
            <w:r w:rsidRPr="007474D3">
              <w:rPr>
                <w:sz w:val="12"/>
                <w:szCs w:val="12"/>
                <w:highlight w:val="yellow"/>
              </w:rPr>
              <w:t>[11. DL/UL peak data rate target of 10 Mbps]</w:t>
            </w:r>
            <w:r w:rsidRPr="007474D3">
              <w:rPr>
                <w:sz w:val="12"/>
                <w:szCs w:val="12"/>
              </w:rPr>
              <w:t xml:space="preserve"> </w:t>
            </w:r>
          </w:p>
          <w:p w14:paraId="72A445B9" w14:textId="77777777" w:rsidR="007474D3" w:rsidRPr="007474D3" w:rsidRDefault="007474D3" w:rsidP="00345AA4">
            <w:pPr>
              <w:spacing w:after="60"/>
              <w:jc w:val="left"/>
              <w:rPr>
                <w:sz w:val="12"/>
                <w:szCs w:val="12"/>
              </w:rPr>
            </w:pPr>
            <w:r w:rsidRPr="007474D3">
              <w:rPr>
                <w:sz w:val="12"/>
                <w:szCs w:val="12"/>
              </w:rPr>
              <w:t>12. Maximum number of PDSCH/PUSCH PRBs that can be scheduled for unicast per slot of 25 PRBs for 15 kHz SCS and 12 PRBs for 30 kHz SCS</w:t>
            </w:r>
          </w:p>
          <w:p w14:paraId="2313C17F" w14:textId="77777777" w:rsidR="007474D3" w:rsidRPr="007474D3" w:rsidRDefault="007474D3" w:rsidP="00345AA4">
            <w:pPr>
              <w:spacing w:after="60"/>
              <w:jc w:val="left"/>
              <w:rPr>
                <w:sz w:val="12"/>
                <w:szCs w:val="12"/>
              </w:rPr>
            </w:pPr>
            <w:r w:rsidRPr="007474D3">
              <w:rPr>
                <w:sz w:val="12"/>
                <w:szCs w:val="12"/>
              </w:rPr>
              <w:t>13. Relaxed RAR-PDSCH processing timeline</w:t>
            </w:r>
          </w:p>
          <w:p w14:paraId="4988EAA8" w14:textId="47F2DF35" w:rsidR="007474D3" w:rsidRPr="007474D3" w:rsidRDefault="007474D3" w:rsidP="00345AA4">
            <w:pPr>
              <w:pStyle w:val="ListParagraph"/>
              <w:numPr>
                <w:ilvl w:val="1"/>
                <w:numId w:val="20"/>
              </w:numPr>
              <w:spacing w:after="60"/>
              <w:ind w:left="288" w:hanging="288"/>
              <w:jc w:val="left"/>
              <w:rPr>
                <w:sz w:val="12"/>
                <w:szCs w:val="12"/>
              </w:rPr>
            </w:pPr>
            <w:r w:rsidRPr="007474D3">
              <w:rPr>
                <w:sz w:val="12"/>
                <w:szCs w:val="12"/>
                <w:highlight w:val="yellow"/>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402FE36F" w:rsidR="007474D3" w:rsidRPr="007474D3" w:rsidRDefault="007474D3" w:rsidP="007474D3">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4B69C553" w:rsidR="007474D3" w:rsidRPr="007474D3" w:rsidRDefault="007474D3" w:rsidP="007474D3">
            <w:pPr>
              <w:pStyle w:val="TAL"/>
              <w:jc w:val="left"/>
              <w:rPr>
                <w:rFonts w:ascii="Times New Roman" w:eastAsia="SimSun" w:hAnsi="Times New Roman"/>
                <w:sz w:val="12"/>
                <w:szCs w:val="12"/>
                <w:lang w:val="en-US" w:eastAsia="zh-CN"/>
              </w:rPr>
            </w:pPr>
            <w:r w:rsidRPr="007474D3">
              <w:rPr>
                <w:rFonts w:ascii="Times New Roman" w:eastAsia="SimSun" w:hAnsi="Times New Roman"/>
                <w:sz w:val="12"/>
                <w:szCs w:val="12"/>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77777777" w:rsidR="007474D3" w:rsidRPr="007474D3" w:rsidRDefault="007474D3" w:rsidP="007474D3">
            <w:pPr>
              <w:pStyle w:val="TAL"/>
              <w:jc w:val="left"/>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33C3EF86" w:rsidR="007474D3" w:rsidRPr="007474D3" w:rsidRDefault="007474D3" w:rsidP="007474D3">
            <w:pPr>
              <w:pStyle w:val="TAL"/>
              <w:jc w:val="left"/>
              <w:rPr>
                <w:rFonts w:ascii="Times New Roman" w:eastAsia="SimSun" w:hAnsi="Times New Roman"/>
                <w:sz w:val="12"/>
                <w:szCs w:val="12"/>
                <w:lang w:val="en-US" w:eastAsia="zh-CN"/>
              </w:rPr>
            </w:pPr>
            <w:r w:rsidRPr="007474D3">
              <w:rPr>
                <w:rFonts w:ascii="Times New Roman" w:eastAsia="SimSun" w:hAnsi="Times New Roman"/>
                <w:sz w:val="12"/>
                <w:szCs w:val="12"/>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7EC8B082" w:rsidR="007474D3" w:rsidRPr="007474D3" w:rsidRDefault="007474D3" w:rsidP="007474D3">
            <w:pPr>
              <w:pStyle w:val="TAL"/>
              <w:jc w:val="left"/>
              <w:rPr>
                <w:rFonts w:ascii="Times New Roman" w:eastAsia="SimSun" w:hAnsi="Times New Roman"/>
                <w:sz w:val="12"/>
                <w:szCs w:val="12"/>
                <w:lang w:eastAsia="zh-CN"/>
              </w:rPr>
            </w:pPr>
            <w:r w:rsidRPr="007474D3">
              <w:rPr>
                <w:rFonts w:ascii="Times New Roman" w:eastAsia="SimSun" w:hAnsi="Times New Roman"/>
                <w:sz w:val="12"/>
                <w:szCs w:val="12"/>
                <w:highlight w:val="yellow"/>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74285A58" w:rsidR="007474D3" w:rsidRPr="007474D3" w:rsidRDefault="007474D3" w:rsidP="007474D3">
            <w:pPr>
              <w:pStyle w:val="TAL"/>
              <w:jc w:val="left"/>
              <w:rPr>
                <w:rFonts w:ascii="Times New Roman" w:hAnsi="Times New Roman"/>
                <w:sz w:val="12"/>
                <w:szCs w:val="12"/>
                <w:lang w:val="en-US" w:eastAsia="ja-JP"/>
              </w:rPr>
            </w:pPr>
            <w:r w:rsidRPr="007474D3">
              <w:rPr>
                <w:rFonts w:ascii="Times New Roman" w:eastAsia="MS Mincho" w:hAnsi="Times New Roman"/>
                <w:sz w:val="12"/>
                <w:szCs w:val="12"/>
                <w:highlight w:val="yellow"/>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A5C7" w14:textId="4B1ECA32" w:rsidR="007474D3" w:rsidRPr="007474D3" w:rsidRDefault="007474D3" w:rsidP="007474D3">
            <w:pPr>
              <w:pStyle w:val="TAL"/>
              <w:jc w:val="left"/>
              <w:rPr>
                <w:rFonts w:ascii="Times New Roman" w:hAnsi="Times New Roman"/>
                <w:sz w:val="12"/>
                <w:szCs w:val="12"/>
                <w:lang w:val="en-US" w:eastAsia="ja-JP"/>
              </w:rPr>
            </w:pPr>
            <w:r w:rsidRPr="007474D3">
              <w:rPr>
                <w:rFonts w:ascii="Times New Roman" w:eastAsia="MS Mincho" w:hAnsi="Times New Roman"/>
                <w:sz w:val="12"/>
                <w:szCs w:val="12"/>
                <w:highlight w:val="yellow"/>
                <w:lang w:val="en-US" w:eastAsia="ja-JP"/>
              </w:rPr>
              <w:t>[No]</w:t>
            </w:r>
            <w:r w:rsidRPr="007474D3">
              <w:rPr>
                <w:rFonts w:ascii="Times New Roman" w:eastAsia="MS Mincho" w:hAnsi="Times New Roman"/>
                <w:sz w:val="12"/>
                <w:szCs w:val="12"/>
                <w:lang w:val="en-US" w:eastAsia="ja-JP"/>
              </w:rPr>
              <w:t xml:space="preserve"> (FR1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9EDA" w14:textId="77777777" w:rsidR="007474D3" w:rsidRPr="007474D3" w:rsidRDefault="007474D3" w:rsidP="007474D3">
            <w:pPr>
              <w:pStyle w:val="TAL"/>
              <w:jc w:val="left"/>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FAD1D" w14:textId="77777777" w:rsidR="007474D3" w:rsidRPr="007474D3" w:rsidRDefault="007474D3" w:rsidP="007474D3">
            <w:pPr>
              <w:keepNext/>
              <w:keepLines/>
              <w:jc w:val="left"/>
              <w:rPr>
                <w:rFonts w:eastAsia="MS Mincho"/>
                <w:sz w:val="12"/>
                <w:szCs w:val="12"/>
              </w:rPr>
            </w:pPr>
            <w:r w:rsidRPr="007474D3">
              <w:rPr>
                <w:rFonts w:eastAsia="MS Mincho"/>
                <w:sz w:val="12"/>
                <w:szCs w:val="12"/>
              </w:rPr>
              <w:t>A UE supporting this FG is not required to support FG 6-1.</w:t>
            </w:r>
          </w:p>
          <w:p w14:paraId="60E12047" w14:textId="77777777" w:rsidR="007474D3" w:rsidRPr="007474D3" w:rsidRDefault="007474D3" w:rsidP="007474D3">
            <w:pPr>
              <w:keepNext/>
              <w:keepLines/>
              <w:jc w:val="left"/>
              <w:rPr>
                <w:rFonts w:eastAsia="MS Mincho"/>
                <w:sz w:val="12"/>
                <w:szCs w:val="12"/>
              </w:rPr>
            </w:pPr>
            <w:r w:rsidRPr="007474D3">
              <w:rPr>
                <w:rFonts w:eastAsia="MS Mincho"/>
                <w:sz w:val="12"/>
                <w:szCs w:val="12"/>
              </w:rPr>
              <w:t>A UE supporting this FG is not allowed to support FG 28-1.</w:t>
            </w:r>
          </w:p>
          <w:p w14:paraId="37A02F9E" w14:textId="77777777" w:rsidR="007474D3" w:rsidRPr="007474D3" w:rsidRDefault="007474D3" w:rsidP="007474D3">
            <w:pPr>
              <w:keepNext/>
              <w:keepLines/>
              <w:jc w:val="left"/>
              <w:rPr>
                <w:rFonts w:eastAsia="MS Mincho"/>
                <w:sz w:val="12"/>
                <w:szCs w:val="12"/>
              </w:rPr>
            </w:pPr>
            <w:r w:rsidRPr="007474D3">
              <w:rPr>
                <w:rFonts w:eastAsia="MS Mincho"/>
                <w:sz w:val="12"/>
                <w:szCs w:val="12"/>
              </w:rPr>
              <w:t>The specifications for a UE supporting FG 28-1 (‘RedCap UE’) also apply for a UE supporting this FG (FG 48-1) unless stated otherwise.</w:t>
            </w:r>
          </w:p>
          <w:p w14:paraId="7116100C" w14:textId="174F827D" w:rsidR="007474D3" w:rsidRPr="007474D3" w:rsidRDefault="007474D3" w:rsidP="007474D3">
            <w:pPr>
              <w:pStyle w:val="TAL"/>
              <w:jc w:val="left"/>
              <w:rPr>
                <w:rFonts w:ascii="Times New Roman" w:hAnsi="Times New Roman"/>
                <w:sz w:val="12"/>
                <w:szCs w:val="12"/>
              </w:rPr>
            </w:pPr>
            <w:r w:rsidRPr="007474D3">
              <w:rPr>
                <w:rFonts w:ascii="Times New Roman" w:eastAsia="MS Mincho" w:hAnsi="Times New Roman"/>
                <w:sz w:val="12"/>
                <w:szCs w:val="12"/>
                <w:lang w:val="en-US"/>
              </w:rPr>
              <w:t>It is up to RAN2 whether/how to capture the capabilities for early indication of RedCap UE in Msg 3 and Msg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B0D4" w14:textId="77777777" w:rsidR="007474D3" w:rsidRPr="007474D3" w:rsidRDefault="007474D3" w:rsidP="007474D3">
            <w:pPr>
              <w:keepNext/>
              <w:keepLines/>
              <w:jc w:val="left"/>
              <w:rPr>
                <w:rFonts w:eastAsia="MS Mincho"/>
                <w:sz w:val="12"/>
                <w:szCs w:val="12"/>
              </w:rPr>
            </w:pPr>
            <w:r w:rsidRPr="007474D3">
              <w:rPr>
                <w:rFonts w:eastAsia="MS Mincho"/>
                <w:sz w:val="12"/>
                <w:szCs w:val="12"/>
              </w:rPr>
              <w:t>Optional with capability signaling</w:t>
            </w:r>
          </w:p>
          <w:p w14:paraId="76728A20" w14:textId="1F85906E" w:rsidR="007474D3" w:rsidRPr="007474D3" w:rsidRDefault="007474D3" w:rsidP="007474D3">
            <w:pPr>
              <w:pStyle w:val="TAL"/>
              <w:jc w:val="left"/>
              <w:rPr>
                <w:rFonts w:ascii="Times New Roman" w:hAnsi="Times New Roman"/>
                <w:sz w:val="12"/>
                <w:szCs w:val="12"/>
                <w:lang w:eastAsia="ja-JP"/>
              </w:rPr>
            </w:pPr>
            <w:r w:rsidRPr="007474D3">
              <w:rPr>
                <w:rFonts w:ascii="Times New Roman" w:eastAsia="MS Mincho" w:hAnsi="Times New Roman"/>
                <w:sz w:val="12"/>
                <w:szCs w:val="12"/>
                <w:lang w:val="en-US" w:eastAsia="ja-JP"/>
              </w:rPr>
              <w:t>UEs supporting Rel-18 eRedCap UE complexity reduction feature(s) indicate support of this FG instead of FG 28-1 (</w:t>
            </w:r>
            <w:r w:rsidRPr="007474D3">
              <w:rPr>
                <w:rFonts w:ascii="Times New Roman" w:eastAsia="MS Mincho" w:hAnsi="Times New Roman"/>
                <w:i/>
                <w:iCs/>
                <w:sz w:val="12"/>
                <w:szCs w:val="12"/>
                <w:lang w:val="en-US" w:eastAsia="ja-JP"/>
              </w:rPr>
              <w:t>supportOfRedCap-r17</w:t>
            </w:r>
            <w:r w:rsidRPr="007474D3">
              <w:rPr>
                <w:rFonts w:ascii="Times New Roman" w:eastAsia="MS Mincho" w:hAnsi="Times New Roman"/>
                <w:sz w:val="12"/>
                <w:szCs w:val="12"/>
                <w:lang w:val="en-US" w:eastAsia="ja-JP"/>
              </w:rPr>
              <w:t>).</w:t>
            </w:r>
          </w:p>
        </w:tc>
      </w:tr>
      <w:tr w:rsidR="007474D3" w:rsidRPr="007474D3" w14:paraId="2651011E" w14:textId="77777777" w:rsidTr="007474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0E8C8" w14:textId="62029683" w:rsidR="007474D3" w:rsidRPr="007474D3" w:rsidRDefault="007474D3" w:rsidP="00345AA4">
            <w:pPr>
              <w:pStyle w:val="TAL"/>
              <w:keepNext w:val="0"/>
              <w:keepLines w:val="0"/>
              <w:jc w:val="left"/>
              <w:rPr>
                <w:rFonts w:ascii="Times New Roman" w:hAnsi="Times New Roman"/>
                <w:sz w:val="12"/>
                <w:szCs w:val="12"/>
                <w:lang w:eastAsia="ja-JP"/>
              </w:rPr>
            </w:pPr>
            <w:r w:rsidRPr="007474D3">
              <w:rPr>
                <w:rFonts w:ascii="Times New Roman" w:eastAsia="MS Mincho" w:hAnsi="Times New Roman"/>
                <w:sz w:val="12"/>
                <w:szCs w:val="12"/>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024B" w14:textId="18551588" w:rsidR="007474D3" w:rsidRPr="007474D3" w:rsidRDefault="007474D3" w:rsidP="007474D3">
            <w:pPr>
              <w:pStyle w:val="TAL"/>
              <w:jc w:val="left"/>
              <w:rPr>
                <w:rFonts w:ascii="Times New Roman" w:hAnsi="Times New Roman"/>
                <w:sz w:val="12"/>
                <w:szCs w:val="12"/>
                <w:lang w:val="en-US" w:eastAsia="ja-JP"/>
              </w:rPr>
            </w:pPr>
            <w:r w:rsidRPr="007474D3">
              <w:rPr>
                <w:rFonts w:ascii="Times New Roman" w:eastAsia="MS Mincho" w:hAnsi="Times New Roman"/>
                <w:sz w:val="12"/>
                <w:szCs w:val="12"/>
                <w:lang w:val="en-US" w:eastAsia="ja-JP"/>
              </w:rPr>
              <w:t>48-2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DE7D594" w14:textId="1327B223" w:rsidR="007474D3" w:rsidRPr="007474D3" w:rsidRDefault="007474D3" w:rsidP="007474D3">
            <w:pPr>
              <w:pStyle w:val="TAL"/>
              <w:jc w:val="left"/>
              <w:rPr>
                <w:rFonts w:ascii="Times New Roman" w:eastAsia="SimSun" w:hAnsi="Times New Roman"/>
                <w:sz w:val="12"/>
                <w:szCs w:val="12"/>
                <w:lang w:val="en-US" w:eastAsia="zh-CN"/>
              </w:rPr>
            </w:pPr>
            <w:r w:rsidRPr="007474D3">
              <w:rPr>
                <w:rFonts w:ascii="Times New Roman" w:eastAsia="SimSun" w:hAnsi="Times New Roman"/>
                <w:sz w:val="12"/>
                <w:szCs w:val="12"/>
                <w:lang w:val="en-US" w:eastAsia="zh-CN"/>
              </w:rPr>
              <w:t>RedCap UE with reduced peak data rate without reduced baseband bandwidth in FR1</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4E9B73D" w14:textId="77777777" w:rsidR="007474D3" w:rsidRPr="007474D3" w:rsidRDefault="007474D3" w:rsidP="007474D3">
            <w:pPr>
              <w:jc w:val="left"/>
              <w:rPr>
                <w:sz w:val="12"/>
                <w:szCs w:val="12"/>
              </w:rPr>
            </w:pPr>
            <w:r w:rsidRPr="007474D3">
              <w:rPr>
                <w:sz w:val="12"/>
                <w:szCs w:val="12"/>
              </w:rPr>
              <w:t>The capabilities of FG 48-2 are the same as for FG 48-1 except that the following restriction does not apply:</w:t>
            </w:r>
          </w:p>
          <w:p w14:paraId="452786C9" w14:textId="77777777" w:rsidR="007474D3" w:rsidRPr="007474D3" w:rsidRDefault="007474D3" w:rsidP="007474D3">
            <w:pPr>
              <w:jc w:val="left"/>
              <w:rPr>
                <w:sz w:val="12"/>
                <w:szCs w:val="12"/>
              </w:rPr>
            </w:pPr>
          </w:p>
          <w:p w14:paraId="186AAEF4" w14:textId="77777777" w:rsidR="007474D3" w:rsidRPr="007474D3" w:rsidRDefault="007474D3" w:rsidP="007474D3">
            <w:pPr>
              <w:jc w:val="left"/>
              <w:rPr>
                <w:sz w:val="12"/>
                <w:szCs w:val="12"/>
              </w:rPr>
            </w:pPr>
            <w:r w:rsidRPr="007474D3">
              <w:rPr>
                <w:sz w:val="12"/>
                <w:szCs w:val="12"/>
              </w:rPr>
              <w:t>12. Maximum number of PDSCH/PUSCH PRBs that can be scheduled for unicast per slot of 25 PRBs for 15 kHz SCS and 12 PRBs for 30 kHz SCS</w:t>
            </w:r>
          </w:p>
          <w:p w14:paraId="21F982E8" w14:textId="4FC689A0" w:rsidR="007474D3" w:rsidRPr="007474D3" w:rsidRDefault="007474D3" w:rsidP="007474D3">
            <w:pPr>
              <w:pStyle w:val="ListParagraph"/>
              <w:numPr>
                <w:ilvl w:val="1"/>
                <w:numId w:val="20"/>
              </w:numPr>
              <w:spacing w:after="0"/>
              <w:ind w:left="288" w:hanging="288"/>
              <w:jc w:val="left"/>
              <w:rPr>
                <w:sz w:val="12"/>
                <w:szCs w:val="12"/>
              </w:rPr>
            </w:pPr>
            <w:bookmarkStart w:id="11" w:name="_Hlk141432627"/>
            <w:r w:rsidRPr="007474D3">
              <w:rPr>
                <w:sz w:val="12"/>
                <w:szCs w:val="12"/>
                <w:highlight w:val="yellow"/>
              </w:rPr>
              <w:lastRenderedPageBreak/>
              <w:t>[13. Relaxed RAR-PDSCH processing timeline]</w:t>
            </w:r>
            <w:bookmarkEnd w:id="1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C695" w14:textId="0E9AA7CE" w:rsidR="007474D3" w:rsidRPr="007474D3" w:rsidRDefault="007474D3" w:rsidP="007474D3">
            <w:pPr>
              <w:pStyle w:val="TAL"/>
              <w:jc w:val="left"/>
              <w:rPr>
                <w:rFonts w:ascii="Times New Roman" w:eastAsia="MS Mincho" w:hAnsi="Times New Roman"/>
                <w:sz w:val="12"/>
                <w:szCs w:val="12"/>
                <w:lang w:val="en-US" w:eastAsia="ja-JP"/>
              </w:rPr>
            </w:pPr>
            <w:r w:rsidRPr="007474D3">
              <w:rPr>
                <w:rFonts w:ascii="Times New Roman" w:eastAsia="MS Mincho" w:hAnsi="Times New Roman"/>
                <w:sz w:val="12"/>
                <w:szCs w:val="12"/>
                <w:lang w:val="en-US" w:eastAsia="ja-JP"/>
              </w:rPr>
              <w:lastRenderedPageBreak/>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4D32" w14:textId="5E2433CB" w:rsidR="007474D3" w:rsidRPr="007474D3" w:rsidRDefault="007474D3" w:rsidP="007474D3">
            <w:pPr>
              <w:pStyle w:val="TAL"/>
              <w:jc w:val="left"/>
              <w:rPr>
                <w:rFonts w:ascii="Times New Roman" w:eastAsia="SimSun" w:hAnsi="Times New Roman"/>
                <w:sz w:val="12"/>
                <w:szCs w:val="12"/>
                <w:lang w:val="en-US" w:eastAsia="zh-CN"/>
              </w:rPr>
            </w:pPr>
            <w:r w:rsidRPr="007474D3">
              <w:rPr>
                <w:rFonts w:ascii="Times New Roman" w:eastAsia="SimSun" w:hAnsi="Times New Roman"/>
                <w:sz w:val="12"/>
                <w:szCs w:val="12"/>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55CC" w14:textId="77777777" w:rsidR="007474D3" w:rsidRPr="007474D3" w:rsidRDefault="007474D3" w:rsidP="007474D3">
            <w:pPr>
              <w:pStyle w:val="TAL"/>
              <w:jc w:val="left"/>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5CC2" w14:textId="2DE3E829" w:rsidR="007474D3" w:rsidRPr="007474D3" w:rsidRDefault="007474D3" w:rsidP="007474D3">
            <w:pPr>
              <w:pStyle w:val="TAL"/>
              <w:jc w:val="left"/>
              <w:rPr>
                <w:rFonts w:ascii="Times New Roman" w:eastAsia="SimSun" w:hAnsi="Times New Roman"/>
                <w:sz w:val="12"/>
                <w:szCs w:val="12"/>
                <w:lang w:val="en-US" w:eastAsia="zh-CN"/>
              </w:rPr>
            </w:pPr>
            <w:r w:rsidRPr="007474D3">
              <w:rPr>
                <w:rFonts w:ascii="Times New Roman" w:eastAsia="SimSun" w:hAnsi="Times New Roman"/>
                <w:sz w:val="12"/>
                <w:szCs w:val="12"/>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CAA" w14:textId="1B4E3893" w:rsidR="007474D3" w:rsidRPr="007474D3" w:rsidRDefault="007474D3" w:rsidP="007474D3">
            <w:pPr>
              <w:pStyle w:val="TAL"/>
              <w:jc w:val="left"/>
              <w:rPr>
                <w:rFonts w:ascii="Times New Roman" w:eastAsia="SimSun" w:hAnsi="Times New Roman"/>
                <w:sz w:val="12"/>
                <w:szCs w:val="12"/>
                <w:lang w:eastAsia="zh-CN"/>
              </w:rPr>
            </w:pPr>
            <w:r w:rsidRPr="007474D3">
              <w:rPr>
                <w:rFonts w:ascii="Times New Roman" w:eastAsia="SimSun" w:hAnsi="Times New Roman"/>
                <w:sz w:val="12"/>
                <w:szCs w:val="12"/>
                <w:highlight w:val="yellow"/>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A599" w14:textId="22DD246A" w:rsidR="007474D3" w:rsidRPr="007474D3" w:rsidRDefault="007474D3" w:rsidP="007474D3">
            <w:pPr>
              <w:pStyle w:val="TAL"/>
              <w:jc w:val="left"/>
              <w:rPr>
                <w:rFonts w:ascii="Times New Roman" w:hAnsi="Times New Roman"/>
                <w:sz w:val="12"/>
                <w:szCs w:val="12"/>
                <w:lang w:val="en-US" w:eastAsia="ja-JP"/>
              </w:rPr>
            </w:pPr>
            <w:r w:rsidRPr="007474D3">
              <w:rPr>
                <w:rFonts w:ascii="Times New Roman" w:eastAsia="MS Mincho" w:hAnsi="Times New Roman"/>
                <w:sz w:val="12"/>
                <w:szCs w:val="12"/>
                <w:highlight w:val="yellow"/>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AF22" w14:textId="18CAB527" w:rsidR="007474D3" w:rsidRPr="007474D3" w:rsidRDefault="007474D3" w:rsidP="007474D3">
            <w:pPr>
              <w:pStyle w:val="TAL"/>
              <w:jc w:val="left"/>
              <w:rPr>
                <w:rFonts w:ascii="Times New Roman" w:hAnsi="Times New Roman"/>
                <w:sz w:val="12"/>
                <w:szCs w:val="12"/>
                <w:lang w:eastAsia="ja-JP"/>
              </w:rPr>
            </w:pPr>
            <w:r w:rsidRPr="007474D3">
              <w:rPr>
                <w:rFonts w:ascii="Times New Roman" w:eastAsia="MS Mincho" w:hAnsi="Times New Roman"/>
                <w:sz w:val="12"/>
                <w:szCs w:val="12"/>
                <w:highlight w:val="yellow"/>
                <w:lang w:val="en-US" w:eastAsia="ja-JP"/>
              </w:rPr>
              <w:t>[No]</w:t>
            </w:r>
            <w:r w:rsidRPr="007474D3">
              <w:rPr>
                <w:rFonts w:ascii="Times New Roman" w:eastAsia="MS Mincho" w:hAnsi="Times New Roman"/>
                <w:sz w:val="12"/>
                <w:szCs w:val="12"/>
                <w:lang w:val="en-US" w:eastAsia="ja-JP"/>
              </w:rPr>
              <w:t xml:space="preserve"> (FR1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68F1" w14:textId="77777777" w:rsidR="007474D3" w:rsidRPr="007474D3" w:rsidRDefault="007474D3" w:rsidP="007474D3">
            <w:pPr>
              <w:pStyle w:val="TAL"/>
              <w:jc w:val="left"/>
              <w:rPr>
                <w:rFonts w:ascii="Times New Roman" w:hAnsi="Times New Roman"/>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CB3A" w14:textId="77777777" w:rsidR="007474D3" w:rsidRPr="007474D3" w:rsidRDefault="007474D3" w:rsidP="007474D3">
            <w:pPr>
              <w:pStyle w:val="TAL"/>
              <w:jc w:val="left"/>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C91" w14:textId="339446F3" w:rsidR="007474D3" w:rsidRPr="007474D3" w:rsidRDefault="007474D3" w:rsidP="007474D3">
            <w:pPr>
              <w:pStyle w:val="TAL"/>
              <w:jc w:val="left"/>
              <w:rPr>
                <w:rFonts w:ascii="Times New Roman" w:hAnsi="Times New Roman"/>
                <w:sz w:val="12"/>
                <w:szCs w:val="12"/>
                <w:lang w:eastAsia="ja-JP"/>
              </w:rPr>
            </w:pPr>
            <w:r w:rsidRPr="007474D3">
              <w:rPr>
                <w:rFonts w:ascii="Times New Roman" w:eastAsia="MS Mincho" w:hAnsi="Times New Roman"/>
                <w:sz w:val="12"/>
                <w:szCs w:val="12"/>
                <w:lang w:val="en-US"/>
              </w:rPr>
              <w:t>Optional</w:t>
            </w:r>
            <w:r w:rsidRPr="007474D3">
              <w:rPr>
                <w:rFonts w:ascii="Times New Roman" w:eastAsia="MS Mincho" w:hAnsi="Times New Roman"/>
                <w:sz w:val="12"/>
                <w:szCs w:val="12"/>
                <w:lang w:val="en-US" w:eastAsia="ja-JP"/>
              </w:rPr>
              <w:t xml:space="preserve"> with capability signaling</w:t>
            </w:r>
          </w:p>
        </w:tc>
      </w:tr>
    </w:tbl>
    <w:p w14:paraId="78B3FB06" w14:textId="77777777" w:rsidR="00EC294E" w:rsidRDefault="00EC294E" w:rsidP="00EC294E">
      <w:pPr>
        <w:rPr>
          <w:rFonts w:eastAsia="MS Mincho"/>
          <w:sz w:val="22"/>
        </w:rPr>
      </w:pPr>
    </w:p>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A70F" w14:textId="77777777" w:rsidR="00963236" w:rsidRDefault="00963236">
      <w:r>
        <w:separator/>
      </w:r>
    </w:p>
  </w:endnote>
  <w:endnote w:type="continuationSeparator" w:id="0">
    <w:p w14:paraId="637DEAD6" w14:textId="77777777" w:rsidR="00963236" w:rsidRDefault="0096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B2ABC" w14:textId="77777777" w:rsidR="00963236" w:rsidRDefault="00963236">
      <w:r>
        <w:separator/>
      </w:r>
    </w:p>
  </w:footnote>
  <w:footnote w:type="continuationSeparator" w:id="0">
    <w:p w14:paraId="4F6B0F14" w14:textId="77777777" w:rsidR="00963236" w:rsidRDefault="00963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12489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2"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4528A"/>
    <w:multiLevelType w:val="hybridMultilevel"/>
    <w:tmpl w:val="CBF85E72"/>
    <w:lvl w:ilvl="0" w:tplc="FFFFFFF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8"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707E9"/>
    <w:multiLevelType w:val="hybridMultilevel"/>
    <w:tmpl w:val="08BC4FCC"/>
    <w:lvl w:ilvl="0" w:tplc="0409000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E520F9"/>
    <w:multiLevelType w:val="multilevel"/>
    <w:tmpl w:val="2A24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21312E9"/>
    <w:multiLevelType w:val="hybridMultilevel"/>
    <w:tmpl w:val="1622914C"/>
    <w:lvl w:ilvl="0" w:tplc="FFFFFFF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7"/>
  </w:num>
  <w:num w:numId="2" w16cid:durableId="1746685270">
    <w:abstractNumId w:val="16"/>
  </w:num>
  <w:num w:numId="3" w16cid:durableId="1982493624">
    <w:abstractNumId w:val="22"/>
  </w:num>
  <w:num w:numId="4" w16cid:durableId="1601912373">
    <w:abstractNumId w:val="20"/>
  </w:num>
  <w:num w:numId="5" w16cid:durableId="1470853375">
    <w:abstractNumId w:val="18"/>
  </w:num>
  <w:num w:numId="6" w16cid:durableId="1337228546">
    <w:abstractNumId w:val="3"/>
  </w:num>
  <w:num w:numId="7" w16cid:durableId="1962688487">
    <w:abstractNumId w:val="6"/>
  </w:num>
  <w:num w:numId="8" w16cid:durableId="1714575881">
    <w:abstractNumId w:val="25"/>
  </w:num>
  <w:num w:numId="9" w16cid:durableId="119686149">
    <w:abstractNumId w:val="10"/>
  </w:num>
  <w:num w:numId="10" w16cid:durableId="266624475">
    <w:abstractNumId w:val="8"/>
  </w:num>
  <w:num w:numId="11" w16cid:durableId="1528566959">
    <w:abstractNumId w:val="15"/>
  </w:num>
  <w:num w:numId="12" w16cid:durableId="283660698">
    <w:abstractNumId w:val="26"/>
  </w:num>
  <w:num w:numId="13" w16cid:durableId="452750724">
    <w:abstractNumId w:val="5"/>
  </w:num>
  <w:num w:numId="14" w16cid:durableId="801849308">
    <w:abstractNumId w:val="24"/>
  </w:num>
  <w:num w:numId="15" w16cid:durableId="1864588846">
    <w:abstractNumId w:val="2"/>
  </w:num>
  <w:num w:numId="16" w16cid:durableId="1886982231">
    <w:abstractNumId w:val="1"/>
  </w:num>
  <w:num w:numId="17" w16cid:durableId="142160499">
    <w:abstractNumId w:val="7"/>
  </w:num>
  <w:num w:numId="18" w16cid:durableId="717701748">
    <w:abstractNumId w:val="21"/>
  </w:num>
  <w:num w:numId="19" w16cid:durableId="1567036794">
    <w:abstractNumId w:val="14"/>
  </w:num>
  <w:num w:numId="20" w16cid:durableId="566376618">
    <w:abstractNumId w:val="12"/>
  </w:num>
  <w:num w:numId="21" w16cid:durableId="368795951">
    <w:abstractNumId w:val="18"/>
  </w:num>
  <w:num w:numId="22" w16cid:durableId="1366297933">
    <w:abstractNumId w:val="18"/>
  </w:num>
  <w:num w:numId="23" w16cid:durableId="372190062">
    <w:abstractNumId w:val="18"/>
  </w:num>
  <w:num w:numId="24" w16cid:durableId="2046983238">
    <w:abstractNumId w:val="18"/>
  </w:num>
  <w:num w:numId="25" w16cid:durableId="1996759282">
    <w:abstractNumId w:val="9"/>
  </w:num>
  <w:num w:numId="26" w16cid:durableId="1044017695">
    <w:abstractNumId w:val="4"/>
  </w:num>
  <w:num w:numId="27" w16cid:durableId="723675613">
    <w:abstractNumId w:val="19"/>
  </w:num>
  <w:num w:numId="28" w16cid:durableId="589435446">
    <w:abstractNumId w:val="18"/>
  </w:num>
  <w:num w:numId="29" w16cid:durableId="571155969">
    <w:abstractNumId w:val="18"/>
  </w:num>
  <w:num w:numId="30" w16cid:durableId="1707556741">
    <w:abstractNumId w:val="18"/>
  </w:num>
  <w:num w:numId="31" w16cid:durableId="179928936">
    <w:abstractNumId w:val="18"/>
  </w:num>
  <w:num w:numId="32" w16cid:durableId="790980102">
    <w:abstractNumId w:val="18"/>
  </w:num>
  <w:num w:numId="33" w16cid:durableId="1252080023">
    <w:abstractNumId w:val="18"/>
  </w:num>
  <w:num w:numId="34" w16cid:durableId="2001149827">
    <w:abstractNumId w:val="18"/>
  </w:num>
  <w:num w:numId="35" w16cid:durableId="1133057939">
    <w:abstractNumId w:val="18"/>
  </w:num>
  <w:num w:numId="36" w16cid:durableId="352650642">
    <w:abstractNumId w:val="18"/>
  </w:num>
  <w:num w:numId="37" w16cid:durableId="1840122960">
    <w:abstractNumId w:val="23"/>
  </w:num>
  <w:num w:numId="38" w16cid:durableId="884219964">
    <w:abstractNumId w:val="11"/>
  </w:num>
  <w:num w:numId="39" w16cid:durableId="1448503281">
    <w:abstractNumId w:val="18"/>
  </w:num>
  <w:num w:numId="40" w16cid:durableId="1159157646">
    <w:abstractNumId w:val="0"/>
  </w:num>
  <w:num w:numId="41" w16cid:durableId="897059762">
    <w:abstractNumId w:val="13"/>
  </w:num>
  <w:num w:numId="42" w16cid:durableId="165505948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C28"/>
    <w:rsid w:val="000A4DEA"/>
    <w:rsid w:val="000A54B7"/>
    <w:rsid w:val="000A54E5"/>
    <w:rsid w:val="000A5CAB"/>
    <w:rsid w:val="000A60FC"/>
    <w:rsid w:val="000A6351"/>
    <w:rsid w:val="000A63D6"/>
    <w:rsid w:val="000A7603"/>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2"/>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006"/>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5E1C"/>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0CB6"/>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DBA"/>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2E7"/>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C9B"/>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6B56"/>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6561"/>
    <w:rsid w:val="002F7A45"/>
    <w:rsid w:val="002F7BE3"/>
    <w:rsid w:val="002F7E6A"/>
    <w:rsid w:val="00300165"/>
    <w:rsid w:val="00300445"/>
    <w:rsid w:val="003005EF"/>
    <w:rsid w:val="003008C7"/>
    <w:rsid w:val="00300978"/>
    <w:rsid w:val="00300A0A"/>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27F04"/>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AA4"/>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67FD9"/>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1B27"/>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117"/>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A19"/>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4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28B"/>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1C7"/>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7A64"/>
    <w:rsid w:val="005B7C5C"/>
    <w:rsid w:val="005B7DD1"/>
    <w:rsid w:val="005C00A0"/>
    <w:rsid w:val="005C00E7"/>
    <w:rsid w:val="005C0481"/>
    <w:rsid w:val="005C0A1E"/>
    <w:rsid w:val="005C0EBD"/>
    <w:rsid w:val="005C1AE6"/>
    <w:rsid w:val="005C1F42"/>
    <w:rsid w:val="005C2167"/>
    <w:rsid w:val="005C2251"/>
    <w:rsid w:val="005C28FA"/>
    <w:rsid w:val="005C3781"/>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37ED8"/>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2DC6"/>
    <w:rsid w:val="006533C3"/>
    <w:rsid w:val="00653534"/>
    <w:rsid w:val="00653A3D"/>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1030"/>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A6"/>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89E"/>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7C1"/>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4D3"/>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C7C2D"/>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38"/>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AA3"/>
    <w:rsid w:val="00845B5C"/>
    <w:rsid w:val="00845C12"/>
    <w:rsid w:val="00846695"/>
    <w:rsid w:val="008469D9"/>
    <w:rsid w:val="00846DC0"/>
    <w:rsid w:val="008474A7"/>
    <w:rsid w:val="008506B6"/>
    <w:rsid w:val="00850AE0"/>
    <w:rsid w:val="008524D2"/>
    <w:rsid w:val="008525CD"/>
    <w:rsid w:val="00852E19"/>
    <w:rsid w:val="0085451B"/>
    <w:rsid w:val="00854885"/>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B6"/>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57C9"/>
    <w:rsid w:val="00886333"/>
    <w:rsid w:val="008865C8"/>
    <w:rsid w:val="008878F5"/>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E73"/>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2C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4ED0"/>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088"/>
    <w:rsid w:val="008E6BF5"/>
    <w:rsid w:val="008E73D8"/>
    <w:rsid w:val="008E762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A85"/>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236"/>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618"/>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67E"/>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2CAA"/>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A99"/>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074C"/>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4C4"/>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024"/>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2F7"/>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BA"/>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357"/>
    <w:rsid w:val="00C03EE8"/>
    <w:rsid w:val="00C049A2"/>
    <w:rsid w:val="00C04AAF"/>
    <w:rsid w:val="00C05356"/>
    <w:rsid w:val="00C053EA"/>
    <w:rsid w:val="00C05434"/>
    <w:rsid w:val="00C05AD9"/>
    <w:rsid w:val="00C05BEC"/>
    <w:rsid w:val="00C05D4B"/>
    <w:rsid w:val="00C06B31"/>
    <w:rsid w:val="00C06E7D"/>
    <w:rsid w:val="00C07738"/>
    <w:rsid w:val="00C079BA"/>
    <w:rsid w:val="00C102A2"/>
    <w:rsid w:val="00C10817"/>
    <w:rsid w:val="00C10E97"/>
    <w:rsid w:val="00C1112B"/>
    <w:rsid w:val="00C1129F"/>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3A9"/>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2FD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1BA"/>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305"/>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5D38"/>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2E1"/>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251"/>
    <w:rsid w:val="00F41765"/>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2C63"/>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44A"/>
    <w:rsid w:val="00FC7528"/>
    <w:rsid w:val="00FD0572"/>
    <w:rsid w:val="00FD05AA"/>
    <w:rsid w:val="00FD17B6"/>
    <w:rsid w:val="00FD1A97"/>
    <w:rsid w:val="00FD2AD0"/>
    <w:rsid w:val="00FD2D7B"/>
    <w:rsid w:val="00FD2E2F"/>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qFormat/>
    <w:rsid w:val="000C5ADD"/>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0A7603"/>
    <w:rPr>
      <w:rFonts w:eastAsia="Malgun Gothic"/>
      <w:lang w:eastAsia="en-GB"/>
    </w:rPr>
  </w:style>
  <w:style w:type="paragraph" w:customStyle="1" w:styleId="TableCell0">
    <w:name w:val="TableCell"/>
    <w:basedOn w:val="Normal"/>
    <w:qFormat/>
    <w:rsid w:val="00A22CAA"/>
    <w:pPr>
      <w:overflowPunct/>
      <w:autoSpaceDE/>
      <w:autoSpaceDN/>
      <w:adjustRightInd/>
      <w:spacing w:before="20" w:after="20"/>
      <w:jc w:val="left"/>
    </w:pPr>
    <w:rPr>
      <w:rFonts w:eastAsiaTheme="minorHAns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2371044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2</cp:revision>
  <cp:lastPrinted>2007-06-18T22:08:00Z</cp:lastPrinted>
  <dcterms:created xsi:type="dcterms:W3CDTF">2023-08-11T12:40:00Z</dcterms:created>
  <dcterms:modified xsi:type="dcterms:W3CDTF">2023-08-11T12:40:00Z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