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FF43" w14:textId="3593D949" w:rsidR="00CD6202" w:rsidRPr="00AF4C22" w:rsidRDefault="000B1C68">
      <w:pPr>
        <w:pStyle w:val="ad"/>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ad"/>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ad"/>
      </w:pPr>
    </w:p>
    <w:p w14:paraId="113DD5BF" w14:textId="01B5D324" w:rsidR="00CD6202" w:rsidRDefault="000B1C68">
      <w:pPr>
        <w:pStyle w:val="ad"/>
        <w:tabs>
          <w:tab w:val="clear" w:pos="4536"/>
          <w:tab w:val="left" w:pos="1800"/>
        </w:tabs>
        <w:spacing w:line="360" w:lineRule="auto"/>
        <w:ind w:left="1800" w:hanging="1800"/>
      </w:pPr>
      <w:r>
        <w:t>Source:</w:t>
      </w:r>
      <w:r>
        <w:tab/>
        <w:t>Nokia</w:t>
      </w:r>
    </w:p>
    <w:p w14:paraId="0C3DB9EF" w14:textId="07086591" w:rsidR="00CD6202" w:rsidRDefault="000B1C68">
      <w:pPr>
        <w:pStyle w:val="ad"/>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w:t>
      </w:r>
      <w:proofErr w:type="spellStart"/>
      <w:r w:rsidR="008E1457" w:rsidRPr="008E1457">
        <w:rPr>
          <w:lang w:val="en-GB"/>
        </w:rPr>
        <w:t>Enh</w:t>
      </w:r>
      <w:proofErr w:type="spellEnd"/>
      <w:r w:rsidR="008E1457" w:rsidRPr="008E1457">
        <w:rPr>
          <w:lang w:val="en-GB"/>
        </w:rPr>
        <w:t xml:space="preserve"> draft CR for TS38.214</w:t>
      </w:r>
    </w:p>
    <w:p w14:paraId="3712CC7C" w14:textId="6EF550D1" w:rsidR="00CD6202" w:rsidRDefault="000B1C68">
      <w:pPr>
        <w:pStyle w:val="ad"/>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ad"/>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78F6D84E" w14:textId="507243F2" w:rsidR="00CD6202" w:rsidRDefault="000B1C68" w:rsidP="008E1457">
      <w:pPr>
        <w:pStyle w:val="a0"/>
      </w:pPr>
      <w:r>
        <w:t xml:space="preserve">This thread </w:t>
      </w:r>
      <w:r w:rsidR="00663A2A">
        <w:t xml:space="preserve">[113-R18-Others-02] </w:t>
      </w:r>
      <w:r w:rsidR="00191203">
        <w:t>is addressing</w:t>
      </w:r>
      <w:r>
        <w:t xml:space="preserve"> the draft CR to 38.214 for </w:t>
      </w:r>
      <w:proofErr w:type="spellStart"/>
      <w:r>
        <w:t>NR_MC_enh</w:t>
      </w:r>
      <w:proofErr w:type="spellEnd"/>
      <w:r>
        <w:t>-Core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w:t>
      </w:r>
      <w:proofErr w:type="spellStart"/>
      <w:r>
        <w:rPr>
          <w:highlight w:val="cyan"/>
          <w:lang w:eastAsia="x-none"/>
        </w:rPr>
        <w:t>Enh</w:t>
      </w:r>
      <w:proofErr w:type="spellEnd"/>
      <w:r>
        <w:rPr>
          <w:highlight w:val="cyan"/>
          <w:lang w:eastAsia="x-none"/>
        </w:rPr>
        <w:t xml:space="preserve">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1"/>
      </w:pPr>
      <w:r>
        <w:t>References</w:t>
      </w:r>
    </w:p>
    <w:p w14:paraId="1D58C6DF" w14:textId="0DA7C7D2" w:rsidR="008E1457" w:rsidRDefault="00000000" w:rsidP="004B4297">
      <w:pPr>
        <w:pStyle w:val="af7"/>
        <w:numPr>
          <w:ilvl w:val="0"/>
          <w:numId w:val="11"/>
        </w:numPr>
        <w:rPr>
          <w:lang w:eastAsia="x-none"/>
        </w:rPr>
      </w:pPr>
      <w:hyperlink r:id="rId13" w:history="1">
        <w:r w:rsidR="00663A2A" w:rsidRPr="00663A2A">
          <w:rPr>
            <w:rStyle w:val="af5"/>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000000" w:rsidP="004B4297">
      <w:pPr>
        <w:pStyle w:val="af7"/>
        <w:numPr>
          <w:ilvl w:val="0"/>
          <w:numId w:val="11"/>
        </w:numPr>
        <w:rPr>
          <w:lang w:eastAsia="x-none"/>
        </w:rPr>
      </w:pPr>
      <w:hyperlink r:id="rId14" w:history="1">
        <w:r w:rsidR="00663A2A" w:rsidRPr="00663A2A">
          <w:rPr>
            <w:rStyle w:val="af5"/>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1"/>
      </w:pPr>
      <w:r>
        <w:t>Discussion</w:t>
      </w:r>
    </w:p>
    <w:p w14:paraId="567CAB4F" w14:textId="30486253" w:rsidR="00663A2A" w:rsidRDefault="00663A2A" w:rsidP="00663A2A">
      <w:pPr>
        <w:pStyle w:val="2"/>
      </w:pPr>
      <w:r>
        <w:t>Issue #1: Simultaneous UL Tx when SUL is part of the configuration</w:t>
      </w:r>
    </w:p>
    <w:p w14:paraId="6ED91E15" w14:textId="0D6FD045" w:rsidR="00CD6202" w:rsidRDefault="0071101C">
      <w:pPr>
        <w:pStyle w:val="a0"/>
      </w:pPr>
      <w:r>
        <w:t>The following alternatives can be identified when at least one cell with a SUL carrier is part of the UE’s configuration</w:t>
      </w:r>
    </w:p>
    <w:p w14:paraId="361B5472" w14:textId="5870F04D" w:rsidR="0071101C" w:rsidRDefault="0071101C" w:rsidP="00CE6542">
      <w:pPr>
        <w:pStyle w:val="a0"/>
        <w:ind w:left="720"/>
      </w:pPr>
      <w:r w:rsidRPr="005035CC">
        <w:rPr>
          <w:b/>
          <w:bCs/>
        </w:rPr>
        <w:t>Alt 1</w:t>
      </w:r>
      <w:r>
        <w:t>: Transmission may take place only on one uplink band at a time</w:t>
      </w:r>
    </w:p>
    <w:p w14:paraId="7FBFB23B" w14:textId="33F2541A" w:rsidR="00CE6542" w:rsidRDefault="00CE6542" w:rsidP="00CE6542">
      <w:pPr>
        <w:pStyle w:val="a0"/>
        <w:ind w:left="720"/>
      </w:pPr>
      <w:r w:rsidRPr="005035CC">
        <w:rPr>
          <w:b/>
          <w:bCs/>
        </w:rPr>
        <w:t>Alt 2</w:t>
      </w:r>
      <w:r>
        <w:t>: One or more of the following simultaneous transmission cases is allowed</w:t>
      </w:r>
    </w:p>
    <w:p w14:paraId="3E1506FB" w14:textId="5A0A0E33" w:rsidR="0071101C" w:rsidRDefault="0071101C" w:rsidP="004B4297">
      <w:pPr>
        <w:pStyle w:val="a0"/>
        <w:numPr>
          <w:ilvl w:val="0"/>
          <w:numId w:val="12"/>
        </w:numPr>
        <w:ind w:left="1440"/>
      </w:pPr>
      <w:r>
        <w:t>Transmission on two non-SUL UL bands may take place at the same time if UE reported ‘</w:t>
      </w:r>
      <w:proofErr w:type="spellStart"/>
      <w:r>
        <w:t>DualUL</w:t>
      </w:r>
      <w:proofErr w:type="spellEnd"/>
      <w:r>
        <w:t>’ for that band pair</w:t>
      </w:r>
    </w:p>
    <w:p w14:paraId="4CA2B710" w14:textId="446BBE0C" w:rsidR="0071101C" w:rsidRDefault="0071101C" w:rsidP="004B4297">
      <w:pPr>
        <w:pStyle w:val="a0"/>
        <w:numPr>
          <w:ilvl w:val="0"/>
          <w:numId w:val="12"/>
        </w:numPr>
        <w:ind w:left="1440"/>
      </w:pPr>
      <w:r>
        <w:t>Transmission on one cell’s SUL carrier and another cell’s non-SUL band may take place at the same time if the UE reported ‘</w:t>
      </w:r>
      <w:proofErr w:type="spellStart"/>
      <w:r>
        <w:t>DualUL</w:t>
      </w:r>
      <w:proofErr w:type="spellEnd"/>
      <w:r>
        <w:t>’ for that band pair</w:t>
      </w:r>
    </w:p>
    <w:p w14:paraId="459807BE" w14:textId="3DF71C6B" w:rsidR="0071101C" w:rsidRDefault="0071101C" w:rsidP="004B4297">
      <w:pPr>
        <w:pStyle w:val="a0"/>
        <w:numPr>
          <w:ilvl w:val="0"/>
          <w:numId w:val="12"/>
        </w:numPr>
        <w:ind w:left="1440"/>
      </w:pPr>
      <w:r>
        <w:t>Transmission on one cell’s SUL carrier and another cell’s SUL carrier may take place at the same time if the UE reported ‘</w:t>
      </w:r>
      <w:proofErr w:type="spellStart"/>
      <w:r>
        <w:t>DualUL</w:t>
      </w:r>
      <w:proofErr w:type="spellEnd"/>
      <w:r>
        <w:t>’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af3"/>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af7"/>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af7"/>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af7"/>
              <w:numPr>
                <w:ilvl w:val="1"/>
                <w:numId w:val="8"/>
              </w:numPr>
              <w:spacing w:afterLines="50" w:after="120"/>
              <w:contextualSpacing w:val="0"/>
              <w:rPr>
                <w:szCs w:val="20"/>
              </w:rPr>
            </w:pPr>
            <w:proofErr w:type="spellStart"/>
            <w:r w:rsidRPr="00270A8F">
              <w:rPr>
                <w:strike/>
                <w:color w:val="FF0000"/>
                <w:szCs w:val="20"/>
              </w:rPr>
              <w:t>Other</w:t>
            </w:r>
            <w:r w:rsidRPr="00270A8F">
              <w:rPr>
                <w:color w:val="FF0000"/>
                <w:szCs w:val="20"/>
                <w:u w:val="single"/>
              </w:rPr>
              <w:t>Further</w:t>
            </w:r>
            <w:proofErr w:type="spellEnd"/>
            <w:r w:rsidRPr="00270A8F">
              <w:rPr>
                <w:color w:val="FF0000"/>
                <w:szCs w:val="20"/>
                <w:u w:val="single"/>
              </w:rPr>
              <w:t xml:space="preserve">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a0"/>
      </w:pPr>
    </w:p>
    <w:p w14:paraId="12B0148F" w14:textId="43DD601B"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1"/>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1"/>
              <w:ind w:left="0"/>
              <w:rPr>
                <w:szCs w:val="20"/>
                <w:lang w:eastAsia="zh-CN"/>
              </w:rPr>
            </w:pPr>
          </w:p>
          <w:p w14:paraId="306F6CE4" w14:textId="77777777" w:rsidR="00FD5DC4" w:rsidRDefault="008D31D1" w:rsidP="00FD40A6">
            <w:pPr>
              <w:pStyle w:val="11"/>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1"/>
              <w:ind w:left="0"/>
              <w:rPr>
                <w:szCs w:val="20"/>
                <w:lang w:eastAsia="zh-CN"/>
              </w:rPr>
            </w:pPr>
          </w:p>
          <w:p w14:paraId="0269EF62" w14:textId="148BC926" w:rsidR="00107C2F" w:rsidRDefault="00FD5DC4" w:rsidP="00FD40A6">
            <w:pPr>
              <w:pStyle w:val="11"/>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1"/>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1"/>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a0"/>
              <w:numPr>
                <w:ilvl w:val="0"/>
                <w:numId w:val="16"/>
              </w:numPr>
            </w:pPr>
            <w:r>
              <w:t>Transmission on two non-SUL UL bands may take place at the same time if UE reported ‘</w:t>
            </w:r>
            <w:proofErr w:type="spellStart"/>
            <w:r>
              <w:t>DualUL</w:t>
            </w:r>
            <w:proofErr w:type="spellEnd"/>
            <w:r>
              <w:t>’ for that band pair</w:t>
            </w:r>
          </w:p>
          <w:p w14:paraId="1D2AB4FC" w14:textId="77777777" w:rsidR="00877817" w:rsidRDefault="00877817" w:rsidP="00877817">
            <w:pPr>
              <w:pStyle w:val="a0"/>
              <w:numPr>
                <w:ilvl w:val="0"/>
                <w:numId w:val="16"/>
              </w:numPr>
            </w:pPr>
            <w:r>
              <w:t>Transmission on one cell’s SUL carrier and another cell’s non-SUL band may take place at the same time if the UE reported ‘</w:t>
            </w:r>
            <w:proofErr w:type="spellStart"/>
            <w:r>
              <w:t>DualUL</w:t>
            </w:r>
            <w:proofErr w:type="spellEnd"/>
            <w:r>
              <w:t>’ for that band pair</w:t>
            </w:r>
          </w:p>
          <w:p w14:paraId="0A6DEE35" w14:textId="77777777" w:rsidR="00877817" w:rsidRDefault="00877817" w:rsidP="00877817">
            <w:pPr>
              <w:pStyle w:val="a0"/>
              <w:numPr>
                <w:ilvl w:val="0"/>
                <w:numId w:val="16"/>
              </w:numPr>
            </w:pPr>
            <w:r>
              <w:t>Transmission on one cell’s SUL carrier and another cell’s SUL carrier may take place at the same time if the UE reported ‘</w:t>
            </w:r>
            <w:proofErr w:type="spellStart"/>
            <w:r>
              <w:t>DualUL</w:t>
            </w:r>
            <w:proofErr w:type="spellEnd"/>
            <w:r>
              <w:t>’ for that band pair</w:t>
            </w:r>
          </w:p>
          <w:p w14:paraId="365825BF" w14:textId="77777777" w:rsidR="00877817" w:rsidRDefault="00877817" w:rsidP="00877817">
            <w:pPr>
              <w:pStyle w:val="11"/>
              <w:ind w:left="0"/>
              <w:rPr>
                <w:szCs w:val="20"/>
                <w:lang w:eastAsia="zh-CN"/>
              </w:rPr>
            </w:pPr>
            <w:r>
              <w:rPr>
                <w:rFonts w:hint="eastAsia"/>
                <w:szCs w:val="20"/>
                <w:lang w:eastAsia="zh-CN"/>
              </w:rPr>
              <w:t>O</w:t>
            </w:r>
            <w:r>
              <w:rPr>
                <w:szCs w:val="20"/>
                <w:lang w:eastAsia="zh-CN"/>
              </w:rPr>
              <w:t xml:space="preserve">ur understanding of the RAN guidance is that, RAN1 only focus on the </w:t>
            </w:r>
            <w:proofErr w:type="spellStart"/>
            <w:r>
              <w:rPr>
                <w:szCs w:val="20"/>
                <w:lang w:eastAsia="zh-CN"/>
              </w:rPr>
              <w:t>switchedUL</w:t>
            </w:r>
            <w:proofErr w:type="spellEnd"/>
            <w:r>
              <w:rPr>
                <w:szCs w:val="20"/>
                <w:lang w:eastAsia="zh-CN"/>
              </w:rPr>
              <w:t xml:space="preserve"> for configuration with SUL in Rel-18.</w:t>
            </w:r>
          </w:p>
          <w:p w14:paraId="08E4D62C" w14:textId="77777777" w:rsidR="00877817" w:rsidRDefault="00877817" w:rsidP="00877817">
            <w:pPr>
              <w:pStyle w:val="11"/>
              <w:ind w:left="0"/>
              <w:rPr>
                <w:szCs w:val="20"/>
              </w:rPr>
            </w:pPr>
          </w:p>
        </w:tc>
      </w:tr>
      <w:tr w:rsidR="00270A8F" w14:paraId="1B8E7004" w14:textId="77777777" w:rsidTr="00FB4103">
        <w:trPr>
          <w:trHeight w:val="342"/>
        </w:trPr>
        <w:tc>
          <w:tcPr>
            <w:tcW w:w="1405" w:type="dxa"/>
          </w:tcPr>
          <w:p w14:paraId="5002F341" w14:textId="5169F116" w:rsidR="00270A8F" w:rsidRDefault="00DA5BB7" w:rsidP="00535B24">
            <w:pPr>
              <w:rPr>
                <w:szCs w:val="20"/>
              </w:rPr>
            </w:pPr>
            <w:r>
              <w:rPr>
                <w:szCs w:val="20"/>
              </w:rPr>
              <w:t>CMCC</w:t>
            </w:r>
          </w:p>
        </w:tc>
        <w:tc>
          <w:tcPr>
            <w:tcW w:w="8088" w:type="dxa"/>
          </w:tcPr>
          <w:p w14:paraId="3045E091" w14:textId="234F73F5" w:rsidR="00270A8F" w:rsidRDefault="00DA5BB7" w:rsidP="00535B24">
            <w:pPr>
              <w:pStyle w:val="11"/>
              <w:ind w:left="0"/>
              <w:rPr>
                <w:szCs w:val="20"/>
              </w:rPr>
            </w:pPr>
            <w:r>
              <w:rPr>
                <w:szCs w:val="20"/>
                <w:lang w:eastAsia="zh-CN"/>
              </w:rPr>
              <w:t>W</w:t>
            </w:r>
            <w:r>
              <w:rPr>
                <w:rFonts w:hint="eastAsia"/>
                <w:szCs w:val="20"/>
                <w:lang w:eastAsia="zh-CN"/>
              </w:rPr>
              <w:t>e</w:t>
            </w:r>
            <w:r>
              <w:rPr>
                <w:szCs w:val="20"/>
              </w:rPr>
              <w:t xml:space="preserve"> support Alt2.</w:t>
            </w:r>
          </w:p>
          <w:p w14:paraId="3A20420A" w14:textId="77777777" w:rsidR="005C1555" w:rsidRDefault="005C1555" w:rsidP="00535B24">
            <w:pPr>
              <w:pStyle w:val="11"/>
              <w:ind w:left="0"/>
              <w:rPr>
                <w:szCs w:val="20"/>
              </w:rPr>
            </w:pPr>
          </w:p>
          <w:p w14:paraId="29280391" w14:textId="029250C7" w:rsidR="00DA5BB7" w:rsidRDefault="00DA5BB7" w:rsidP="00535B24">
            <w:pPr>
              <w:pStyle w:val="11"/>
              <w:ind w:left="0"/>
              <w:rPr>
                <w:szCs w:val="20"/>
              </w:rPr>
            </w:pPr>
            <w:r>
              <w:rPr>
                <w:szCs w:val="20"/>
              </w:rPr>
              <w:t xml:space="preserve">First, the RAN#97 guidance only mentioned that “focus in Q3 2022” without conclusion to preclude the </w:t>
            </w:r>
            <w:proofErr w:type="spellStart"/>
            <w:r>
              <w:rPr>
                <w:szCs w:val="20"/>
              </w:rPr>
              <w:t>dualUL</w:t>
            </w:r>
            <w:proofErr w:type="spellEnd"/>
            <w:r>
              <w:rPr>
                <w:szCs w:val="20"/>
              </w:rPr>
              <w:t xml:space="preserve"> in 2SUL </w:t>
            </w:r>
            <w:r w:rsidR="00EA59E3">
              <w:rPr>
                <w:szCs w:val="20"/>
              </w:rPr>
              <w:t xml:space="preserve">serving cell </w:t>
            </w:r>
            <w:r>
              <w:rPr>
                <w:szCs w:val="20"/>
              </w:rPr>
              <w:t>scenario.</w:t>
            </w:r>
          </w:p>
          <w:p w14:paraId="42319F49" w14:textId="77777777" w:rsidR="005C1555" w:rsidRDefault="005C1555" w:rsidP="00535B24">
            <w:pPr>
              <w:pStyle w:val="11"/>
              <w:ind w:left="0"/>
              <w:rPr>
                <w:szCs w:val="20"/>
              </w:rPr>
            </w:pPr>
          </w:p>
          <w:p w14:paraId="15028405" w14:textId="04B887D2" w:rsidR="00DA5BB7" w:rsidRDefault="00DA5BB7" w:rsidP="00535B24">
            <w:pPr>
              <w:pStyle w:val="11"/>
              <w:ind w:left="0"/>
              <w:rPr>
                <w:sz w:val="21"/>
                <w:szCs w:val="21"/>
              </w:rPr>
            </w:pPr>
            <w:r>
              <w:rPr>
                <w:szCs w:val="20"/>
              </w:rPr>
              <w:t xml:space="preserve">Second, in RAN#99, the following proposals in </w:t>
            </w:r>
            <w:r>
              <w:rPr>
                <w:lang w:eastAsia="zh-CN"/>
              </w:rPr>
              <w:t>RP-230810</w:t>
            </w:r>
            <w:r>
              <w:rPr>
                <w:szCs w:val="20"/>
              </w:rPr>
              <w:t xml:space="preserve"> were agreed which </w:t>
            </w:r>
            <w:r>
              <w:rPr>
                <w:rFonts w:hint="eastAsia"/>
                <w:sz w:val="21"/>
                <w:szCs w:val="21"/>
              </w:rPr>
              <w:t xml:space="preserve">RAN </w:t>
            </w:r>
            <w:r>
              <w:rPr>
                <w:sz w:val="21"/>
                <w:szCs w:val="21"/>
              </w:rPr>
              <w:t xml:space="preserve">task </w:t>
            </w:r>
            <w:r>
              <w:rPr>
                <w:rFonts w:hint="eastAsia"/>
                <w:sz w:val="21"/>
                <w:szCs w:val="21"/>
              </w:rPr>
              <w:t xml:space="preserve">that RAN4 </w:t>
            </w:r>
            <w:r>
              <w:rPr>
                <w:sz w:val="21"/>
                <w:szCs w:val="21"/>
              </w:rPr>
              <w:t>to</w:t>
            </w:r>
            <w:r>
              <w:rPr>
                <w:rFonts w:hint="eastAsia"/>
                <w:sz w:val="21"/>
                <w:szCs w:val="21"/>
              </w:rPr>
              <w:t xml:space="preserve"> assess the additional RAN4 specification impact and UE implementation impact to support the UE configured with </w:t>
            </w:r>
            <w:r>
              <w:rPr>
                <w:sz w:val="21"/>
                <w:szCs w:val="21"/>
              </w:rPr>
              <w:t>2SUL</w:t>
            </w:r>
            <w:r>
              <w:rPr>
                <w:rFonts w:hint="eastAsia"/>
                <w:sz w:val="21"/>
                <w:szCs w:val="21"/>
              </w:rPr>
              <w:t xml:space="preserve"> serving cells</w:t>
            </w:r>
            <w:r>
              <w:rPr>
                <w:sz w:val="21"/>
                <w:szCs w:val="21"/>
              </w:rPr>
              <w:t xml:space="preserve"> in UL TX switching framework. That</w:t>
            </w:r>
            <w:r w:rsidR="00EA59E3">
              <w:rPr>
                <w:sz w:val="21"/>
                <w:szCs w:val="21"/>
              </w:rPr>
              <w:t>’s also means</w:t>
            </w:r>
            <w:r>
              <w:rPr>
                <w:sz w:val="21"/>
                <w:szCs w:val="21"/>
              </w:rPr>
              <w:t xml:space="preserve"> RAN has </w:t>
            </w:r>
            <w:r w:rsidR="00EA59E3">
              <w:rPr>
                <w:sz w:val="21"/>
                <w:szCs w:val="21"/>
              </w:rPr>
              <w:t>not preclude the 2SUL serving cell Tx switching scenario.</w:t>
            </w:r>
          </w:p>
          <w:p w14:paraId="363F34AB" w14:textId="77777777" w:rsidR="005C1555" w:rsidRDefault="005C1555" w:rsidP="00535B24">
            <w:pPr>
              <w:pStyle w:val="11"/>
              <w:ind w:left="0"/>
              <w:rPr>
                <w:sz w:val="21"/>
                <w:szCs w:val="21"/>
              </w:rPr>
            </w:pPr>
          </w:p>
          <w:p w14:paraId="516B8061" w14:textId="3E46972D" w:rsidR="00DA5BB7" w:rsidRDefault="00DA5BB7" w:rsidP="00535B24">
            <w:pPr>
              <w:pStyle w:val="11"/>
              <w:ind w:left="0"/>
              <w:rPr>
                <w:szCs w:val="20"/>
              </w:rPr>
            </w:pPr>
            <w:r>
              <w:rPr>
                <w:sz w:val="21"/>
                <w:szCs w:val="21"/>
              </w:rPr>
              <w:t xml:space="preserve">Third, during the discuss in last RAN1 meeting, companies didn’t find additional issues need to be addressed to support the three cases in Alt 2. That is the last version draft CR without the sentence </w:t>
            </w:r>
            <w:r w:rsidR="001100B8">
              <w:rPr>
                <w:sz w:val="21"/>
                <w:szCs w:val="21"/>
              </w:rPr>
              <w:t>“</w:t>
            </w:r>
            <w:r w:rsidR="001100B8">
              <w:rPr>
                <w:lang w:eastAsia="zh-CN"/>
              </w:rPr>
              <w:t>For a band combination including supplementary uplink band</w:t>
            </w:r>
            <w:r w:rsidR="001100B8">
              <w:rPr>
                <w:strike/>
                <w:color w:val="FF0000"/>
                <w:lang w:eastAsia="zh-CN"/>
              </w:rPr>
              <w:t>s</w:t>
            </w:r>
            <w:r w:rsidR="001100B8">
              <w:rPr>
                <w:lang w:eastAsia="zh-CN"/>
              </w:rPr>
              <w:t xml:space="preserve">, for all band pairs only the </w:t>
            </w:r>
            <w:proofErr w:type="spellStart"/>
            <w:r w:rsidR="001100B8">
              <w:rPr>
                <w:lang w:eastAsia="zh-CN"/>
              </w:rPr>
              <w:t>uplinkTxSwitchingOption</w:t>
            </w:r>
            <w:proofErr w:type="spellEnd"/>
            <w:r w:rsidR="001100B8">
              <w:rPr>
                <w:lang w:eastAsia="zh-CN"/>
              </w:rPr>
              <w:t xml:space="preserve"> set to '</w:t>
            </w:r>
            <w:proofErr w:type="spellStart"/>
            <w:r w:rsidR="001100B8">
              <w:rPr>
                <w:lang w:eastAsia="zh-CN"/>
              </w:rPr>
              <w:t>switchedUL</w:t>
            </w:r>
            <w:proofErr w:type="spellEnd"/>
            <w:r w:rsidR="001100B8">
              <w:rPr>
                <w:lang w:eastAsia="zh-CN"/>
              </w:rPr>
              <w:t>' is supported</w:t>
            </w:r>
            <w:r w:rsidR="001100B8">
              <w:rPr>
                <w:sz w:val="21"/>
                <w:szCs w:val="21"/>
              </w:rPr>
              <w:t>” can have already supported the three cases in Alt 2.</w:t>
            </w:r>
          </w:p>
          <w:p w14:paraId="348F2D04" w14:textId="77777777" w:rsidR="00DA5BB7" w:rsidRDefault="00DA5BB7" w:rsidP="00535B24">
            <w:pPr>
              <w:pStyle w:val="11"/>
              <w:ind w:left="0"/>
              <w:rPr>
                <w:szCs w:val="20"/>
              </w:rPr>
            </w:pPr>
          </w:p>
          <w:bookmarkStart w:id="3" w:name="OLE_LINK5"/>
          <w:p w14:paraId="1C3AEC78" w14:textId="26F85A01" w:rsidR="00DA5BB7" w:rsidRDefault="00DA5BB7" w:rsidP="00535B24">
            <w:pPr>
              <w:pStyle w:val="11"/>
              <w:ind w:left="0"/>
              <w:rPr>
                <w:szCs w:val="20"/>
              </w:rPr>
            </w:pPr>
            <w:r>
              <w:rPr>
                <w:sz w:val="21"/>
                <w:szCs w:val="21"/>
              </w:rPr>
              <w:object w:dxaOrig="9780" w:dyaOrig="5506" w14:anchorId="73BEC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3.75pt;height:193.7pt;mso-position-horizontal-relative:page;mso-position-vertical-relative:page" o:ole="">
                  <v:imagedata r:id="rId15" o:title=""/>
                </v:shape>
                <o:OLEObject Type="Embed" ProgID="PowerPoint.Slide.12" ShapeID="Object 1" DrawAspect="Content" ObjectID="_1746350988" r:id="rId16"/>
              </w:object>
            </w:r>
            <w:bookmarkEnd w:id="3"/>
          </w:p>
        </w:tc>
      </w:tr>
      <w:tr w:rsidR="00270A8F" w14:paraId="796F8C7E" w14:textId="77777777" w:rsidTr="00FB4103">
        <w:trPr>
          <w:trHeight w:val="342"/>
        </w:trPr>
        <w:tc>
          <w:tcPr>
            <w:tcW w:w="1405" w:type="dxa"/>
          </w:tcPr>
          <w:p w14:paraId="151E1056" w14:textId="77777777" w:rsidR="00270A8F" w:rsidRDefault="00270A8F" w:rsidP="00535B24">
            <w:pPr>
              <w:rPr>
                <w:szCs w:val="20"/>
              </w:rPr>
            </w:pPr>
          </w:p>
        </w:tc>
        <w:tc>
          <w:tcPr>
            <w:tcW w:w="8088" w:type="dxa"/>
          </w:tcPr>
          <w:p w14:paraId="3D657CBF" w14:textId="77777777" w:rsidR="00270A8F" w:rsidRDefault="00270A8F" w:rsidP="00535B24">
            <w:pPr>
              <w:pStyle w:val="11"/>
              <w:ind w:left="0"/>
              <w:rPr>
                <w:szCs w:val="20"/>
              </w:rPr>
            </w:pPr>
          </w:p>
        </w:tc>
      </w:tr>
      <w:tr w:rsidR="00270A8F" w14:paraId="68E88DD3" w14:textId="77777777" w:rsidTr="00FB4103">
        <w:trPr>
          <w:trHeight w:val="342"/>
        </w:trPr>
        <w:tc>
          <w:tcPr>
            <w:tcW w:w="1405" w:type="dxa"/>
          </w:tcPr>
          <w:p w14:paraId="1C2B6946" w14:textId="77777777" w:rsidR="00270A8F" w:rsidRDefault="00270A8F" w:rsidP="00535B24">
            <w:pPr>
              <w:rPr>
                <w:szCs w:val="20"/>
              </w:rPr>
            </w:pPr>
          </w:p>
        </w:tc>
        <w:tc>
          <w:tcPr>
            <w:tcW w:w="8088" w:type="dxa"/>
          </w:tcPr>
          <w:p w14:paraId="48726DBC" w14:textId="77777777" w:rsidR="00270A8F" w:rsidRDefault="00270A8F" w:rsidP="00535B24">
            <w:pPr>
              <w:pStyle w:val="11"/>
              <w:ind w:left="0"/>
              <w:rPr>
                <w:szCs w:val="20"/>
              </w:rPr>
            </w:pPr>
          </w:p>
        </w:tc>
      </w:tr>
    </w:tbl>
    <w:p w14:paraId="5DF2593C" w14:textId="7ABC3737" w:rsidR="00CF4EB8" w:rsidRDefault="00CF4EB8" w:rsidP="00663A2A">
      <w:pPr>
        <w:rPr>
          <w:lang w:eastAsia="x-none"/>
        </w:rPr>
      </w:pPr>
    </w:p>
    <w:p w14:paraId="219F29E6" w14:textId="77777777" w:rsidR="0094275B" w:rsidRDefault="0094275B" w:rsidP="00663A2A">
      <w:pPr>
        <w:rPr>
          <w:lang w:eastAsia="x-none"/>
        </w:rPr>
      </w:pPr>
    </w:p>
    <w:p w14:paraId="35DD33BA" w14:textId="03BB0605" w:rsidR="00663A2A" w:rsidRDefault="00663A2A" w:rsidP="00663A2A">
      <w:pPr>
        <w:pStyle w:val="2"/>
      </w:pPr>
      <w:r>
        <w:t xml:space="preserve">Issue #2: Applicability of the minimum </w:t>
      </w:r>
      <w:r w:rsidR="00270A8F">
        <w:t>time</w:t>
      </w:r>
      <w:r>
        <w:t xml:space="preserve"> between two switches</w:t>
      </w:r>
    </w:p>
    <w:p w14:paraId="02163938" w14:textId="7F361CD2" w:rsidR="00663A2A" w:rsidRDefault="00270A8F" w:rsidP="00663A2A">
      <w:pPr>
        <w:pStyle w:val="a0"/>
      </w:pPr>
      <w:r>
        <w:t>Specifying the following RAN1#112 agreement was causing difficulty:</w:t>
      </w:r>
    </w:p>
    <w:p w14:paraId="71660771" w14:textId="009887FB" w:rsidR="00270A8F" w:rsidRDefault="00270A8F" w:rsidP="00270A8F"/>
    <w:tbl>
      <w:tblPr>
        <w:tblStyle w:val="af3"/>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3"/>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4" w:author="作者"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5" w:author="作者" w:date="2023-03-02T19:38:00Z">
              <w:r w:rsidRPr="006A3643" w:rsidDel="0012159A">
                <w:rPr>
                  <w:rFonts w:ascii="Times" w:eastAsia="MS Mincho" w:hAnsi="Times" w:cs="Times"/>
                  <w:lang w:val="en-AU"/>
                </w:rPr>
                <w:delText xml:space="preserve">end </w:delText>
              </w:r>
            </w:del>
            <w:ins w:id="6" w:author="作者"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7" w:author="作者" w:date="2023-03-02T19:38:00Z">
              <w:r w:rsidRPr="006A3643" w:rsidDel="0012159A">
                <w:rPr>
                  <w:rFonts w:ascii="Times" w:hAnsi="Times" w:cs="Times"/>
                </w:rPr>
                <w:delText>prior to</w:delText>
              </w:r>
            </w:del>
            <w:ins w:id="8" w:author="作者"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3"/>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9" w:author="作者" w:date="2023-03-02T19:38:00Z">
              <w:r w:rsidRPr="006A3643" w:rsidDel="0012159A">
                <w:rPr>
                  <w:rFonts w:ascii="Times" w:eastAsia="MS Mincho" w:hAnsi="Times" w:cs="Times"/>
                  <w:lang w:val="en-AU"/>
                </w:rPr>
                <w:delText>sum</w:delText>
              </w:r>
            </w:del>
            <w:ins w:id="10" w:author="作者"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3"/>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a0"/>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proofErr w:type="spellStart"/>
      <w:r w:rsidRPr="0094275B">
        <w:rPr>
          <w:i/>
          <w:noProof/>
          <w:color w:val="FF0000"/>
          <w:sz w:val="20"/>
          <w:szCs w:val="20"/>
          <w:highlight w:val="yellow"/>
          <w:u w:val="single"/>
          <w:lang w:eastAsia="en-GB"/>
        </w:rPr>
        <w:t>MinSwitchSeparation</w:t>
      </w:r>
      <w:proofErr w:type="spellEnd"/>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af7"/>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a0"/>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lastRenderedPageBreak/>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proofErr w:type="spellStart"/>
      <w:r w:rsidRPr="0094275B">
        <w:rPr>
          <w:i/>
          <w:noProof/>
          <w:color w:val="7030A0"/>
          <w:sz w:val="20"/>
          <w:szCs w:val="20"/>
          <w:highlight w:val="yellow"/>
          <w:u w:val="single"/>
          <w:lang w:eastAsia="en-GB"/>
        </w:rPr>
        <w:t>MinSwitchSeparation</w:t>
      </w:r>
      <w:proofErr w:type="spellEnd"/>
      <w:r w:rsidRPr="0094275B">
        <w:rPr>
          <w:color w:val="7030A0"/>
          <w:sz w:val="20"/>
          <w:szCs w:val="20"/>
          <w:highlight w:val="yellow"/>
          <w:u w:val="single"/>
        </w:rPr>
        <w:t>]</w:t>
      </w:r>
      <w:r w:rsidRPr="0094275B">
        <w:rPr>
          <w:color w:val="7030A0"/>
          <w:sz w:val="20"/>
          <w:szCs w:val="20"/>
          <w:u w:val="single"/>
        </w:rPr>
        <w:t xml:space="preserve"> capability, </w:t>
      </w:r>
      <w:proofErr w:type="spellStart"/>
      <w:r>
        <w:rPr>
          <w:color w:val="7030A0"/>
          <w:sz w:val="20"/>
          <w:szCs w:val="20"/>
          <w:u w:val="single"/>
        </w:rPr>
        <w:t>w</w:t>
      </w:r>
      <w:r w:rsidRPr="0094275B">
        <w:rPr>
          <w:strike/>
          <w:color w:val="7030A0"/>
          <w:sz w:val="20"/>
          <w:szCs w:val="20"/>
          <w:u w:val="single"/>
        </w:rPr>
        <w:t>W</w:t>
      </w:r>
      <w:r w:rsidRPr="0094275B">
        <w:rPr>
          <w:color w:val="FF0000"/>
          <w:sz w:val="20"/>
          <w:szCs w:val="20"/>
          <w:u w:val="single"/>
        </w:rPr>
        <w:t>ithin</w:t>
      </w:r>
      <w:proofErr w:type="spellEnd"/>
      <w:r w:rsidRPr="0094275B">
        <w:rPr>
          <w:color w:val="FF0000"/>
          <w:sz w:val="20"/>
          <w:szCs w:val="20"/>
          <w:u w:val="single"/>
        </w:rPr>
        <w:t xml:space="preserve">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proofErr w:type="spellStart"/>
      <w:r w:rsidRPr="0094275B">
        <w:rPr>
          <w:i/>
          <w:strike/>
          <w:noProof/>
          <w:color w:val="7030A0"/>
          <w:sz w:val="20"/>
          <w:szCs w:val="20"/>
          <w:highlight w:val="yellow"/>
          <w:u w:val="single"/>
          <w:lang w:eastAsia="en-GB"/>
        </w:rPr>
        <w:t>MinSwitchSeparation</w:t>
      </w:r>
      <w:proofErr w:type="spellEnd"/>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a0"/>
        <w:rPr>
          <w:lang w:val="en-GB"/>
        </w:rPr>
      </w:pPr>
    </w:p>
    <w:p w14:paraId="5CC88A35" w14:textId="77777777" w:rsidR="0094275B" w:rsidRPr="00270A8F" w:rsidRDefault="0094275B" w:rsidP="0094275B">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1"/>
              <w:ind w:left="360"/>
              <w:rPr>
                <w:szCs w:val="20"/>
              </w:rPr>
            </w:pPr>
          </w:p>
          <w:p w14:paraId="12F105EB" w14:textId="59DCCC09" w:rsidR="00AF4C22" w:rsidRDefault="00AF4C22" w:rsidP="0040397B">
            <w:pPr>
              <w:pStyle w:val="1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70AC89C9" w:rsidR="0094275B" w:rsidRDefault="0082433E" w:rsidP="0040397B">
            <w:pPr>
              <w:rPr>
                <w:szCs w:val="20"/>
                <w:lang w:eastAsia="zh-CN"/>
              </w:rPr>
            </w:pPr>
            <w:r>
              <w:rPr>
                <w:rFonts w:hint="eastAsia"/>
                <w:szCs w:val="20"/>
                <w:lang w:eastAsia="zh-CN"/>
              </w:rPr>
              <w:t>v</w:t>
            </w:r>
            <w:r>
              <w:rPr>
                <w:szCs w:val="20"/>
                <w:lang w:eastAsia="zh-CN"/>
              </w:rPr>
              <w:t>ivo</w:t>
            </w:r>
          </w:p>
        </w:tc>
        <w:tc>
          <w:tcPr>
            <w:tcW w:w="8088" w:type="dxa"/>
          </w:tcPr>
          <w:p w14:paraId="3DA6AA51" w14:textId="7C5B71D1" w:rsidR="0094275B" w:rsidRDefault="0082433E" w:rsidP="0040397B">
            <w:pPr>
              <w:pStyle w:val="11"/>
              <w:ind w:left="0"/>
              <w:rPr>
                <w:szCs w:val="20"/>
                <w:lang w:eastAsia="zh-CN"/>
              </w:rPr>
            </w:pPr>
            <w:r>
              <w:rPr>
                <w:szCs w:val="20"/>
                <w:lang w:eastAsia="zh-CN"/>
              </w:rPr>
              <w:t>Same view as Apple. we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1"/>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1"/>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1"/>
              <w:ind w:left="0"/>
              <w:rPr>
                <w:szCs w:val="20"/>
              </w:rPr>
            </w:pPr>
          </w:p>
          <w:p w14:paraId="67C0458E" w14:textId="77777777" w:rsidR="004F4E2C" w:rsidRDefault="004F4E2C" w:rsidP="0040397B">
            <w:pPr>
              <w:pStyle w:val="11"/>
              <w:ind w:left="0"/>
              <w:rPr>
                <w:szCs w:val="20"/>
              </w:rPr>
            </w:pPr>
            <w:r>
              <w:rPr>
                <w:szCs w:val="20"/>
              </w:rPr>
              <w:t>On the topic, we are OK either way.</w:t>
            </w:r>
          </w:p>
          <w:p w14:paraId="6F106612" w14:textId="77777777" w:rsidR="004F4E2C" w:rsidRDefault="004F4E2C" w:rsidP="0040397B">
            <w:pPr>
              <w:pStyle w:val="11"/>
              <w:ind w:left="0"/>
              <w:rPr>
                <w:szCs w:val="20"/>
              </w:rPr>
            </w:pPr>
          </w:p>
          <w:p w14:paraId="65D0B156" w14:textId="2A29ADEC" w:rsidR="004F4E2C" w:rsidRDefault="004F4E2C" w:rsidP="0040397B">
            <w:pPr>
              <w:pStyle w:val="11"/>
              <w:ind w:left="0"/>
              <w:rPr>
                <w:szCs w:val="20"/>
              </w:rPr>
            </w:pPr>
            <w:r>
              <w:rPr>
                <w:szCs w:val="20"/>
              </w:rPr>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t>Z</w:t>
            </w:r>
            <w:r>
              <w:rPr>
                <w:szCs w:val="20"/>
                <w:lang w:eastAsia="zh-CN"/>
              </w:rPr>
              <w:t>TE</w:t>
            </w:r>
          </w:p>
        </w:tc>
        <w:tc>
          <w:tcPr>
            <w:tcW w:w="8088" w:type="dxa"/>
          </w:tcPr>
          <w:p w14:paraId="5C520300" w14:textId="77777777" w:rsidR="00877817" w:rsidRDefault="00877817" w:rsidP="00877817">
            <w:pPr>
              <w:pStyle w:val="11"/>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1"/>
              <w:ind w:left="0"/>
              <w:rPr>
                <w:szCs w:val="20"/>
              </w:rPr>
            </w:pPr>
            <w:r>
              <w:rPr>
                <w:rFonts w:hint="eastAsia"/>
                <w:szCs w:val="20"/>
                <w:lang w:eastAsia="zh-CN"/>
              </w:rPr>
              <w:t>A</w:t>
            </w:r>
            <w:r>
              <w:rPr>
                <w:szCs w:val="20"/>
                <w:lang w:eastAsia="zh-CN"/>
              </w:rPr>
              <w:t>lt.2 is in line with our understanding and we can support to go with Alt.2</w:t>
            </w:r>
          </w:p>
        </w:tc>
      </w:tr>
      <w:tr w:rsidR="0094275B" w14:paraId="17C51379" w14:textId="77777777" w:rsidTr="00FB4103">
        <w:trPr>
          <w:trHeight w:val="342"/>
        </w:trPr>
        <w:tc>
          <w:tcPr>
            <w:tcW w:w="1405" w:type="dxa"/>
          </w:tcPr>
          <w:p w14:paraId="29B312C3" w14:textId="77777777" w:rsidR="0094275B" w:rsidRDefault="0094275B" w:rsidP="0040397B">
            <w:pPr>
              <w:rPr>
                <w:szCs w:val="20"/>
              </w:rPr>
            </w:pPr>
          </w:p>
        </w:tc>
        <w:tc>
          <w:tcPr>
            <w:tcW w:w="8088" w:type="dxa"/>
          </w:tcPr>
          <w:p w14:paraId="55E39B2E" w14:textId="77777777" w:rsidR="0094275B" w:rsidRDefault="0094275B" w:rsidP="0040397B">
            <w:pPr>
              <w:pStyle w:val="11"/>
              <w:ind w:left="0"/>
              <w:rPr>
                <w:szCs w:val="20"/>
              </w:rPr>
            </w:pP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2"/>
      </w:pPr>
      <w:r>
        <w:t xml:space="preserve">Issue #3: </w:t>
      </w:r>
      <w:r w:rsidR="0094275B">
        <w:t>Same SCS definition for contiguous intra-band CA</w:t>
      </w:r>
      <w:r>
        <w:t>?</w:t>
      </w:r>
    </w:p>
    <w:p w14:paraId="7D7990F4" w14:textId="4349BC1A" w:rsidR="00270A8F" w:rsidRDefault="0094275B" w:rsidP="00270A8F">
      <w:pPr>
        <w:pStyle w:val="a0"/>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a0"/>
      </w:pPr>
    </w:p>
    <w:p w14:paraId="4412C766" w14:textId="709BC781" w:rsidR="0094275B" w:rsidRDefault="0094275B" w:rsidP="00270A8F">
      <w:pPr>
        <w:pStyle w:val="a0"/>
      </w:pPr>
      <w:r>
        <w:t>This was motivated by the following RAN1#112 conclusion:</w:t>
      </w:r>
    </w:p>
    <w:tbl>
      <w:tblPr>
        <w:tblStyle w:val="af3"/>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a0"/>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a0"/>
      </w:pPr>
    </w:p>
    <w:p w14:paraId="3BBACB7D" w14:textId="1A99F335" w:rsidR="00270A8F" w:rsidRDefault="005035CC" w:rsidP="00270A8F">
      <w:pPr>
        <w:pStyle w:val="a0"/>
      </w:pPr>
      <w:r>
        <w:rPr>
          <w:b/>
          <w:bCs/>
        </w:rPr>
        <w:t xml:space="preserve">Alt 1. </w:t>
      </w:r>
      <w:r>
        <w:t>Do not capture anything on the same SCS assumption to the specs</w:t>
      </w:r>
    </w:p>
    <w:p w14:paraId="1F1409C7" w14:textId="758E0122" w:rsidR="005035CC" w:rsidRDefault="005035CC" w:rsidP="00270A8F">
      <w:pPr>
        <w:pStyle w:val="a0"/>
      </w:pPr>
      <w:r>
        <w:rPr>
          <w:b/>
          <w:bCs/>
        </w:rPr>
        <w:t xml:space="preserve">Alt 2. </w:t>
      </w:r>
      <w:r>
        <w:t>Capture the suggested text to 38.214 subclause 6.1.6</w:t>
      </w:r>
    </w:p>
    <w:p w14:paraId="63CE643E" w14:textId="4C80936A" w:rsidR="005035CC" w:rsidRDefault="005035CC" w:rsidP="00270A8F">
      <w:pPr>
        <w:pStyle w:val="a0"/>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a0"/>
      </w:pPr>
    </w:p>
    <w:p w14:paraId="081D5527" w14:textId="77777777"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40397B">
            <w:pPr>
              <w:pStyle w:val="11"/>
              <w:ind w:left="36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1"/>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t>Nokia, NSB</w:t>
            </w:r>
          </w:p>
        </w:tc>
        <w:tc>
          <w:tcPr>
            <w:tcW w:w="8088" w:type="dxa"/>
          </w:tcPr>
          <w:p w14:paraId="11604A8A" w14:textId="5013AA10" w:rsidR="00270A8F" w:rsidRDefault="004F4E2C" w:rsidP="0040397B">
            <w:pPr>
              <w:pStyle w:val="11"/>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t>Z</w:t>
            </w:r>
            <w:r>
              <w:rPr>
                <w:szCs w:val="20"/>
                <w:lang w:eastAsia="zh-CN"/>
              </w:rPr>
              <w:t>TE</w:t>
            </w:r>
          </w:p>
        </w:tc>
        <w:tc>
          <w:tcPr>
            <w:tcW w:w="8088" w:type="dxa"/>
          </w:tcPr>
          <w:p w14:paraId="2FDF90A2" w14:textId="6F378A2E" w:rsidR="00877817" w:rsidRDefault="00877817" w:rsidP="00877817">
            <w:pPr>
              <w:pStyle w:val="11"/>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270A8F" w14:paraId="6FC343FF" w14:textId="77777777" w:rsidTr="00FB4103">
        <w:trPr>
          <w:trHeight w:val="342"/>
        </w:trPr>
        <w:tc>
          <w:tcPr>
            <w:tcW w:w="1405" w:type="dxa"/>
          </w:tcPr>
          <w:p w14:paraId="0D2DD422" w14:textId="77777777" w:rsidR="00270A8F" w:rsidRDefault="00270A8F" w:rsidP="0040397B">
            <w:pPr>
              <w:rPr>
                <w:szCs w:val="20"/>
              </w:rPr>
            </w:pPr>
          </w:p>
        </w:tc>
        <w:tc>
          <w:tcPr>
            <w:tcW w:w="8088" w:type="dxa"/>
          </w:tcPr>
          <w:p w14:paraId="322FD320" w14:textId="77777777" w:rsidR="00270A8F" w:rsidRDefault="00270A8F" w:rsidP="0040397B">
            <w:pPr>
              <w:pStyle w:val="11"/>
              <w:ind w:left="0"/>
              <w:rPr>
                <w:szCs w:val="20"/>
              </w:rPr>
            </w:pP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a0"/>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a0"/>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proofErr w:type="spellStart"/>
      <w:r w:rsidRPr="00FB4103">
        <w:rPr>
          <w:i/>
          <w:color w:val="FF0000"/>
          <w:highlight w:val="yellow"/>
          <w:u w:val="single"/>
          <w:lang w:eastAsia="zh-CN"/>
        </w:rPr>
        <w:t>uplinkTxSwitchingOptionForBandPair</w:t>
      </w:r>
      <w:proofErr w:type="spellEnd"/>
      <w:r w:rsidRPr="00FB4103">
        <w:rPr>
          <w:iCs/>
          <w:color w:val="FF0000"/>
          <w:u w:val="single"/>
          <w:lang w:eastAsia="zh-CN"/>
        </w:rPr>
        <w:t>] set to '</w:t>
      </w:r>
      <w:proofErr w:type="spellStart"/>
      <w:r w:rsidRPr="00FB4103">
        <w:rPr>
          <w:iCs/>
          <w:color w:val="FF0000"/>
          <w:u w:val="single"/>
          <w:lang w:eastAsia="zh-CN"/>
        </w:rPr>
        <w:t>dualUL</w:t>
      </w:r>
      <w:proofErr w:type="spellEnd"/>
      <w:r w:rsidRPr="00FB4103">
        <w:rPr>
          <w:iCs/>
          <w:color w:val="FF0000"/>
          <w:u w:val="single"/>
          <w:lang w:eastAsia="zh-CN"/>
        </w:rPr>
        <w:t>',</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1"/>
      <w:r w:rsidRPr="00FB4103">
        <w:rPr>
          <w:iCs/>
          <w:color w:val="FF0000"/>
          <w:szCs w:val="20"/>
          <w:u w:val="single"/>
          <w:lang w:eastAsia="zh-CN"/>
        </w:rPr>
        <w:t>When</w:t>
      </w:r>
      <w:commentRangeEnd w:id="11"/>
      <w:r w:rsidRPr="00FB4103">
        <w:rPr>
          <w:rStyle w:val="af6"/>
          <w:color w:val="FF0000"/>
          <w:sz w:val="20"/>
          <w:szCs w:val="20"/>
          <w:u w:val="single"/>
          <w:lang w:val="en-GB"/>
        </w:rPr>
        <w:commentReference w:id="11"/>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2"/>
      <w:r w:rsidRPr="00FB4103">
        <w:rPr>
          <w:iCs/>
          <w:color w:val="FF0000"/>
          <w:szCs w:val="20"/>
          <w:u w:val="single"/>
          <w:lang w:eastAsia="zh-CN"/>
        </w:rPr>
        <w:t>[</w:t>
      </w:r>
      <w:commentRangeEnd w:id="12"/>
      <w:r w:rsidRPr="00FB4103">
        <w:rPr>
          <w:rStyle w:val="af6"/>
          <w:color w:val="FF0000"/>
          <w:sz w:val="20"/>
          <w:szCs w:val="20"/>
          <w:u w:val="single"/>
          <w:lang w:val="en-GB"/>
        </w:rPr>
        <w:commentReference w:id="12"/>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3"/>
      <w:r w:rsidRPr="00FB4103">
        <w:rPr>
          <w:iCs/>
          <w:color w:val="FF0000"/>
          <w:szCs w:val="20"/>
          <w:u w:val="single"/>
          <w:lang w:eastAsia="zh-CN"/>
        </w:rPr>
        <w:t>[</w:t>
      </w:r>
      <w:commentRangeEnd w:id="13"/>
      <w:r w:rsidRPr="00FB4103">
        <w:rPr>
          <w:rStyle w:val="af6"/>
          <w:color w:val="FF0000"/>
          <w:sz w:val="20"/>
          <w:szCs w:val="20"/>
          <w:u w:val="single"/>
          <w:lang w:val="en-GB"/>
        </w:rPr>
        <w:commentReference w:id="13"/>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4"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4"/>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5"/>
      <w:r w:rsidRPr="00FB4103">
        <w:rPr>
          <w:iCs/>
          <w:color w:val="FF0000"/>
          <w:szCs w:val="20"/>
          <w:highlight w:val="yellow"/>
          <w:u w:val="single"/>
          <w:lang w:eastAsia="zh-CN"/>
        </w:rPr>
        <w:lastRenderedPageBreak/>
        <w:t>[</w:t>
      </w:r>
      <w:commentRangeEnd w:id="15"/>
      <w:r w:rsidRPr="00FB4103">
        <w:rPr>
          <w:rStyle w:val="af6"/>
          <w:color w:val="FF0000"/>
          <w:sz w:val="20"/>
          <w:szCs w:val="20"/>
          <w:highlight w:val="yellow"/>
          <w:u w:val="single"/>
          <w:lang w:val="en-GB"/>
        </w:rPr>
        <w:commentReference w:id="15"/>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proofErr w:type="spellStart"/>
      <w:r w:rsidRPr="00FB4103">
        <w:rPr>
          <w:i/>
          <w:iCs/>
          <w:color w:val="FF0000"/>
          <w:sz w:val="20"/>
          <w:szCs w:val="20"/>
          <w:highlight w:val="yellow"/>
          <w:u w:val="single"/>
          <w:lang w:eastAsia="zh-CN"/>
        </w:rPr>
        <w:t>uplinkTxSwitchingPeriod</w:t>
      </w:r>
      <w:proofErr w:type="spellEnd"/>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a0"/>
      </w:pPr>
    </w:p>
    <w:p w14:paraId="31C99277" w14:textId="77777777" w:rsidR="0094275B" w:rsidRPr="00270A8F" w:rsidRDefault="0094275B" w:rsidP="0094275B">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1"/>
              <w:ind w:left="360"/>
              <w:rPr>
                <w:szCs w:val="20"/>
              </w:rPr>
            </w:pPr>
            <w:r>
              <w:rPr>
                <w:szCs w:val="20"/>
              </w:rPr>
              <w:t>Between the first 2 bullets with square brackets, we prefer second one, i.e.:</w:t>
            </w:r>
          </w:p>
          <w:p w14:paraId="1306A4FC" w14:textId="77777777" w:rsidR="007E7C12" w:rsidRDefault="007E7C12" w:rsidP="007E7C12">
            <w:pPr>
              <w:pStyle w:val="11"/>
              <w:ind w:left="360"/>
              <w:rPr>
                <w:szCs w:val="20"/>
              </w:rPr>
            </w:pPr>
          </w:p>
          <w:p w14:paraId="4AE4B4B6" w14:textId="77777777" w:rsidR="007E7C12" w:rsidRDefault="007E7C12" w:rsidP="007E7C12">
            <w:pPr>
              <w:pStyle w:val="1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1"/>
              <w:ind w:left="360"/>
              <w:rPr>
                <w:iCs/>
                <w:color w:val="FF0000"/>
                <w:szCs w:val="20"/>
                <w:u w:val="single"/>
                <w:lang w:eastAsia="zh-CN"/>
              </w:rPr>
            </w:pPr>
          </w:p>
          <w:p w14:paraId="5BFEA24C" w14:textId="77777777" w:rsidR="007E7C12" w:rsidRDefault="007E7C12" w:rsidP="007E7C12">
            <w:pPr>
              <w:pStyle w:val="11"/>
              <w:ind w:left="360"/>
              <w:rPr>
                <w:szCs w:val="20"/>
              </w:rPr>
            </w:pPr>
          </w:p>
          <w:p w14:paraId="00870B2A" w14:textId="77777777" w:rsidR="007E7C12" w:rsidRDefault="007E7C12" w:rsidP="007E7C12">
            <w:pPr>
              <w:pStyle w:val="1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 xml:space="preserve">if UE is configured with </w:t>
            </w:r>
            <w:proofErr w:type="spellStart"/>
            <w:r w:rsidRPr="00B80F4A">
              <w:rPr>
                <w:b/>
                <w:bCs/>
                <w:i/>
                <w:iCs/>
                <w:color w:val="FF0000"/>
                <w:sz w:val="22"/>
                <w:szCs w:val="22"/>
                <w:lang w:eastAsia="zh-CN"/>
              </w:rPr>
              <w:t>uplinkTxSwitching-DualUL-TxState</w:t>
            </w:r>
            <w:proofErr w:type="spellEnd"/>
            <w:r w:rsidRPr="00B80F4A">
              <w:rPr>
                <w:b/>
                <w:bCs/>
                <w:i/>
                <w:iCs/>
                <w:color w:val="FF0000"/>
                <w:sz w:val="22"/>
                <w:szCs w:val="22"/>
                <w:lang w:eastAsia="zh-CN"/>
              </w:rPr>
              <w:t xml:space="preserve"> set to '</w:t>
            </w:r>
            <w:proofErr w:type="spellStart"/>
            <w:r w:rsidRPr="00B80F4A">
              <w:rPr>
                <w:b/>
                <w:bCs/>
                <w:i/>
                <w:iCs/>
                <w:color w:val="FF0000"/>
                <w:sz w:val="22"/>
                <w:szCs w:val="22"/>
                <w:lang w:eastAsia="zh-CN"/>
              </w:rPr>
              <w:t>oneT</w:t>
            </w:r>
            <w:proofErr w:type="spellEnd"/>
            <w:r w:rsidRPr="00B80F4A">
              <w:rPr>
                <w:b/>
                <w:bCs/>
                <w:i/>
                <w:iCs/>
                <w:color w:val="FF0000"/>
                <w:sz w:val="22"/>
                <w:szCs w:val="22"/>
                <w:lang w:eastAsia="zh-CN"/>
              </w:rPr>
              <w: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proofErr w:type="spellStart"/>
            <w:r w:rsidRPr="00B80F4A">
              <w:rPr>
                <w:b/>
                <w:bCs/>
                <w:i/>
                <w:iCs/>
                <w:color w:val="FF0000"/>
                <w:sz w:val="22"/>
                <w:szCs w:val="22"/>
                <w:highlight w:val="yellow"/>
                <w:lang w:eastAsia="zh-CN"/>
              </w:rPr>
              <w:t>uplinkTxSwitchingPeriod</w:t>
            </w:r>
            <w:proofErr w:type="spellEnd"/>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w:t>
            </w:r>
            <w:r w:rsidRPr="00B80F4A">
              <w:rPr>
                <w:b/>
                <w:bCs/>
                <w:i/>
                <w:iCs/>
                <w:color w:val="FF0000"/>
                <w:sz w:val="22"/>
                <w:szCs w:val="22"/>
              </w:rPr>
              <w:lastRenderedPageBreak/>
              <w:t>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lastRenderedPageBreak/>
              <w:t>v</w:t>
            </w:r>
            <w:r>
              <w:rPr>
                <w:szCs w:val="20"/>
                <w:lang w:eastAsia="zh-CN"/>
              </w:rPr>
              <w:t>ivo</w:t>
            </w:r>
          </w:p>
        </w:tc>
        <w:tc>
          <w:tcPr>
            <w:tcW w:w="8371" w:type="dxa"/>
          </w:tcPr>
          <w:p w14:paraId="2E0412FE" w14:textId="4DAFE385" w:rsidR="0082433E" w:rsidRDefault="0082433E" w:rsidP="0082433E">
            <w:pPr>
              <w:pStyle w:val="1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1"/>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proofErr w:type="spellStart"/>
            <w:r w:rsidRPr="00754A23">
              <w:rPr>
                <w:i/>
                <w:iCs/>
                <w:color w:val="FF0000"/>
                <w:szCs w:val="21"/>
                <w:lang w:eastAsia="zh-CN"/>
              </w:rPr>
              <w:t>uplinkTxSwitchingPeriod</w:t>
            </w:r>
            <w:proofErr w:type="spellEnd"/>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w:t>
            </w:r>
            <w:r w:rsidRPr="00FB4103">
              <w:rPr>
                <w:iCs/>
                <w:color w:val="FF0000"/>
                <w:szCs w:val="20"/>
                <w:u w:val="single"/>
                <w:lang w:eastAsia="zh-CN"/>
              </w:rPr>
              <w:lastRenderedPageBreak/>
              <w:t>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w:t>
            </w:r>
            <w:proofErr w:type="spellStart"/>
            <w:r w:rsidRPr="00DC602C">
              <w:rPr>
                <w:i/>
                <w:color w:val="00B050"/>
                <w:szCs w:val="20"/>
                <w:u w:val="single"/>
                <w:lang w:eastAsia="zh-CN"/>
              </w:rPr>
              <w:t>uplinkTxSwitchingPeriod</w:t>
            </w:r>
            <w:proofErr w:type="spellEnd"/>
            <w:r w:rsidRPr="00DC602C">
              <w:rPr>
                <w:i/>
                <w:color w:val="00B050"/>
                <w:szCs w:val="20"/>
                <w:u w:val="single"/>
                <w:lang w:eastAsia="zh-CN"/>
              </w:rPr>
              <w:t>]</w:t>
            </w:r>
            <w:r w:rsidRPr="00DC602C">
              <w:rPr>
                <w:iCs/>
                <w:color w:val="00B050"/>
                <w:szCs w:val="20"/>
                <w:u w:val="single"/>
                <w:lang w:eastAsia="zh-CN"/>
              </w:rPr>
              <w:t xml:space="preserve"> that UE indicates for the band pair {1st band, 3</w:t>
            </w:r>
            <w:proofErr w:type="gramStart"/>
            <w:r w:rsidRPr="00DC602C">
              <w:rPr>
                <w:iCs/>
                <w:color w:val="00B050"/>
                <w:szCs w:val="20"/>
                <w:u w:val="single"/>
                <w:lang w:eastAsia="zh-CN"/>
              </w:rPr>
              <w:t>rd  band</w:t>
            </w:r>
            <w:proofErr w:type="gramEnd"/>
            <w:r w:rsidRPr="00DC602C">
              <w:rPr>
                <w:iCs/>
                <w:color w:val="00B050"/>
                <w:szCs w:val="20"/>
                <w:u w:val="single"/>
                <w:lang w:eastAsia="zh-CN"/>
              </w:rPr>
              <w:t>},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1"/>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proofErr w:type="gramStart"/>
            <w:r w:rsidR="0047053F">
              <w:rPr>
                <w:szCs w:val="20"/>
                <w:lang w:eastAsia="zh-CN"/>
              </w:rPr>
              <w:t>“”</w:t>
            </w:r>
            <w:r w:rsidR="0047053F" w:rsidRPr="00FB4103">
              <w:rPr>
                <w:iCs/>
                <w:color w:val="FF0000"/>
                <w:szCs w:val="20"/>
                <w:u w:val="single"/>
                <w:lang w:eastAsia="zh-CN"/>
              </w:rPr>
              <w:t>UE</w:t>
            </w:r>
            <w:proofErr w:type="gramEnd"/>
            <w:r w:rsidR="0047053F" w:rsidRPr="00FB4103">
              <w:rPr>
                <w:iCs/>
                <w:color w:val="FF0000"/>
                <w:szCs w:val="20"/>
                <w:u w:val="single"/>
                <w:lang w:eastAsia="zh-CN"/>
              </w:rPr>
              <w:t xml:space="preserv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6" w:author="作者"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1"/>
              <w:ind w:left="0"/>
              <w:rPr>
                <w:szCs w:val="20"/>
                <w:lang w:eastAsia="zh-CN"/>
              </w:rPr>
            </w:pPr>
          </w:p>
          <w:tbl>
            <w:tblPr>
              <w:tblStyle w:val="af3"/>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等线" w:cs="Arial"/>
                      <w:sz w:val="24"/>
                      <w:lang w:val="en-GB" w:eastAsia="zh-CN"/>
                    </w:rPr>
                  </w:pPr>
                  <w:r w:rsidRPr="005D7256">
                    <w:rPr>
                      <w:rFonts w:eastAsia="等线" w:cs="Arial"/>
                      <w:sz w:val="24"/>
                      <w:lang w:val="en-GB" w:eastAsia="zh-CN"/>
                    </w:rPr>
                    <w:t>R4-2</w:t>
                  </w:r>
                  <w:r>
                    <w:rPr>
                      <w:rFonts w:eastAsia="等线"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1"/>
                    <w:ind w:left="0"/>
                    <w:rPr>
                      <w:szCs w:val="20"/>
                      <w:lang w:eastAsia="zh-CN"/>
                    </w:rPr>
                  </w:pPr>
                </w:p>
              </w:tc>
            </w:tr>
          </w:tbl>
          <w:p w14:paraId="715F4F19" w14:textId="77777777" w:rsidR="00FE4F44" w:rsidRDefault="00FE4F44" w:rsidP="0040397B">
            <w:pPr>
              <w:pStyle w:val="11"/>
              <w:ind w:left="0"/>
              <w:rPr>
                <w:szCs w:val="20"/>
                <w:lang w:eastAsia="zh-CN"/>
              </w:rPr>
            </w:pPr>
          </w:p>
          <w:p w14:paraId="3BCF4D60" w14:textId="1FD70469" w:rsidR="00FE4F44" w:rsidRDefault="00DB4305" w:rsidP="0040397B">
            <w:pPr>
              <w:pStyle w:val="11"/>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w:t>
            </w:r>
            <w:proofErr w:type="spellStart"/>
            <w:r w:rsidR="00D301E1">
              <w:rPr>
                <w:szCs w:val="20"/>
                <w:lang w:eastAsia="zh-CN"/>
              </w:rPr>
              <w:t>tens</w:t>
            </w:r>
            <w:proofErr w:type="spellEnd"/>
            <w:r w:rsidR="00D301E1">
              <w:rPr>
                <w:szCs w:val="20"/>
                <w:lang w:eastAsia="zh-CN"/>
              </w:rPr>
              <w:t xml:space="preserve">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7" w:author="作者"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1"/>
              <w:ind w:left="0"/>
              <w:rPr>
                <w:iCs/>
                <w:color w:val="FF0000"/>
                <w:szCs w:val="20"/>
                <w:u w:val="single"/>
                <w:lang w:eastAsia="zh-CN"/>
              </w:rPr>
            </w:pPr>
          </w:p>
          <w:p w14:paraId="0087BBC2" w14:textId="4471BBDD" w:rsidR="00327ABF" w:rsidRDefault="00327ABF" w:rsidP="0040397B">
            <w:pPr>
              <w:pStyle w:val="11"/>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1"/>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t>Z</w:t>
            </w:r>
            <w:r>
              <w:rPr>
                <w:szCs w:val="20"/>
                <w:lang w:eastAsia="zh-CN"/>
              </w:rPr>
              <w:t>TE</w:t>
            </w:r>
          </w:p>
        </w:tc>
        <w:tc>
          <w:tcPr>
            <w:tcW w:w="8371" w:type="dxa"/>
          </w:tcPr>
          <w:p w14:paraId="14D7CD00" w14:textId="77777777" w:rsidR="00877817" w:rsidRDefault="00877817" w:rsidP="00877817">
            <w:pPr>
              <w:pStyle w:val="11"/>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lastRenderedPageBreak/>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1"/>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proofErr w:type="spellStart"/>
            <w:r w:rsidRPr="00BD2CFA">
              <w:rPr>
                <w:i/>
                <w:iCs/>
                <w:color w:val="FF0000"/>
                <w:szCs w:val="20"/>
              </w:rPr>
              <w:t>DualUL-TxState</w:t>
            </w:r>
            <w:proofErr w:type="spellEnd"/>
            <w:r w:rsidRPr="00BD2CFA">
              <w:rPr>
                <w:color w:val="FF0000"/>
                <w:szCs w:val="20"/>
              </w:rPr>
              <w:t xml:space="preserve"> set to '</w:t>
            </w:r>
            <w:proofErr w:type="spellStart"/>
            <w:r w:rsidRPr="00BD2CFA">
              <w:rPr>
                <w:color w:val="FF0000"/>
                <w:szCs w:val="20"/>
              </w:rPr>
              <w:t>oneT</w:t>
            </w:r>
            <w:proofErr w:type="spellEnd"/>
            <w:r w:rsidRPr="00BD2CFA">
              <w:rPr>
                <w:color w:val="FF0000"/>
                <w:szCs w:val="20"/>
              </w:rPr>
              <w:t>',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proofErr w:type="spellStart"/>
            <w:r w:rsidRPr="00BD2CFA">
              <w:rPr>
                <w:i/>
                <w:iCs/>
                <w:color w:val="FF0000"/>
                <w:szCs w:val="20"/>
                <w:highlight w:val="yellow"/>
              </w:rPr>
              <w:t>AssociatedBand</w:t>
            </w:r>
            <w:proofErr w:type="spellEnd"/>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proofErr w:type="spellStart"/>
            <w:r w:rsidRPr="00BD2CFA">
              <w:rPr>
                <w:i/>
                <w:iCs/>
                <w:color w:val="FF0000"/>
                <w:sz w:val="20"/>
                <w:szCs w:val="20"/>
              </w:rPr>
              <w:t>uplinkTxSwitching-DualUL-TxState</w:t>
            </w:r>
            <w:proofErr w:type="spellEnd"/>
            <w:r w:rsidRPr="00BD2CFA">
              <w:rPr>
                <w:color w:val="FF0000"/>
                <w:sz w:val="20"/>
                <w:szCs w:val="20"/>
              </w:rPr>
              <w:t xml:space="preserve"> set to '</w:t>
            </w:r>
            <w:proofErr w:type="spellStart"/>
            <w:r w:rsidRPr="00BD2CFA">
              <w:rPr>
                <w:color w:val="FF0000"/>
                <w:sz w:val="20"/>
                <w:szCs w:val="20"/>
              </w:rPr>
              <w:t>oneT</w:t>
            </w:r>
            <w:proofErr w:type="spellEnd"/>
            <w:r w:rsidRPr="00BD2CFA">
              <w:rPr>
                <w:color w:val="FF0000"/>
                <w:sz w:val="20"/>
                <w:szCs w:val="20"/>
              </w:rPr>
              <w:t xml:space="preserve">', if a band in the band combination is not configured as </w:t>
            </w:r>
            <w:proofErr w:type="spellStart"/>
            <w:r w:rsidRPr="00BD2CFA">
              <w:rPr>
                <w:color w:val="FF0000"/>
                <w:sz w:val="20"/>
                <w:szCs w:val="20"/>
              </w:rPr>
              <w:t>dualUL</w:t>
            </w:r>
            <w:proofErr w:type="spellEnd"/>
            <w:r w:rsidRPr="00BD2CFA">
              <w:rPr>
                <w:color w:val="FF0000"/>
                <w:sz w:val="20"/>
                <w:szCs w:val="20"/>
              </w:rPr>
              <w:t xml:space="preserve"> for any band pair it belongs to, when the UE is to transmit a 1-port transmission on </w:t>
            </w:r>
            <w:proofErr w:type="gramStart"/>
            <w:r w:rsidRPr="00BD2CFA">
              <w:rPr>
                <w:color w:val="FF0000"/>
                <w:sz w:val="20"/>
                <w:szCs w:val="20"/>
              </w:rPr>
              <w:t>a  carrier</w:t>
            </w:r>
            <w:proofErr w:type="gramEnd"/>
            <w:r w:rsidRPr="00BD2CFA">
              <w:rPr>
                <w:color w:val="FF0000"/>
                <w:sz w:val="20"/>
                <w:szCs w:val="20"/>
              </w:rPr>
              <w:t xml:space="preserve">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宋体"/>
                <w:sz w:val="20"/>
                <w:szCs w:val="20"/>
                <w:lang w:eastAsia="zh-CN"/>
              </w:rPr>
            </w:pPr>
            <w:r>
              <w:rPr>
                <w:rFonts w:eastAsia="宋体"/>
                <w:sz w:val="20"/>
                <w:szCs w:val="20"/>
                <w:lang w:eastAsia="zh-CN"/>
              </w:rPr>
              <w:t>To summary</w:t>
            </w:r>
            <w:r w:rsidRPr="00BD2CFA">
              <w:rPr>
                <w:rFonts w:eastAsia="宋体"/>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46DE22D"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708C7524" w14:textId="77777777" w:rsidR="00877817" w:rsidRDefault="00877817" w:rsidP="00877817">
            <w:pPr>
              <w:pStyle w:val="11"/>
              <w:ind w:left="0"/>
              <w:rPr>
                <w:szCs w:val="20"/>
              </w:rPr>
            </w:pPr>
          </w:p>
        </w:tc>
      </w:tr>
      <w:tr w:rsidR="0094275B" w14:paraId="29556EA2" w14:textId="77777777" w:rsidTr="00FB4103">
        <w:trPr>
          <w:trHeight w:val="342"/>
        </w:trPr>
        <w:tc>
          <w:tcPr>
            <w:tcW w:w="1405" w:type="dxa"/>
          </w:tcPr>
          <w:p w14:paraId="07F723B3" w14:textId="77777777" w:rsidR="0094275B" w:rsidRDefault="0094275B" w:rsidP="0040397B">
            <w:pPr>
              <w:rPr>
                <w:szCs w:val="20"/>
              </w:rPr>
            </w:pPr>
          </w:p>
        </w:tc>
        <w:tc>
          <w:tcPr>
            <w:tcW w:w="8371" w:type="dxa"/>
          </w:tcPr>
          <w:p w14:paraId="2F213E07" w14:textId="77777777" w:rsidR="0094275B" w:rsidRDefault="0094275B" w:rsidP="0040397B">
            <w:pPr>
              <w:pStyle w:val="11"/>
              <w:ind w:left="0"/>
              <w:rPr>
                <w:szCs w:val="20"/>
              </w:rPr>
            </w:pP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1"/>
              <w:ind w:left="0"/>
              <w:rPr>
                <w:szCs w:val="20"/>
              </w:rPr>
            </w:pPr>
          </w:p>
        </w:tc>
      </w:tr>
    </w:tbl>
    <w:p w14:paraId="7092C272" w14:textId="77777777" w:rsidR="0094275B" w:rsidRDefault="0094275B" w:rsidP="0094275B">
      <w:pPr>
        <w:rPr>
          <w:lang w:eastAsia="x-none"/>
        </w:rPr>
      </w:pPr>
    </w:p>
    <w:p w14:paraId="11BE94AD" w14:textId="3A6A4E93" w:rsidR="005035CC" w:rsidRDefault="005035CC" w:rsidP="005035CC">
      <w:pPr>
        <w:pStyle w:val="2"/>
      </w:pPr>
      <w:r>
        <w:t>Issue #5: Any other critical issue?</w:t>
      </w:r>
    </w:p>
    <w:p w14:paraId="421DD1F2" w14:textId="19179B39" w:rsidR="005035CC" w:rsidRDefault="00FB4103" w:rsidP="005035CC">
      <w:pPr>
        <w:pStyle w:val="a0"/>
      </w:pPr>
      <w:r>
        <w:t>Any other critical issues needing a resolution for RAN1 to be able to endorse the draft CR?</w:t>
      </w:r>
    </w:p>
    <w:p w14:paraId="0D0C01C4" w14:textId="77777777" w:rsidR="005035CC" w:rsidRPr="00270A8F" w:rsidRDefault="005035CC" w:rsidP="005035CC">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60AB682E" w14:textId="16B9529B" w:rsidR="005035CC" w:rsidRDefault="001842F5" w:rsidP="001842F5">
            <w:pPr>
              <w:pStyle w:val="11"/>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af7"/>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i.e. A+B-&gt;A+C </w:t>
            </w:r>
          </w:p>
          <w:p w14:paraId="497EF093" w14:textId="134A1B58" w:rsidR="00AC4B28" w:rsidRPr="002E673F" w:rsidRDefault="002E673F" w:rsidP="004B4297">
            <w:pPr>
              <w:pStyle w:val="af7"/>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(i.e. B-&gt;C)</w:t>
            </w:r>
          </w:p>
          <w:p w14:paraId="29A648E9" w14:textId="6087B54E" w:rsidR="00BA1EE8" w:rsidRDefault="00BA1EE8" w:rsidP="001842F5">
            <w:pPr>
              <w:pStyle w:val="11"/>
              <w:ind w:left="0"/>
              <w:rPr>
                <w:szCs w:val="20"/>
                <w:lang w:eastAsia="zh-CN"/>
              </w:rPr>
            </w:pPr>
          </w:p>
        </w:tc>
      </w:tr>
      <w:tr w:rsidR="005035CC" w14:paraId="646553DD" w14:textId="77777777" w:rsidTr="00FB4103">
        <w:trPr>
          <w:trHeight w:val="342"/>
        </w:trPr>
        <w:tc>
          <w:tcPr>
            <w:tcW w:w="1405" w:type="dxa"/>
          </w:tcPr>
          <w:p w14:paraId="3D658F77" w14:textId="77777777" w:rsidR="005035CC" w:rsidRDefault="005035CC" w:rsidP="0040397B">
            <w:pPr>
              <w:rPr>
                <w:szCs w:val="20"/>
              </w:rPr>
            </w:pPr>
          </w:p>
        </w:tc>
        <w:tc>
          <w:tcPr>
            <w:tcW w:w="8371" w:type="dxa"/>
          </w:tcPr>
          <w:p w14:paraId="7C3DA80F" w14:textId="77777777" w:rsidR="005035CC" w:rsidRDefault="005035CC" w:rsidP="0040397B">
            <w:pPr>
              <w:pStyle w:val="11"/>
              <w:ind w:left="0"/>
              <w:rPr>
                <w:szCs w:val="20"/>
              </w:rPr>
            </w:pPr>
          </w:p>
        </w:tc>
      </w:tr>
      <w:tr w:rsidR="005035CC" w14:paraId="44EAFEB2" w14:textId="77777777" w:rsidTr="00FB4103">
        <w:trPr>
          <w:trHeight w:val="342"/>
        </w:trPr>
        <w:tc>
          <w:tcPr>
            <w:tcW w:w="1405" w:type="dxa"/>
          </w:tcPr>
          <w:p w14:paraId="1E4F2E69" w14:textId="77777777" w:rsidR="005035CC" w:rsidRDefault="005035CC" w:rsidP="0040397B">
            <w:pPr>
              <w:rPr>
                <w:szCs w:val="20"/>
              </w:rPr>
            </w:pPr>
          </w:p>
        </w:tc>
        <w:tc>
          <w:tcPr>
            <w:tcW w:w="8371" w:type="dxa"/>
          </w:tcPr>
          <w:p w14:paraId="5EB445EA" w14:textId="77777777" w:rsidR="005035CC" w:rsidRDefault="005035CC" w:rsidP="0040397B">
            <w:pPr>
              <w:pStyle w:val="11"/>
              <w:ind w:left="0"/>
              <w:rPr>
                <w:szCs w:val="20"/>
              </w:rPr>
            </w:pPr>
          </w:p>
        </w:tc>
      </w:tr>
      <w:tr w:rsidR="005035CC" w14:paraId="00B4968C" w14:textId="77777777" w:rsidTr="00FB4103">
        <w:trPr>
          <w:trHeight w:val="342"/>
        </w:trPr>
        <w:tc>
          <w:tcPr>
            <w:tcW w:w="1405" w:type="dxa"/>
          </w:tcPr>
          <w:p w14:paraId="0639C098" w14:textId="77777777" w:rsidR="005035CC" w:rsidRDefault="005035CC" w:rsidP="0040397B">
            <w:pPr>
              <w:rPr>
                <w:szCs w:val="20"/>
              </w:rPr>
            </w:pPr>
          </w:p>
        </w:tc>
        <w:tc>
          <w:tcPr>
            <w:tcW w:w="8371" w:type="dxa"/>
          </w:tcPr>
          <w:p w14:paraId="709E3718" w14:textId="77777777" w:rsidR="005035CC" w:rsidRDefault="005035CC" w:rsidP="0040397B">
            <w:pPr>
              <w:pStyle w:val="11"/>
              <w:ind w:left="0"/>
              <w:rPr>
                <w:szCs w:val="20"/>
              </w:rPr>
            </w:pPr>
          </w:p>
        </w:tc>
      </w:tr>
      <w:tr w:rsidR="005035CC" w14:paraId="38C45597" w14:textId="77777777" w:rsidTr="00FB4103">
        <w:trPr>
          <w:trHeight w:val="342"/>
        </w:trPr>
        <w:tc>
          <w:tcPr>
            <w:tcW w:w="1405" w:type="dxa"/>
          </w:tcPr>
          <w:p w14:paraId="2B003208" w14:textId="77777777" w:rsidR="005035CC" w:rsidRDefault="005035CC" w:rsidP="0040397B">
            <w:pPr>
              <w:rPr>
                <w:szCs w:val="20"/>
              </w:rPr>
            </w:pPr>
          </w:p>
        </w:tc>
        <w:tc>
          <w:tcPr>
            <w:tcW w:w="8371" w:type="dxa"/>
          </w:tcPr>
          <w:p w14:paraId="418C2716" w14:textId="77777777" w:rsidR="005035CC" w:rsidRDefault="005035CC" w:rsidP="0040397B">
            <w:pPr>
              <w:pStyle w:val="11"/>
              <w:ind w:left="0"/>
              <w:rPr>
                <w:szCs w:val="20"/>
              </w:rPr>
            </w:pPr>
          </w:p>
        </w:tc>
      </w:tr>
      <w:tr w:rsidR="005035CC" w14:paraId="35495195" w14:textId="77777777" w:rsidTr="00FB4103">
        <w:trPr>
          <w:trHeight w:val="342"/>
        </w:trPr>
        <w:tc>
          <w:tcPr>
            <w:tcW w:w="1405" w:type="dxa"/>
          </w:tcPr>
          <w:p w14:paraId="5F1454E0" w14:textId="77777777" w:rsidR="005035CC" w:rsidRDefault="005035CC" w:rsidP="0040397B">
            <w:pPr>
              <w:rPr>
                <w:szCs w:val="20"/>
              </w:rPr>
            </w:pPr>
          </w:p>
        </w:tc>
        <w:tc>
          <w:tcPr>
            <w:tcW w:w="8371" w:type="dxa"/>
          </w:tcPr>
          <w:p w14:paraId="2A08F91B" w14:textId="77777777" w:rsidR="005035CC" w:rsidRDefault="005035CC" w:rsidP="0040397B">
            <w:pPr>
              <w:pStyle w:val="11"/>
              <w:ind w:left="0"/>
              <w:rPr>
                <w:szCs w:val="20"/>
              </w:rPr>
            </w:pP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作者" w:date="2023-04-24T15:20:00Z" w:initials="A">
    <w:p w14:paraId="5AF1A1E9" w14:textId="77777777" w:rsidR="00FB4103" w:rsidRDefault="00FB4103" w:rsidP="00FB4103">
      <w:pPr>
        <w:pStyle w:val="a7"/>
      </w:pPr>
      <w:r>
        <w:rPr>
          <w:rStyle w:val="af6"/>
        </w:rPr>
        <w:annotationRef/>
      </w:r>
      <w:r>
        <w:t>4 bullets based on ZTE round #2 comment</w:t>
      </w:r>
    </w:p>
  </w:comment>
  <w:comment w:id="12" w:author="作者" w:date="2023-04-26T16:18:00Z" w:initials="A">
    <w:p w14:paraId="02DD4E9A" w14:textId="77777777" w:rsidR="00FB4103" w:rsidRDefault="00FB4103" w:rsidP="00FB4103">
      <w:pPr>
        <w:pStyle w:val="a7"/>
      </w:pPr>
      <w:r>
        <w:rPr>
          <w:rStyle w:val="af6"/>
        </w:rPr>
        <w:annotationRef/>
      </w:r>
      <w:r>
        <w:t>Alternative bullet to the next one that was proposed on the last round. Merging maybe needed</w:t>
      </w:r>
    </w:p>
  </w:comment>
  <w:comment w:id="13" w:author="作者" w:date="2023-04-26T16:20:00Z" w:initials="A">
    <w:p w14:paraId="7F1D0D15" w14:textId="77777777" w:rsidR="00FB4103" w:rsidRDefault="00FB4103" w:rsidP="00FB4103">
      <w:pPr>
        <w:pStyle w:val="a7"/>
      </w:pPr>
      <w:r>
        <w:rPr>
          <w:rStyle w:val="af6"/>
        </w:rPr>
        <w:annotationRef/>
      </w:r>
      <w:r>
        <w:t>Alternative bullet to the one above from CTC implemented on the last round. Work maybe needed to merge these two bullets. Hence square-brakceted)</w:t>
      </w:r>
    </w:p>
  </w:comment>
  <w:comment w:id="15" w:author="作者" w:date="2023-04-26T16:01:00Z" w:initials="A">
    <w:p w14:paraId="188BE61B" w14:textId="77777777" w:rsidR="00FB4103" w:rsidRDefault="00FB4103" w:rsidP="00FB4103">
      <w:pPr>
        <w:pStyle w:val="a7"/>
      </w:pPr>
      <w:r>
        <w:rPr>
          <w:rStyle w:val="af6"/>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FBB5" w14:textId="77777777" w:rsidR="00C540C5" w:rsidRDefault="00C540C5" w:rsidP="000B1C68">
      <w:r>
        <w:separator/>
      </w:r>
    </w:p>
  </w:endnote>
  <w:endnote w:type="continuationSeparator" w:id="0">
    <w:p w14:paraId="4A1341E2" w14:textId="77777777" w:rsidR="00C540C5" w:rsidRDefault="00C540C5"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auto"/>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A00002FF" w:usb1="28CFFCFA"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26F4" w14:textId="77777777" w:rsidR="00C540C5" w:rsidRDefault="00C540C5" w:rsidP="000B1C68">
      <w:r>
        <w:separator/>
      </w:r>
    </w:p>
  </w:footnote>
  <w:footnote w:type="continuationSeparator" w:id="0">
    <w:p w14:paraId="3878F4DE" w14:textId="77777777" w:rsidR="00C540C5" w:rsidRDefault="00C540C5"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1417702836">
    <w:abstractNumId w:val="15"/>
  </w:num>
  <w:num w:numId="2" w16cid:durableId="1909997163">
    <w:abstractNumId w:val="0"/>
  </w:num>
  <w:num w:numId="3" w16cid:durableId="219293996">
    <w:abstractNumId w:val="13"/>
  </w:num>
  <w:num w:numId="4" w16cid:durableId="197201074">
    <w:abstractNumId w:val="7"/>
  </w:num>
  <w:num w:numId="5" w16cid:durableId="1132135069">
    <w:abstractNumId w:val="5"/>
  </w:num>
  <w:num w:numId="6" w16cid:durableId="83040236">
    <w:abstractNumId w:val="4"/>
  </w:num>
  <w:num w:numId="7" w16cid:durableId="121313882">
    <w:abstractNumId w:val="14"/>
  </w:num>
  <w:num w:numId="8" w16cid:durableId="2118285403">
    <w:abstractNumId w:val="1"/>
  </w:num>
  <w:num w:numId="9" w16cid:durableId="1775788142">
    <w:abstractNumId w:val="11"/>
  </w:num>
  <w:num w:numId="10" w16cid:durableId="1977828411">
    <w:abstractNumId w:val="6"/>
  </w:num>
  <w:num w:numId="11" w16cid:durableId="60102843">
    <w:abstractNumId w:val="3"/>
  </w:num>
  <w:num w:numId="12" w16cid:durableId="1502233634">
    <w:abstractNumId w:val="9"/>
  </w:num>
  <w:num w:numId="13" w16cid:durableId="1162743214">
    <w:abstractNumId w:val="12"/>
  </w:num>
  <w:num w:numId="14" w16cid:durableId="2095928388">
    <w:abstractNumId w:val="8"/>
  </w:num>
  <w:num w:numId="15" w16cid:durableId="640187348">
    <w:abstractNumId w:val="10"/>
  </w:num>
  <w:num w:numId="16" w16cid:durableId="136697746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37C35"/>
    <w:rsid w:val="00040C23"/>
    <w:rsid w:val="00043579"/>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30BF"/>
    <w:rsid w:val="000E7B6F"/>
    <w:rsid w:val="000F0708"/>
    <w:rsid w:val="000F2824"/>
    <w:rsid w:val="000F2EA5"/>
    <w:rsid w:val="00100F46"/>
    <w:rsid w:val="00101EBF"/>
    <w:rsid w:val="00106665"/>
    <w:rsid w:val="00107C2F"/>
    <w:rsid w:val="001100B8"/>
    <w:rsid w:val="00115FE3"/>
    <w:rsid w:val="001235A5"/>
    <w:rsid w:val="00124EB6"/>
    <w:rsid w:val="001372E8"/>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C11B1"/>
    <w:rsid w:val="001D38EB"/>
    <w:rsid w:val="001D7B1E"/>
    <w:rsid w:val="001E16FD"/>
    <w:rsid w:val="001E2FED"/>
    <w:rsid w:val="001E5AFE"/>
    <w:rsid w:val="001E5EFB"/>
    <w:rsid w:val="001F5876"/>
    <w:rsid w:val="001F6236"/>
    <w:rsid w:val="002023FE"/>
    <w:rsid w:val="00207DA5"/>
    <w:rsid w:val="0023339D"/>
    <w:rsid w:val="00234F89"/>
    <w:rsid w:val="002356F2"/>
    <w:rsid w:val="0024249A"/>
    <w:rsid w:val="00245781"/>
    <w:rsid w:val="002553B4"/>
    <w:rsid w:val="00262FC3"/>
    <w:rsid w:val="00266FBA"/>
    <w:rsid w:val="002701E7"/>
    <w:rsid w:val="00270A8F"/>
    <w:rsid w:val="0028065B"/>
    <w:rsid w:val="002838D3"/>
    <w:rsid w:val="002853DB"/>
    <w:rsid w:val="00286B6D"/>
    <w:rsid w:val="002924D2"/>
    <w:rsid w:val="00292B56"/>
    <w:rsid w:val="00293525"/>
    <w:rsid w:val="0029378A"/>
    <w:rsid w:val="002A5616"/>
    <w:rsid w:val="002B0DDD"/>
    <w:rsid w:val="002B59EF"/>
    <w:rsid w:val="002B5BCD"/>
    <w:rsid w:val="002C478D"/>
    <w:rsid w:val="002D160B"/>
    <w:rsid w:val="002D263D"/>
    <w:rsid w:val="002D6614"/>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1477"/>
    <w:rsid w:val="00452212"/>
    <w:rsid w:val="0045515E"/>
    <w:rsid w:val="00462A3E"/>
    <w:rsid w:val="00462E49"/>
    <w:rsid w:val="0047053F"/>
    <w:rsid w:val="00470E27"/>
    <w:rsid w:val="0047308B"/>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1EB2"/>
    <w:rsid w:val="004D257E"/>
    <w:rsid w:val="004D7FE0"/>
    <w:rsid w:val="004F0CF5"/>
    <w:rsid w:val="004F430F"/>
    <w:rsid w:val="004F4E2C"/>
    <w:rsid w:val="005035CC"/>
    <w:rsid w:val="00504A5D"/>
    <w:rsid w:val="005053EA"/>
    <w:rsid w:val="00505623"/>
    <w:rsid w:val="00511208"/>
    <w:rsid w:val="00513D35"/>
    <w:rsid w:val="005164F1"/>
    <w:rsid w:val="0052140E"/>
    <w:rsid w:val="0052442D"/>
    <w:rsid w:val="0052454A"/>
    <w:rsid w:val="0053186E"/>
    <w:rsid w:val="00533525"/>
    <w:rsid w:val="00535267"/>
    <w:rsid w:val="00535B24"/>
    <w:rsid w:val="00543DC6"/>
    <w:rsid w:val="00544261"/>
    <w:rsid w:val="005514B5"/>
    <w:rsid w:val="00553E1C"/>
    <w:rsid w:val="00553EB5"/>
    <w:rsid w:val="00556934"/>
    <w:rsid w:val="00562B63"/>
    <w:rsid w:val="00566B18"/>
    <w:rsid w:val="00571275"/>
    <w:rsid w:val="005744A9"/>
    <w:rsid w:val="00575C70"/>
    <w:rsid w:val="00576A1A"/>
    <w:rsid w:val="00577008"/>
    <w:rsid w:val="00577BF5"/>
    <w:rsid w:val="005838EA"/>
    <w:rsid w:val="0058427A"/>
    <w:rsid w:val="00585773"/>
    <w:rsid w:val="005A0308"/>
    <w:rsid w:val="005A1F58"/>
    <w:rsid w:val="005A2B57"/>
    <w:rsid w:val="005B34E7"/>
    <w:rsid w:val="005C1555"/>
    <w:rsid w:val="005C4C4F"/>
    <w:rsid w:val="005C579E"/>
    <w:rsid w:val="005C77FC"/>
    <w:rsid w:val="005D04D6"/>
    <w:rsid w:val="005D1F07"/>
    <w:rsid w:val="005D316F"/>
    <w:rsid w:val="005E000D"/>
    <w:rsid w:val="00603193"/>
    <w:rsid w:val="00614513"/>
    <w:rsid w:val="00622ED8"/>
    <w:rsid w:val="006249FD"/>
    <w:rsid w:val="0062598A"/>
    <w:rsid w:val="0063517D"/>
    <w:rsid w:val="00635437"/>
    <w:rsid w:val="00663A2A"/>
    <w:rsid w:val="00666BD1"/>
    <w:rsid w:val="0067060A"/>
    <w:rsid w:val="00672D94"/>
    <w:rsid w:val="00674629"/>
    <w:rsid w:val="00676F84"/>
    <w:rsid w:val="006804CC"/>
    <w:rsid w:val="00681CC0"/>
    <w:rsid w:val="006840DD"/>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0A5B"/>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E6981"/>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7817"/>
    <w:rsid w:val="008936A5"/>
    <w:rsid w:val="00896408"/>
    <w:rsid w:val="008A0342"/>
    <w:rsid w:val="008A1761"/>
    <w:rsid w:val="008A3FAD"/>
    <w:rsid w:val="008A42A7"/>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60A1B"/>
    <w:rsid w:val="009728BA"/>
    <w:rsid w:val="009740DC"/>
    <w:rsid w:val="00975928"/>
    <w:rsid w:val="009770FF"/>
    <w:rsid w:val="00977DCA"/>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560E"/>
    <w:rsid w:val="009C6592"/>
    <w:rsid w:val="009C6869"/>
    <w:rsid w:val="009D0D08"/>
    <w:rsid w:val="009D433A"/>
    <w:rsid w:val="009E25DD"/>
    <w:rsid w:val="009E46CD"/>
    <w:rsid w:val="009E5339"/>
    <w:rsid w:val="009F1183"/>
    <w:rsid w:val="009F3686"/>
    <w:rsid w:val="009F731D"/>
    <w:rsid w:val="009F787C"/>
    <w:rsid w:val="009F7D8C"/>
    <w:rsid w:val="00A00AFA"/>
    <w:rsid w:val="00A02003"/>
    <w:rsid w:val="00A3315E"/>
    <w:rsid w:val="00A33CD1"/>
    <w:rsid w:val="00A42CFD"/>
    <w:rsid w:val="00A50792"/>
    <w:rsid w:val="00A567A6"/>
    <w:rsid w:val="00A57F10"/>
    <w:rsid w:val="00A6097D"/>
    <w:rsid w:val="00A6549D"/>
    <w:rsid w:val="00A84885"/>
    <w:rsid w:val="00A85FCC"/>
    <w:rsid w:val="00A86FE6"/>
    <w:rsid w:val="00A92581"/>
    <w:rsid w:val="00A94B2E"/>
    <w:rsid w:val="00A94EB9"/>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7B8C"/>
    <w:rsid w:val="00B14B1F"/>
    <w:rsid w:val="00B14E92"/>
    <w:rsid w:val="00B14F3F"/>
    <w:rsid w:val="00B1604D"/>
    <w:rsid w:val="00B167AB"/>
    <w:rsid w:val="00B17737"/>
    <w:rsid w:val="00B27481"/>
    <w:rsid w:val="00B30D5D"/>
    <w:rsid w:val="00B32A5A"/>
    <w:rsid w:val="00B368D9"/>
    <w:rsid w:val="00B37583"/>
    <w:rsid w:val="00B40AB0"/>
    <w:rsid w:val="00B45F1D"/>
    <w:rsid w:val="00B5007A"/>
    <w:rsid w:val="00B506BA"/>
    <w:rsid w:val="00B53811"/>
    <w:rsid w:val="00B610B5"/>
    <w:rsid w:val="00B647E0"/>
    <w:rsid w:val="00B67355"/>
    <w:rsid w:val="00B715F8"/>
    <w:rsid w:val="00B7205F"/>
    <w:rsid w:val="00B72FED"/>
    <w:rsid w:val="00B7456A"/>
    <w:rsid w:val="00B7629B"/>
    <w:rsid w:val="00B80CAE"/>
    <w:rsid w:val="00B90EA5"/>
    <w:rsid w:val="00B92702"/>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35309"/>
    <w:rsid w:val="00C35F8F"/>
    <w:rsid w:val="00C376A4"/>
    <w:rsid w:val="00C43611"/>
    <w:rsid w:val="00C43A6C"/>
    <w:rsid w:val="00C50F5F"/>
    <w:rsid w:val="00C52E9F"/>
    <w:rsid w:val="00C540C5"/>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20A01"/>
    <w:rsid w:val="00D213F0"/>
    <w:rsid w:val="00D26016"/>
    <w:rsid w:val="00D26541"/>
    <w:rsid w:val="00D301E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A5BB7"/>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E05681"/>
    <w:rsid w:val="00E10C1F"/>
    <w:rsid w:val="00E17223"/>
    <w:rsid w:val="00E20E32"/>
    <w:rsid w:val="00E2157C"/>
    <w:rsid w:val="00E23809"/>
    <w:rsid w:val="00E25B87"/>
    <w:rsid w:val="00E30C81"/>
    <w:rsid w:val="00E31890"/>
    <w:rsid w:val="00E33BAF"/>
    <w:rsid w:val="00E34104"/>
    <w:rsid w:val="00E35A6D"/>
    <w:rsid w:val="00E35E76"/>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A59E3"/>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618E"/>
    <w:rsid w:val="00F2163F"/>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0"/>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2">
    <w:name w:val="heading 2"/>
    <w:aliases w:val="H2,h2,DO NOT USE_h2,h21,Heading 2 3GPP"/>
    <w:basedOn w:val="a"/>
    <w:next w:val="a0"/>
    <w:link w:val="20"/>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3">
    <w:name w:val="heading 3"/>
    <w:aliases w:val="Heading 3 3GPP"/>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0"/>
    <w:qFormat/>
    <w:rsid w:val="00270A8F"/>
    <w:pPr>
      <w:numPr>
        <w:ilvl w:val="0"/>
        <w:numId w:val="0"/>
      </w:numPr>
      <w:tabs>
        <w:tab w:val="clear" w:pos="2835"/>
      </w:tabs>
      <w:ind w:left="1152" w:hanging="1152"/>
      <w:outlineLvl w:val="5"/>
    </w:pPr>
  </w:style>
  <w:style w:type="paragraph" w:styleId="7">
    <w:name w:val="heading 7"/>
    <w:basedOn w:val="H6"/>
    <w:next w:val="a"/>
    <w:link w:val="70"/>
    <w:qFormat/>
    <w:rsid w:val="00270A8F"/>
    <w:pPr>
      <w:numPr>
        <w:ilvl w:val="0"/>
        <w:numId w:val="0"/>
      </w:numPr>
      <w:tabs>
        <w:tab w:val="clear" w:pos="2835"/>
      </w:tabs>
      <w:ind w:left="1296" w:hanging="1296"/>
      <w:outlineLvl w:val="6"/>
    </w:pPr>
  </w:style>
  <w:style w:type="paragraph" w:styleId="8">
    <w:name w:val="heading 8"/>
    <w:basedOn w:val="1"/>
    <w:next w:val="a"/>
    <w:link w:val="80"/>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宋体" w:hAnsi="Arial" w:cs="Times New Roman"/>
      <w:b w:val="0"/>
      <w:bCs w:val="0"/>
      <w:kern w:val="0"/>
      <w:sz w:val="36"/>
      <w:szCs w:val="20"/>
      <w:lang w:val="en-GB"/>
    </w:rPr>
  </w:style>
  <w:style w:type="paragraph" w:styleId="9">
    <w:name w:val="heading 9"/>
    <w:basedOn w:val="8"/>
    <w:next w:val="a"/>
    <w:link w:val="90"/>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a5">
    <w:name w:val="caption"/>
    <w:basedOn w:val="a"/>
    <w:next w:val="a"/>
    <w:link w:val="a6"/>
    <w:unhideWhenUsed/>
    <w:qFormat/>
    <w:pPr>
      <w:spacing w:after="200"/>
    </w:pPr>
    <w:rPr>
      <w:iCs/>
      <w:sz w:val="18"/>
      <w:szCs w:val="18"/>
    </w:rPr>
  </w:style>
  <w:style w:type="paragraph" w:styleId="a7">
    <w:name w:val="annotation text"/>
    <w:basedOn w:val="a"/>
    <w:link w:val="a8"/>
    <w:unhideWhenUsed/>
    <w:qFormat/>
    <w:rPr>
      <w:szCs w:val="20"/>
    </w:rPr>
  </w:style>
  <w:style w:type="paragraph" w:styleId="a9">
    <w:name w:val="Balloon Text"/>
    <w:basedOn w:val="a"/>
    <w:link w:val="aa"/>
    <w:uiPriority w:val="99"/>
    <w:unhideWhenUsed/>
    <w:rPr>
      <w:rFonts w:ascii="Arial" w:hAnsi="Arial" w:cs="Arial"/>
      <w:sz w:val="18"/>
      <w:szCs w:val="18"/>
    </w:rPr>
  </w:style>
  <w:style w:type="paragraph" w:styleId="ab">
    <w:name w:val="footer"/>
    <w:basedOn w:val="a"/>
    <w:link w:val="ac"/>
    <w:uiPriority w:val="99"/>
    <w:unhideWhenUsed/>
    <w:qFormat/>
    <w:pPr>
      <w:tabs>
        <w:tab w:val="center" w:pos="4536"/>
        <w:tab w:val="right" w:pos="9072"/>
      </w:tabs>
    </w:pPr>
  </w:style>
  <w:style w:type="paragraph" w:styleId="ad">
    <w:name w:val="header"/>
    <w:basedOn w:val="a"/>
    <w:link w:val="ae"/>
    <w:qFormat/>
    <w:pPr>
      <w:tabs>
        <w:tab w:val="center" w:pos="4536"/>
        <w:tab w:val="right" w:pos="9072"/>
      </w:tabs>
    </w:pPr>
    <w:rPr>
      <w:rFonts w:ascii="Arial" w:eastAsia="MS Mincho" w:hAnsi="Arial"/>
      <w:b/>
    </w:r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a"/>
    <w:next w:val="a"/>
    <w:uiPriority w:val="39"/>
    <w:unhideWhenUsed/>
    <w:qFormat/>
    <w:pPr>
      <w:spacing w:after="100"/>
      <w:ind w:left="600"/>
    </w:pPr>
  </w:style>
  <w:style w:type="paragraph" w:styleId="af">
    <w:name w:val="List"/>
    <w:basedOn w:val="a"/>
    <w:uiPriority w:val="99"/>
    <w:unhideWhenUsed/>
    <w:qFormat/>
    <w:pPr>
      <w:ind w:left="283" w:hanging="283"/>
      <w:contextualSpacing/>
    </w:pPr>
  </w:style>
  <w:style w:type="paragraph" w:styleId="af0">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f1">
    <w:name w:val="annotation subject"/>
    <w:basedOn w:val="a7"/>
    <w:next w:val="a7"/>
    <w:link w:val="af2"/>
    <w:uiPriority w:val="99"/>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unhideWhenUsed/>
    <w:qFormat/>
    <w:rPr>
      <w:color w:val="800080" w:themeColor="followedHyperlink"/>
      <w:u w:val="single"/>
    </w:rPr>
  </w:style>
  <w:style w:type="character" w:styleId="af5">
    <w:name w:val="Hyperlink"/>
    <w:basedOn w:val="a1"/>
    <w:uiPriority w:val="99"/>
    <w:unhideWhenUsed/>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aliases w:val="H1 字符,h1 字符,Heading 1 3GPP 字符"/>
    <w:basedOn w:val="a1"/>
    <w:link w:val="1"/>
    <w:rPr>
      <w:rFonts w:ascii="Helvetica" w:eastAsia="MS Mincho" w:hAnsi="Helvetica" w:cs="Arial"/>
      <w:b/>
      <w:bCs/>
      <w:kern w:val="32"/>
      <w:sz w:val="28"/>
      <w:szCs w:val="32"/>
      <w:lang w:eastAsia="en-US"/>
    </w:rPr>
  </w:style>
  <w:style w:type="character" w:customStyle="1" w:styleId="20">
    <w:name w:val="标题 2 字符"/>
    <w:aliases w:val="H2 字符,h2 字符,DO NOT USE_h2 字符,h21 字符,Heading 2 3GPP 字符"/>
    <w:basedOn w:val="a1"/>
    <w:link w:val="2"/>
    <w:qFormat/>
    <w:rPr>
      <w:rFonts w:ascii="Helvetica" w:eastAsia="MS Mincho" w:hAnsi="Helvetica" w:cs="Arial"/>
      <w:b/>
      <w:bCs/>
      <w:iCs/>
      <w:szCs w:val="28"/>
      <w:lang w:eastAsia="en-US"/>
    </w:rPr>
  </w:style>
  <w:style w:type="character" w:customStyle="1" w:styleId="30">
    <w:name w:val="标题 3 字符"/>
    <w:aliases w:val="Heading 3 3GPP 字符"/>
    <w:basedOn w:val="a1"/>
    <w:link w:val="3"/>
    <w:qFormat/>
    <w:rPr>
      <w:rFonts w:ascii="Arial" w:eastAsia="MS Mincho" w:hAnsi="Arial" w:cs="Arial"/>
      <w:b/>
      <w:bCs/>
      <w:sz w:val="26"/>
      <w:szCs w:val="26"/>
      <w:lang w:eastAsia="en-US"/>
    </w:rPr>
  </w:style>
  <w:style w:type="character" w:customStyle="1" w:styleId="40">
    <w:name w:val="标题 4 字符"/>
    <w:basedOn w:val="a1"/>
    <w:link w:val="4"/>
    <w:rPr>
      <w:rFonts w:ascii="Times New Roman" w:eastAsia="MS Mincho"/>
      <w:b/>
      <w:bCs/>
      <w:sz w:val="28"/>
      <w:szCs w:val="28"/>
      <w:lang w:eastAsia="en-US"/>
    </w:rPr>
  </w:style>
  <w:style w:type="character" w:customStyle="1" w:styleId="a4">
    <w:name w:val="正文文本 字符"/>
    <w:basedOn w:val="a1"/>
    <w:link w:val="a0"/>
    <w:qFormat/>
    <w:rPr>
      <w:rFonts w:ascii="Times New Roman" w:eastAsia="MS Mincho"/>
      <w:sz w:val="20"/>
      <w:szCs w:val="24"/>
    </w:rPr>
  </w:style>
  <w:style w:type="character" w:customStyle="1" w:styleId="ae">
    <w:name w:val="页眉 字符"/>
    <w:basedOn w:val="a1"/>
    <w:link w:val="ad"/>
    <w:qFormat/>
    <w:rPr>
      <w:rFonts w:ascii="Arial" w:eastAsia="MS Mincho" w:hAnsi="Arial"/>
      <w:b/>
      <w:sz w:val="20"/>
      <w:szCs w:val="24"/>
    </w:rPr>
  </w:style>
  <w:style w:type="character" w:customStyle="1" w:styleId="ac">
    <w:name w:val="页脚 字符"/>
    <w:basedOn w:val="a1"/>
    <w:link w:val="ab"/>
    <w:uiPriority w:val="99"/>
    <w:qFormat/>
    <w:rPr>
      <w:rFonts w:ascii="Times New Roman"/>
      <w:sz w:val="20"/>
      <w:szCs w:val="24"/>
    </w:rPr>
  </w:style>
  <w:style w:type="paragraph" w:customStyle="1" w:styleId="11">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a6">
    <w:name w:val="题注 字符"/>
    <w:link w:val="a5"/>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f"/>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MS Gothic"/>
      <w:sz w:val="24"/>
      <w:szCs w:val="20"/>
      <w:lang w:eastAsia="ja-JP"/>
    </w:rPr>
  </w:style>
  <w:style w:type="character" w:customStyle="1" w:styleId="textChar">
    <w:name w:val="text Char"/>
    <w:basedOn w:val="a1"/>
    <w:link w:val="text0"/>
    <w:qFormat/>
    <w:rPr>
      <w:rFonts w:ascii="Times New Roman" w:eastAsia="MS Gothic"/>
      <w:sz w:val="24"/>
      <w:szCs w:val="20"/>
      <w:lang w:eastAsia="ja-JP"/>
    </w:rPr>
  </w:style>
  <w:style w:type="character" w:customStyle="1" w:styleId="aa">
    <w:name w:val="批注框文本 字符"/>
    <w:basedOn w:val="a1"/>
    <w:link w:val="a9"/>
    <w:uiPriority w:val="99"/>
    <w:semiHidden/>
    <w:qFormat/>
    <w:rPr>
      <w:rFonts w:ascii="Arial" w:hAnsi="Arial" w:cs="Arial"/>
      <w:sz w:val="18"/>
      <w:szCs w:val="18"/>
    </w:rPr>
  </w:style>
  <w:style w:type="character" w:customStyle="1" w:styleId="a8">
    <w:name w:val="批注文字 字符"/>
    <w:basedOn w:val="a1"/>
    <w:link w:val="a7"/>
    <w:qFormat/>
    <w:rPr>
      <w:rFonts w:ascii="Times New Roman"/>
      <w:sz w:val="20"/>
      <w:szCs w:val="20"/>
    </w:rPr>
  </w:style>
  <w:style w:type="character" w:customStyle="1" w:styleId="af2">
    <w:name w:val="批注主题 字符"/>
    <w:basedOn w:val="a8"/>
    <w:link w:val="af1"/>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2">
    <w:name w:val="未处理的提及1"/>
    <w:basedOn w:val="a1"/>
    <w:uiPriority w:val="99"/>
    <w:unhideWhenUsed/>
    <w:qFormat/>
    <w:rPr>
      <w:color w:val="605E5C"/>
      <w:shd w:val="clear" w:color="auto" w:fill="E1DFDD"/>
    </w:rPr>
  </w:style>
  <w:style w:type="character" w:customStyle="1" w:styleId="50">
    <w:name w:val="标题 5 字符"/>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
    <w:basedOn w:val="a"/>
    <w:link w:val="af8"/>
    <w:uiPriority w:val="34"/>
    <w:qFormat/>
    <w:pPr>
      <w:ind w:left="720"/>
      <w:contextualSpacing/>
    </w:pPr>
  </w:style>
  <w:style w:type="character" w:customStyle="1" w:styleId="af8">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7"/>
    <w:uiPriority w:val="34"/>
    <w:qFormat/>
    <w:rPr>
      <w:rFonts w:ascii="Times New Roman"/>
      <w:szCs w:val="24"/>
      <w:lang w:eastAsia="en-US"/>
    </w:rPr>
  </w:style>
  <w:style w:type="character" w:styleId="af9">
    <w:name w:val="Placeholder Text"/>
    <w:basedOn w:val="a1"/>
    <w:uiPriority w:val="99"/>
    <w:semiHidden/>
    <w:qFormat/>
    <w:rsid w:val="006C1932"/>
    <w:rPr>
      <w:color w:val="808080"/>
    </w:rPr>
  </w:style>
  <w:style w:type="character" w:styleId="afa">
    <w:name w:val="Unresolved Mention"/>
    <w:basedOn w:val="a1"/>
    <w:uiPriority w:val="99"/>
    <w:semiHidden/>
    <w:unhideWhenUsed/>
    <w:rsid w:val="00663A2A"/>
    <w:rPr>
      <w:color w:val="605E5C"/>
      <w:shd w:val="clear" w:color="auto" w:fill="E1DFDD"/>
    </w:rPr>
  </w:style>
  <w:style w:type="character" w:customStyle="1" w:styleId="60">
    <w:name w:val="标题 6 字符"/>
    <w:basedOn w:val="a1"/>
    <w:link w:val="6"/>
    <w:rsid w:val="00270A8F"/>
    <w:rPr>
      <w:rFonts w:ascii="Arial" w:hAnsi="Arial"/>
      <w:lang w:val="en-GB" w:eastAsia="en-US"/>
    </w:rPr>
  </w:style>
  <w:style w:type="character" w:customStyle="1" w:styleId="70">
    <w:name w:val="标题 7 字符"/>
    <w:basedOn w:val="a1"/>
    <w:link w:val="7"/>
    <w:rsid w:val="00270A8F"/>
    <w:rPr>
      <w:rFonts w:ascii="Arial" w:hAnsi="Arial"/>
      <w:lang w:val="en-GB" w:eastAsia="en-US"/>
    </w:rPr>
  </w:style>
  <w:style w:type="character" w:customStyle="1" w:styleId="80">
    <w:name w:val="标题 8 字符"/>
    <w:basedOn w:val="a1"/>
    <w:link w:val="8"/>
    <w:rsid w:val="00270A8F"/>
    <w:rPr>
      <w:rFonts w:ascii="Arial" w:hAnsi="Arial"/>
      <w:sz w:val="36"/>
      <w:lang w:val="en-GB" w:eastAsia="en-US"/>
    </w:rPr>
  </w:style>
  <w:style w:type="character" w:customStyle="1" w:styleId="90">
    <w:name w:val="标题 9 字符"/>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宋体" w:hAnsi="Arial" w:cs="Times New Roman"/>
      <w:color w:val="auto"/>
      <w:szCs w:val="20"/>
      <w:lang w:val="en-GB"/>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3"/>
    <w:uiPriority w:val="34"/>
    <w:qFormat/>
    <w:locked/>
    <w:rsid w:val="00270A8F"/>
    <w:rPr>
      <w:rFonts w:ascii="MS Gothic" w:eastAsia="MS Gothic" w:hAnsi="MS Gothic"/>
    </w:rPr>
  </w:style>
  <w:style w:type="paragraph" w:customStyle="1" w:styleId="13">
    <w:name w:val="목록 단락1"/>
    <w:basedOn w:val="a"/>
    <w:link w:val="afb"/>
    <w:uiPriority w:val="34"/>
    <w:qFormat/>
    <w:rsid w:val="00270A8F"/>
    <w:pPr>
      <w:spacing w:after="160" w:line="259" w:lineRule="auto"/>
      <w:ind w:leftChars="400" w:left="840"/>
    </w:pPr>
    <w:rPr>
      <w:rFonts w:ascii="MS Gothic" w:eastAsia="MS Gothic" w:hAnsi="MS Gothic"/>
      <w:szCs w:val="20"/>
      <w:lang w:eastAsia="zh-CN"/>
    </w:rPr>
  </w:style>
  <w:style w:type="paragraph" w:styleId="afc">
    <w:name w:val="Revision"/>
    <w:hidden/>
    <w:uiPriority w:val="99"/>
    <w:semiHidden/>
    <w:rsid w:val="00195383"/>
    <w:rPr>
      <w:rFonts w:asci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5AIRPNAIUNRU-1830940522-21005</_dlc_DocId>
    <_dlc_DocIdUrl xmlns="71c5aaf6-e6ce-465b-b873-5148d2a4c105">
      <Url>https://nokia.sharepoint.com/sites/c5g/5gradio/_layouts/15/DocIdRedir.aspx?ID=5AIRPNAIUNRU-1830940522-21005</Url>
      <Description>5AIRPNAIUNRU-1830940522-21005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2.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3.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E8B816-D758-43DA-AFE2-B04C498D9D04}">
  <ds:schemaRefs>
    <ds:schemaRef ds:uri="http://schemas.openxmlformats.org/officeDocument/2006/bibliography"/>
  </ds:schemaRefs>
</ds:datastoreItem>
</file>

<file path=customXml/itemProps6.xml><?xml version="1.0" encoding="utf-8"?>
<ds:datastoreItem xmlns:ds="http://schemas.openxmlformats.org/officeDocument/2006/customXml" ds:itemID="{0CF99E47-D61E-4C0A-AE43-C51627389F08}">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4504</Words>
  <Characters>25679</Characters>
  <Application>Microsoft Office Word</Application>
  <DocSecurity>0</DocSecurity>
  <Lines>213</Lines>
  <Paragraphs>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2023-05-23T01:12:00Z</dcterms:created>
  <dcterms:modified xsi:type="dcterms:W3CDTF">2023-05-23T03:43:00Z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bd83bcee-8517-40e3-ba12-a534cb176bc6</vt:lpwstr>
  </property>
</Properties>
</file>