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not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proponets of the TEI, we would like to make following clairfcation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on coment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opponets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or only for Xr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t>Can we argue that this case is not happening or if it happens, would be only for XR? Isnt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ListParagraph"/>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and the NW has not provided IoDT,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ListParagraph"/>
              <w:numPr>
                <w:ilvl w:val="0"/>
                <w:numId w:val="61"/>
              </w:numPr>
              <w:spacing w:afterLines="50" w:after="120"/>
              <w:ind w:leftChars="0"/>
              <w:jc w:val="both"/>
              <w:rPr>
                <w:sz w:val="22"/>
                <w:szCs w:val="22"/>
              </w:rPr>
            </w:pPr>
            <w:r>
              <w:rPr>
                <w:sz w:val="22"/>
                <w:szCs w:val="22"/>
              </w:rPr>
              <w:t xml:space="preserve">Feeback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toreflect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multi-slot-PxSCH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HiSilicon</w:t>
            </w:r>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flexilbty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r w:rsidRPr="00C853F1">
              <w:rPr>
                <w:rFonts w:eastAsia="SimSun"/>
                <w:sz w:val="20"/>
                <w:lang w:val="en-US" w:eastAsia="en-US"/>
              </w:rPr>
              <w:t xml:space="preserve">maxNumberMIMO-layersPDSCH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inidicate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realisable gains from extending from 4 to 6 layers, and we don’t believe that the additional ecosystem effort in enabling a 6 MIMO layers UE capability is justified. 6Rx for smartphone was already de-prioritised for Rel-18 RAN4 package. Overall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requirement. It can be considered in future releases including the RAN4 requirements. </w:t>
            </w:r>
          </w:p>
        </w:tc>
      </w:tr>
      <w:tr w:rsidR="0064327C" w14:paraId="31D8F06E" w14:textId="77777777" w:rsidTr="00610415">
        <w:tc>
          <w:tcPr>
            <w:tcW w:w="1693" w:type="dxa"/>
          </w:tcPr>
          <w:p w14:paraId="53D876DA" w14:textId="7D3FD873" w:rsidR="0064327C" w:rsidRDefault="0064327C" w:rsidP="0064327C">
            <w:pPr>
              <w:spacing w:afterLines="50" w:after="120"/>
              <w:jc w:val="both"/>
              <w:rPr>
                <w:sz w:val="22"/>
                <w:lang w:val="en-US"/>
              </w:rPr>
            </w:pPr>
            <w:r>
              <w:rPr>
                <w:sz w:val="22"/>
              </w:rPr>
              <w:t>QC2</w:t>
            </w:r>
          </w:p>
        </w:tc>
        <w:tc>
          <w:tcPr>
            <w:tcW w:w="1023" w:type="dxa"/>
          </w:tcPr>
          <w:p w14:paraId="3254698E" w14:textId="77777777" w:rsidR="0064327C" w:rsidRDefault="0064327C" w:rsidP="0064327C">
            <w:pPr>
              <w:spacing w:afterLines="50" w:after="120"/>
              <w:jc w:val="both"/>
              <w:rPr>
                <w:sz w:val="22"/>
                <w:lang w:val="en-US"/>
              </w:rPr>
            </w:pPr>
          </w:p>
        </w:tc>
        <w:tc>
          <w:tcPr>
            <w:tcW w:w="6912" w:type="dxa"/>
          </w:tcPr>
          <w:p w14:paraId="155FBD80" w14:textId="77777777" w:rsidR="0064327C" w:rsidRDefault="0064327C" w:rsidP="0064327C">
            <w:pPr>
              <w:spacing w:afterLines="50" w:after="120"/>
              <w:jc w:val="both"/>
              <w:rPr>
                <w:sz w:val="22"/>
                <w:lang w:val="en-US"/>
              </w:rPr>
            </w:pPr>
            <w:r>
              <w:rPr>
                <w:sz w:val="22"/>
                <w:lang w:val="en-US"/>
              </w:rPr>
              <w:t xml:space="preserve">Regarding the comment on missing RAN4 requirement or RAN4 deprioritized defining 6Rx requirements in Rel-18, as far as we know, one of the arguments that opponents used in RAN4 to deprioritize 6Rx is 6L MIMO capability signaling is missing. Now, we want to add 6L MIMO capability signaling, then opponents are arguing RAN4 requirement is missing. It looks like we created a chiken-egg problem. To allow 6Rx UE in market for 5G eco-system, either RAN1 or RAN4 need take a step to break the chiken-egg loop. In our view, it is very reasonable that we define the capability signaling first, then ask RAN4 to follow-up to define performance requirement, because the effort to define the capability is very small. </w:t>
            </w:r>
          </w:p>
          <w:p w14:paraId="14F58595" w14:textId="77777777" w:rsidR="0064327C" w:rsidRDefault="0064327C" w:rsidP="0064327C">
            <w:pPr>
              <w:spacing w:afterLines="50" w:after="120"/>
              <w:jc w:val="both"/>
              <w:rPr>
                <w:sz w:val="22"/>
                <w:lang w:val="en-US"/>
              </w:rPr>
            </w:pPr>
            <w:r>
              <w:rPr>
                <w:sz w:val="22"/>
                <w:lang w:val="en-US"/>
              </w:rPr>
              <w:t>To VIVO: this proposal is mainly for 6Rx UE. If it helps to clarify things, we can even remove “</w:t>
            </w:r>
            <w:r w:rsidRPr="001F34D0">
              <w:rPr>
                <w:sz w:val="22"/>
                <w:lang w:val="en-US"/>
              </w:rPr>
              <w:t>An 8Rx UE can report a capability of two, four, six or eight layers of maximum number of DL MMO layers.</w:t>
            </w:r>
            <w:r>
              <w:rPr>
                <w:sz w:val="22"/>
                <w:lang w:val="en-US"/>
              </w:rPr>
              <w:t xml:space="preserve">” from note 2. </w:t>
            </w:r>
          </w:p>
          <w:p w14:paraId="6A23B3E2" w14:textId="77777777" w:rsidR="0064327C" w:rsidRDefault="0064327C" w:rsidP="0064327C">
            <w:pPr>
              <w:spacing w:afterLines="50" w:after="120"/>
              <w:jc w:val="both"/>
              <w:rPr>
                <w:sz w:val="22"/>
                <w:lang w:val="en-US"/>
              </w:rPr>
            </w:pPr>
            <w:r>
              <w:rPr>
                <w:sz w:val="22"/>
                <w:lang w:val="en-US"/>
              </w:rPr>
              <w:t>To MediaTek: in Rel-15, we agreed extending from 4L MIMO to 8L MIMO has gain, right? Then why extend from 4L MIMO to 6L MIMO has no gain? In MediaTek’s view, what happens with 6L which steal the obvious spectrum efficiency gain? Can MediaTek please provide some nationale?</w:t>
            </w:r>
          </w:p>
          <w:p w14:paraId="6B6236B0" w14:textId="47A54A10" w:rsidR="0064327C" w:rsidRDefault="0064327C" w:rsidP="0064327C">
            <w:pPr>
              <w:spacing w:afterLines="50" w:after="120"/>
              <w:jc w:val="both"/>
              <w:rPr>
                <w:sz w:val="22"/>
                <w:lang w:val="en-US"/>
              </w:rPr>
            </w:pPr>
            <w:r>
              <w:rPr>
                <w:sz w:val="22"/>
                <w:lang w:val="en-US"/>
              </w:rPr>
              <w:t>To Huawei: Regarding your comment on CSI feedback caveat and required SNR for 6L, aren’t the same issues (even more severe) with 8L? Why did RAN1 specify 8L in Rel-15?</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With 1 or 2 ports in each resource, and excluding nTnR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supportative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ue-centric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optimisations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s QC mentioned in 1), gNB is not aware of instant SAR, PHR etc. I would like to ask, how fast the UE switches antenna by implementation? If this is fast enough, every 20 or 40ms? If is fast as few tens of millisecods I will withraw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codebook based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is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CD6276" w14:paraId="4E9E0A98" w14:textId="77777777" w:rsidTr="00CC0C09">
        <w:trPr>
          <w:trHeight w:val="78"/>
        </w:trPr>
        <w:tc>
          <w:tcPr>
            <w:tcW w:w="1693" w:type="dxa"/>
          </w:tcPr>
          <w:p w14:paraId="26BFCF2A" w14:textId="653E4315"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QC2</w:t>
            </w:r>
          </w:p>
        </w:tc>
        <w:tc>
          <w:tcPr>
            <w:tcW w:w="1023" w:type="dxa"/>
          </w:tcPr>
          <w:p w14:paraId="277B5759" w14:textId="77777777" w:rsidR="00CD6276" w:rsidRDefault="00CD6276" w:rsidP="00F40D71">
            <w:pPr>
              <w:spacing w:afterLines="50" w:after="120"/>
              <w:jc w:val="both"/>
              <w:rPr>
                <w:rFonts w:eastAsiaTheme="minorEastAsia"/>
                <w:sz w:val="22"/>
                <w:lang w:val="en-US" w:eastAsia="zh-CN"/>
              </w:rPr>
            </w:pPr>
          </w:p>
        </w:tc>
        <w:tc>
          <w:tcPr>
            <w:tcW w:w="6912" w:type="dxa"/>
          </w:tcPr>
          <w:p w14:paraId="41D2CA0C" w14:textId="3E501E0F"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 xml:space="preserve">To VIVO: one addiontal question, relying on gNB measure SRS then use DL signalign to switching antennas will require closed-loop operation over the air. I am wondering why do you think it is faster than let UE do it locally? What cannot we trust UE could do proper antenna switching based DL measurement and UL power/RF/Hardware conditions? </w:t>
            </w:r>
            <w:r w:rsidRPr="00CD6276">
              <w:rPr>
                <mc:AlternateContent>
                  <mc:Choice Requires="w16se">
                    <w:rFonts w:eastAsiaTheme="minorEastAsia"/>
                  </mc:Choice>
                  <mc:Fallback>
                    <w:rFonts w:ascii="Segoe UI Emoji" w:eastAsia="Segoe UI Emoji" w:hAnsi="Segoe UI Emoji" w:cs="Segoe UI Emoji"/>
                  </mc:Fallback>
                </mc:AlternateContent>
                <w:sz w:val="22"/>
                <w:lang w:val="en-US" w:eastAsia="zh-CN"/>
              </w:rPr>
              <mc:AlternateContent>
                <mc:Choice Requires="w16se">
                  <w16se:symEx w16se:font="Segoe UI Emoji" w16se:char="1F60A"/>
                </mc:Choice>
                <mc:Fallback>
                  <w:t>😊</w:t>
                </mc:Fallback>
              </mc:AlternateConten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Rual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SimSun" w:hint="eastAsia"/>
                <w:i/>
                <w:iCs/>
                <w:sz w:val="20"/>
              </w:rPr>
              <w:t xml:space="preserve">RRCReconfiguration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SimSun" w:hint="eastAsia"/>
                <w:i/>
                <w:iCs/>
                <w:sz w:val="20"/>
              </w:rPr>
              <w:t xml:space="preserve">RRCSetupComplete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5pt;height:9.25pt;mso-width-percent:0;mso-height-percent:0;mso-width-percent:0;mso-height-percent:0" o:ole="">
                        <v:imagedata r:id="rId18" o:title=""/>
                      </v:shape>
                      <o:OLEObject Type="Embed" ProgID="Equation.3" ShapeID="_x0000_i1025" DrawAspect="Content" ObjectID="_1743341831"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25pt;height:9.25pt;mso-width-percent:0;mso-height-percent:0;mso-width-percent:0;mso-height-percent:0" o:ole="">
                        <v:imagedata r:id="rId18" o:title=""/>
                      </v:shape>
                      <o:OLEObject Type="Embed" ProgID="Equation.3" ShapeID="_x0000_i1026" DrawAspect="Content" ObjectID="_1743341832"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25pt;height:9.25pt;mso-width-percent:0;mso-height-percent:0;mso-width-percent:0;mso-height-percent:0" o:ole="">
                        <v:imagedata r:id="rId18" o:title=""/>
                      </v:shape>
                      <o:OLEObject Type="Embed" ProgID="Equation.3" ShapeID="_x0000_i1027" DrawAspect="Content" ObjectID="_1743341833"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25pt;height:9.25pt;mso-width-percent:0;mso-height-percent:0;mso-width-percent:0;mso-height-percent:0" o:ole="">
                        <v:imagedata r:id="rId18" o:title=""/>
                      </v:shape>
                      <o:OLEObject Type="Embed" ProgID="Equation.3" ShapeID="_x0000_i1028" DrawAspect="Content" ObjectID="_1743341834"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analyzed in our tdoc. In addition, TBoMS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After 2 Releases of discussion, this was not identified as a bottleneck. We have also not observed issues in the field here. Also it would seem to require a re-deisgn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While we see that there maybe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8pt;height:14.25pt;mso-width-percent:0;mso-height-percent:0;mso-width-percent:0;mso-height-percent:0" o:ole="">
                        <v:imagedata r:id="rId23" o:title=""/>
                      </v:shape>
                      <o:OLEObject Type="Embed" ProgID="Equation.3" ShapeID="_x0000_i1029" DrawAspect="Content" ObjectID="_1743341835"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8pt;height:14.25pt;mso-width-percent:0;mso-height-percent:0;mso-width-percent:0;mso-height-percent:0" o:ole="">
                        <v:imagedata r:id="rId25" o:title=""/>
                      </v:shape>
                      <o:OLEObject Type="Embed" ProgID="Equation.3" ShapeID="_x0000_i1030" DrawAspect="Content" ObjectID="_1743341836"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25pt;mso-width-percent:0;mso-height-percent:0;mso-width-percent:0;mso-height-percent:0" o:ole="">
                        <v:imagedata r:id="rId27" o:title=""/>
                      </v:shape>
                      <o:OLEObject Type="Embed" ProgID="Equation.3" ShapeID="_x0000_i1031" DrawAspect="Content" ObjectID="_1743341837"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8pt;height:14.25pt;mso-width-percent:0;mso-height-percent:0;mso-width-percent:0;mso-height-percent:0" o:ole="">
                        <v:imagedata r:id="rId29" o:title=""/>
                      </v:shape>
                      <o:OLEObject Type="Embed" ProgID="Equation.3" ShapeID="_x0000_i1032" DrawAspect="Content" ObjectID="_1743341838"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25pt;mso-width-percent:0;mso-height-percent:0;mso-width-percent:0;mso-height-percent:0" o:ole="">
                        <v:imagedata r:id="rId31" o:title=""/>
                      </v:shape>
                      <o:OLEObject Type="Embed" ProgID="Equation.3" ShapeID="_x0000_i1033" DrawAspect="Content" ObjectID="_1743341839"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8pt;height:14.25pt;mso-width-percent:0;mso-height-percent:0;mso-width-percent:0;mso-height-percent:0" o:ole="">
                        <v:imagedata r:id="rId33" o:title=""/>
                      </v:shape>
                      <o:OLEObject Type="Embed" ProgID="Equation.3" ShapeID="_x0000_i1034" DrawAspect="Content" ObjectID="_1743341840"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8pt;height:14.25pt;mso-width-percent:0;mso-height-percent:0;mso-width-percent:0;mso-height-percent:0" o:ole="">
                        <v:imagedata r:id="rId35" o:title=""/>
                      </v:shape>
                      <o:OLEObject Type="Embed" ProgID="Equation.3" ShapeID="_x0000_i1035" DrawAspect="Content" ObjectID="_1743341841"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2pt;height:14.25pt;mso-width-percent:0;mso-height-percent:0;mso-width-percent:0;mso-height-percent:0" o:ole="">
                        <v:imagedata r:id="rId37" o:title=""/>
                      </v:shape>
                      <o:OLEObject Type="Embed" ProgID="Equation.3" ShapeID="_x0000_i1036" DrawAspect="Content" ObjectID="_1743341842"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2pt;height:14.25pt;mso-width-percent:0;mso-height-percent:0;mso-width-percent:0;mso-height-percent:0" o:ole="">
                        <v:imagedata r:id="rId39" o:title=""/>
                      </v:shape>
                      <o:OLEObject Type="Embed" ProgID="Equation.3" ShapeID="_x0000_i1037" DrawAspect="Content" ObjectID="_1743341843"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2pt;height:14.25pt;mso-width-percent:0;mso-height-percent:0;mso-width-percent:0;mso-height-percent:0" o:ole="">
                        <v:imagedata r:id="rId41" o:title=""/>
                      </v:shape>
                      <o:OLEObject Type="Embed" ProgID="Equation.3" ShapeID="_x0000_i1038" DrawAspect="Content" ObjectID="_1743341844"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2x{9,13}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QCL-TypeD prioritization rules for overlapping CORESETs is performed per coresetPoolIndex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Introduce a UE capability that can indicate the UE can process more DL / UL DCIs for a CC that is configured with two coresetPoolIndex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5"/>
        <w:gridCol w:w="1194"/>
        <w:gridCol w:w="6759"/>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With different scheduling delay, PDCCH occasions not overlapping in time domain can also schedule PDSCH/PUSCH overlapping in time domain, it this further complexity critical for mTRP mDCI operation?</w:t>
            </w:r>
          </w:p>
        </w:tc>
      </w:tr>
      <w:tr w:rsidR="00FD32C6" w14:paraId="56940722" w14:textId="77777777" w:rsidTr="00610415">
        <w:tc>
          <w:tcPr>
            <w:tcW w:w="1693"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(providing response to comments)</w:t>
            </w:r>
          </w:p>
        </w:tc>
        <w:tc>
          <w:tcPr>
            <w:tcW w:w="6912" w:type="dxa"/>
          </w:tcPr>
          <w:p w14:paraId="75C5BD04" w14:textId="1567A751" w:rsidR="00FD32C6" w:rsidRPr="00FD32C6" w:rsidRDefault="00FD32C6" w:rsidP="00FD32C6">
            <w:pPr>
              <w:spacing w:afterLines="50" w:after="120"/>
              <w:jc w:val="both"/>
              <w:rPr>
                <w:rFonts w:eastAsia="Malgun Gothic"/>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Malgun Gothic"/>
                <w:sz w:val="22"/>
                <w:szCs w:val="22"/>
                <w:lang w:val="en-US" w:eastAsia="ko-KR"/>
              </w:rPr>
              <w:t>FG 3-5a or 3-5b:</w:t>
            </w:r>
          </w:p>
          <w:p w14:paraId="3DF14547" w14:textId="3ED91A71"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Malgun Gothic"/>
                <w:sz w:val="22"/>
                <w:szCs w:val="22"/>
                <w:lang w:val="en-US" w:eastAsia="ko-KR"/>
              </w:rPr>
              <w:t xml:space="preserve">FG 3-5a or 3-5b needs to monitor back-to-back PDCCH </w:t>
            </w:r>
            <w:r>
              <w:rPr>
                <w:rFonts w:eastAsia="Malgun Gothic"/>
                <w:sz w:val="22"/>
                <w:szCs w:val="22"/>
                <w:lang w:val="en-US" w:eastAsia="ko-KR"/>
              </w:rPr>
              <w:t>within a</w:t>
            </w:r>
            <w:r w:rsidRPr="00FD32C6">
              <w:rPr>
                <w:rFonts w:eastAsia="Malgun Gothic"/>
                <w:sz w:val="22"/>
                <w:szCs w:val="22"/>
                <w:lang w:val="en-US" w:eastAsia="ko-KR"/>
              </w:rPr>
              <w:t xml:space="preserve"> slot in multiple monitoring occasions. This should not be a pre-requisite for a UE that supports the additional complexity of multi-DCI based mTRP (e.g., twice the number of BDs/CCEs) for it to be able to receive two DL/UL DCIs in a same monitoring occasion. In other words, if we solely rely on FG 3-5a or 3-5b for Issue 2, the UE needs to handle these two different complexities (in different dimensions) at the same time, which is not necessary for this purpose.</w:t>
            </w:r>
          </w:p>
          <w:p w14:paraId="6BFB9453" w14:textId="77777777"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Malgun Gothic"/>
                <w:sz w:val="22"/>
                <w:szCs w:val="22"/>
                <w:lang w:val="en-US" w:eastAsia="ko-KR"/>
              </w:rPr>
              <w:t>FG 3-5a, network can send 1 DL DCI + 1 UL DCI per monitoring occasion. For</w:t>
            </w:r>
            <w:r w:rsidRPr="00FD32C6">
              <w:rPr>
                <w:rFonts w:eastAsia="Malgun Gothic"/>
                <w:sz w:val="20"/>
                <w:szCs w:val="18"/>
                <w:lang w:val="en-US" w:eastAsia="ko-KR"/>
              </w:rPr>
              <w:t xml:space="preserve"> </w:t>
            </w:r>
            <w:r w:rsidRPr="00FD32C6">
              <w:rPr>
                <w:rFonts w:eastAsia="Malgun Gothic"/>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maitenence, but w/o enough time or </w:t>
            </w:r>
            <w:r w:rsidR="000D5D3B">
              <w:rPr>
                <w:sz w:val="22"/>
                <w:szCs w:val="22"/>
                <w:lang w:val="en-US"/>
              </w:rPr>
              <w:t xml:space="preserve">enough </w:t>
            </w:r>
            <w:r w:rsidRPr="00FD32C6">
              <w:rPr>
                <w:sz w:val="22"/>
                <w:szCs w:val="22"/>
                <w:lang w:val="en-US"/>
              </w:rPr>
              <w:t>attention to the practical implications of not allowing for this functionality for multi-DCI based mTRP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@Huawei, HiSilicon</w:t>
            </w:r>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mTRP that is Tput enhacements. This is in addition to the network not being able to utilize the increased number of BDs/CCEs at the UE side. </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In Rel-17, when PDCCH skipping is configured for a UE, it is allowed that an SR transmission from the UE during a PDCCH skip duration can override the previous PDCCH skipping indication 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 xml:space="preserve">For the second bullet, the proposal seems to avoid re-configuraiton of SR resources when the beam direction is changed by MAC-CE and  SR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546ED2" w14:paraId="396397A3" w14:textId="77777777" w:rsidTr="00546ED2">
        <w:tc>
          <w:tcPr>
            <w:tcW w:w="1693" w:type="dxa"/>
          </w:tcPr>
          <w:p w14:paraId="724F4B79" w14:textId="77777777" w:rsidR="00546ED2" w:rsidRDefault="00546ED2" w:rsidP="002F06F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70F4EF3" w14:textId="77777777" w:rsidR="00546ED2" w:rsidRDefault="00546ED2" w:rsidP="002F06FA">
            <w:pPr>
              <w:spacing w:afterLines="50" w:after="120"/>
              <w:jc w:val="both"/>
              <w:rPr>
                <w:rFonts w:eastAsiaTheme="minorEastAsia"/>
                <w:sz w:val="22"/>
                <w:lang w:val="en-US" w:eastAsia="zh-CN"/>
              </w:rPr>
            </w:pPr>
            <w:r>
              <w:rPr>
                <w:rFonts w:eastAsia="PMingLiU"/>
                <w:sz w:val="22"/>
                <w:lang w:val="en-US" w:eastAsia="zh-TW"/>
              </w:rPr>
              <w:t>Y for 1</w:t>
            </w:r>
            <w:r w:rsidRPr="00801BA6">
              <w:rPr>
                <w:rFonts w:eastAsia="PMingLiU"/>
                <w:sz w:val="22"/>
                <w:vertAlign w:val="superscript"/>
                <w:lang w:val="en-US" w:eastAsia="zh-TW"/>
              </w:rPr>
              <w:t>st</w:t>
            </w:r>
            <w:r>
              <w:rPr>
                <w:rFonts w:eastAsia="PMingLiU"/>
                <w:sz w:val="22"/>
                <w:lang w:val="en-US" w:eastAsia="zh-TW"/>
              </w:rPr>
              <w:t xml:space="preserve"> bullet</w:t>
            </w:r>
          </w:p>
        </w:tc>
        <w:tc>
          <w:tcPr>
            <w:tcW w:w="6912" w:type="dxa"/>
          </w:tcPr>
          <w:p w14:paraId="5154B2FE" w14:textId="77777777" w:rsidR="00546ED2" w:rsidRDefault="00546ED2" w:rsidP="002F06FA">
            <w:pPr>
              <w:spacing w:afterLines="50" w:after="120"/>
              <w:jc w:val="both"/>
              <w:rPr>
                <w:sz w:val="22"/>
                <w:lang w:val="en-US"/>
              </w:rPr>
            </w:pPr>
            <w:r>
              <w:rPr>
                <w:rFonts w:eastAsia="Malgun Gothic"/>
                <w:sz w:val="22"/>
                <w:lang w:val="en-US" w:eastAsia="ko-KR"/>
              </w:rPr>
              <w:t>We support the 1</w:t>
            </w:r>
            <w:r w:rsidRPr="000F1537">
              <w:rPr>
                <w:rFonts w:eastAsia="Malgun Gothic"/>
                <w:sz w:val="22"/>
                <w:vertAlign w:val="superscript"/>
                <w:lang w:val="en-US" w:eastAsia="ko-KR"/>
              </w:rPr>
              <w:t>st</w:t>
            </w:r>
            <w:r>
              <w:rPr>
                <w:rFonts w:eastAsia="Malgun Gothic"/>
                <w:sz w:val="22"/>
                <w:lang w:val="en-US" w:eastAsia="ko-KR"/>
              </w:rPr>
              <w:t xml:space="preserve"> bullet –it improves SR latency performance for case with SSSG switching (like the improvements for case with PDCCH skipping in Rel-17). A gNB can configure UE with even-sparser SSSG (increased UE power savings) without compromising SR latency performance.</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45pt;height:216.7pt;mso-width-percent:0;mso-height-percent:0;mso-width-percent:0;mso-height-percent:0" o:ole="">
                  <v:imagedata r:id="rId46" o:title=""/>
                </v:shape>
                <o:OLEObject Type="Embed" ProgID="Visio.Drawing.11" ShapeID="_x0000_i1039" DrawAspect="Content" ObjectID="_1743341845"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r>
              <w:rPr>
                <w:rFonts w:hint="eastAsia"/>
                <w:sz w:val="22"/>
                <w:lang w:val="en-US"/>
              </w:rPr>
              <w:t>Supp</w:t>
            </w:r>
            <w:r>
              <w:rPr>
                <w:sz w:val="22"/>
                <w:lang w:val="en-US"/>
              </w:rPr>
              <w:t>port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HiSi]: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[HW, HiSi]: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r w:rsidRPr="007D57F5">
              <w:rPr>
                <w:rFonts w:eastAsia="Malgun Gothic" w:hint="eastAsia"/>
                <w:color w:val="00B050"/>
                <w:sz w:val="22"/>
                <w:lang w:val="en-US" w:eastAsia="ko-KR"/>
              </w:rPr>
              <w:t>H</w:t>
            </w:r>
            <w:r w:rsidRPr="007D57F5">
              <w:rPr>
                <w:rFonts w:eastAsia="Malgun Gothic"/>
                <w:color w:val="00B050"/>
                <w:sz w:val="22"/>
                <w:lang w:val="en-US" w:eastAsia="ko-KR"/>
              </w:rPr>
              <w:t xml:space="preserve">iSi]: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overveome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ListParagraph"/>
              <w:numPr>
                <w:ilvl w:val="0"/>
                <w:numId w:val="63"/>
              </w:numPr>
              <w:ind w:leftChars="0" w:left="454" w:hanging="227"/>
              <w:jc w:val="both"/>
              <w:rPr>
                <w:b/>
                <w:i/>
                <w:sz w:val="22"/>
                <w:szCs w:val="22"/>
              </w:rPr>
            </w:pPr>
            <w:r w:rsidRPr="00CC2DA9">
              <w:rPr>
                <w:rFonts w:eastAsiaTheme="minorEastAsia"/>
                <w:sz w:val="22"/>
                <w:szCs w:val="22"/>
              </w:rPr>
              <w:t>Our understanding is it’s up to gNB about how to set the UL total DAI value, while UE’s behavior for determining the HARQ-ACK codebook size in each repetition needs clarification. Take Figure 1 as an example, gNB may indicate UL total DAI=1, which may have two different UE behaviors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behavior?</w:t>
            </w:r>
          </w:p>
          <w:p w14:paraId="0FAC993D" w14:textId="77777777" w:rsidR="00C5183B" w:rsidRPr="00CC2DA9" w:rsidRDefault="00C5183B" w:rsidP="000E17EE">
            <w:pPr>
              <w:pStyle w:val="ListParagraph"/>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repeition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repetiton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pricinple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r w:rsidR="00B1224E" w14:paraId="5FE2BACE" w14:textId="77777777" w:rsidTr="00B53881">
        <w:tc>
          <w:tcPr>
            <w:tcW w:w="1669" w:type="dxa"/>
          </w:tcPr>
          <w:p w14:paraId="2C99358F" w14:textId="3AADEAA3" w:rsidR="00B1224E" w:rsidRDefault="00B1224E" w:rsidP="00B1224E">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CA86C78" w14:textId="77777777" w:rsidR="00B1224E" w:rsidRDefault="00B1224E" w:rsidP="00B1224E">
            <w:pPr>
              <w:spacing w:afterLines="50" w:after="120"/>
              <w:jc w:val="both"/>
              <w:rPr>
                <w:rFonts w:eastAsiaTheme="minorEastAsia"/>
                <w:sz w:val="22"/>
                <w:lang w:val="en-US" w:eastAsia="zh-CN"/>
              </w:rPr>
            </w:pPr>
          </w:p>
        </w:tc>
        <w:tc>
          <w:tcPr>
            <w:tcW w:w="6936" w:type="dxa"/>
          </w:tcPr>
          <w:p w14:paraId="3455EFF1" w14:textId="3D0F5019" w:rsidR="00B1224E" w:rsidRDefault="00B1224E" w:rsidP="00B1224E">
            <w:pPr>
              <w:spacing w:afterLines="50" w:after="120"/>
              <w:jc w:val="both"/>
              <w:rPr>
                <w:sz w:val="22"/>
                <w:lang w:val="en-US"/>
              </w:rPr>
            </w:pPr>
            <w:r w:rsidRPr="00FD4830">
              <w:rPr>
                <w:sz w:val="22"/>
                <w:lang w:val="en-US"/>
              </w:rPr>
              <w:t>We are open to further discuss the details. It is understandable the restriction caus</w:t>
            </w:r>
            <w:r>
              <w:rPr>
                <w:sz w:val="22"/>
                <w:lang w:val="en-US"/>
              </w:rPr>
              <w:t>es</w:t>
            </w:r>
            <w:r w:rsidRPr="00FD4830">
              <w:rPr>
                <w:sz w:val="22"/>
                <w:lang w:val="en-US"/>
              </w:rPr>
              <w:t xml:space="preserve"> more problem when a PUSCH with large number of repetitions is applied, hence it seems reasonable to </w:t>
            </w:r>
            <w:r>
              <w:rPr>
                <w:sz w:val="22"/>
                <w:lang w:val="en-US"/>
              </w:rPr>
              <w:t>discuss</w:t>
            </w:r>
            <w:r w:rsidRPr="00FD4830">
              <w:rPr>
                <w:sz w:val="22"/>
                <w:lang w:val="en-US"/>
              </w:rPr>
              <w:t xml:space="preserve"> this enhancement to PUSCH with repetitions only.</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This TEI proposal mainly targets the preferred resource set generation. However, the added mesurement of RSRP is conditioned on UEA being a 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t think this change is essential. Moreover the additional exclusion is likely to detoriorate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(see the Qualcomm-originating figure 26 above) convicned</w:t>
            </w:r>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behaviour would be for the UE’s own benefit. We would want to make 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Proposal 1     Remove the maximal number of resource combination “8” from MAC specification and the number of RC is upper bounded by the “L” field in MAC subheader.</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Adapting drx-HARQ-RTT-TimerUL/DL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drx-HARQ-RTT-TimerUL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r>
              <w:rPr>
                <w:rFonts w:hint="eastAsia"/>
                <w:sz w:val="22"/>
                <w:lang w:val="en-US"/>
              </w:rPr>
              <w:t>Supp</w:t>
            </w:r>
            <w:r>
              <w:rPr>
                <w:sz w:val="22"/>
                <w:lang w:val="en-US"/>
              </w:rPr>
              <w:t>port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 xml:space="preserve">guring drx-LastTransmissionUL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0E17EE">
            <w:pPr>
              <w:pStyle w:val="ListParagraph"/>
              <w:numPr>
                <w:ilvl w:val="0"/>
                <w:numId w:val="64"/>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r w:rsidRPr="003E6DF2">
              <w:rPr>
                <w:i/>
                <w:iCs/>
                <w:sz w:val="20"/>
              </w:rPr>
              <w:t>drx-HARQ-RTT-TimerUL/ drx-HARQ-RTT-TimerDL</w:t>
            </w:r>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requries dynamic </w:t>
            </w:r>
            <w:r w:rsidRPr="003E6DF2">
              <w:rPr>
                <w:i/>
                <w:iCs/>
                <w:sz w:val="22"/>
                <w:szCs w:val="22"/>
              </w:rPr>
              <w:t xml:space="preserve">drx-HARQ-RTT-TimerUL/drx-HARQ-RTT-TimerDL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drx-LastTransmissionUL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r w:rsidRPr="00121AF2">
              <w:rPr>
                <w:rFonts w:eastAsiaTheme="minorEastAsia"/>
                <w:i/>
                <w:sz w:val="22"/>
                <w:lang w:val="en-US" w:eastAsia="zh-CN"/>
              </w:rPr>
              <w:t>drx-LastTransmissionUL</w:t>
            </w:r>
            <w:r w:rsidRPr="00121AF2">
              <w:rPr>
                <w:rFonts w:eastAsiaTheme="minorEastAsia"/>
                <w:sz w:val="22"/>
                <w:lang w:val="en-US" w:eastAsia="zh-CN"/>
              </w:rPr>
              <w:t xml:space="preserve"> and set the </w:t>
            </w:r>
            <w:r w:rsidRPr="00121AF2">
              <w:rPr>
                <w:rFonts w:eastAsiaTheme="minorEastAsia"/>
                <w:i/>
                <w:sz w:val="22"/>
                <w:lang w:val="en-US" w:eastAsia="zh-CN"/>
              </w:rPr>
              <w:t>drx-HARQ-RTT-TimerUL</w:t>
            </w:r>
            <w:r w:rsidRPr="00121AF2">
              <w:rPr>
                <w:rFonts w:eastAsiaTheme="minorEastAsia"/>
                <w:sz w:val="22"/>
                <w:lang w:val="en-US" w:eastAsia="zh-CN"/>
              </w:rPr>
              <w:t xml:space="preserve"> length as the time needed for gNB to process the last PUSCH repetition. There is no strong reason to have longer </w:t>
            </w:r>
            <w:r w:rsidRPr="00121AF2">
              <w:rPr>
                <w:rFonts w:eastAsiaTheme="minorEastAsia"/>
                <w:i/>
                <w:sz w:val="22"/>
                <w:lang w:val="en-US" w:eastAsia="zh-CN"/>
              </w:rPr>
              <w:t>drx-HARQ-RTT-TimerUL</w:t>
            </w:r>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r w:rsidRPr="00121AF2">
              <w:rPr>
                <w:rFonts w:eastAsiaTheme="minorEastAsia"/>
                <w:i/>
                <w:sz w:val="22"/>
                <w:lang w:val="en-US" w:eastAsia="zh-CN"/>
              </w:rPr>
              <w:t>drx-HARQ-RTT-TimerUL</w:t>
            </w:r>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25pt;height:14.95pt;mso-width-percent:0;mso-height-percent:0;mso-width-percent:0;mso-height-percent:0" o:ole="">
                        <v:imagedata r:id="rId63" o:title=""/>
                      </v:shape>
                      <o:OLEObject Type="Embed" ProgID="Equation.3" ShapeID="_x0000_i1040" DrawAspect="Content" ObjectID="_1743341846"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2.85pt;height:14.95pt;mso-width-percent:0;mso-height-percent:0;mso-width-percent:0;mso-height-percent:0" o:ole="">
                        <v:imagedata r:id="rId63" o:title=""/>
                      </v:shape>
                      <o:OLEObject Type="Embed" ProgID="Equation.3" ShapeID="_x0000_i1041" DrawAspect="Content" ObjectID="_1743341847" r:id="rId65"/>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7pt;height:10.7pt;mso-width-percent:0;mso-height-percent:0;mso-width-percent:0;mso-height-percent:0" o:ole="">
                        <v:imagedata r:id="rId66" o:title=""/>
                      </v:shape>
                      <o:OLEObject Type="Embed" ProgID="Equation.3" ShapeID="_x0000_i1042" DrawAspect="Content" ObjectID="_1743341848" r:id="rId67"/>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r w:rsidRPr="004660AE">
        <w:rPr>
          <w:rFonts w:eastAsia="MS Mincho" w:cs="Batang"/>
          <w:b/>
          <w:bCs/>
          <w:sz w:val="22"/>
          <w:szCs w:val="22"/>
        </w:rPr>
        <w:t xml:space="preserve">Apopt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25pt;height:14.95pt;mso-width-percent:0;mso-height-percent:0;mso-width-percent:0;mso-height-percent:0" o:ole="">
                  <v:imagedata r:id="rId63" o:title=""/>
                </v:shape>
                <o:OLEObject Type="Embed" ProgID="Equation.3" ShapeID="_x0000_i1043" DrawAspect="Content" ObjectID="_1743341849"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2.85pt;height:14.95pt;mso-width-percent:0;mso-height-percent:0;mso-width-percent:0;mso-height-percent:0" o:ole="">
                  <v:imagedata r:id="rId63" o:title=""/>
                </v:shape>
                <o:OLEObject Type="Embed" ProgID="Equation.3" ShapeID="_x0000_i1044" DrawAspect="Content" ObjectID="_1743341850" r:id="rId69"/>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7pt;height:10.7pt;mso-width-percent:0;mso-height-percent:0;mso-width-percent:0;mso-height-percent:0" o:ole="">
                  <v:imagedata r:id="rId66" o:title=""/>
                </v:shape>
                <o:OLEObject Type="Embed" ProgID="Equation.3" ShapeID="_x0000_i1045" DrawAspect="Content" ObjectID="_1743341851" r:id="rId70"/>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r w:rsidRPr="001A2624">
                    <w:rPr>
                      <w:rFonts w:eastAsia="SimSun"/>
                      <w:i/>
                      <w:iCs/>
                      <w:sz w:val="20"/>
                      <w:lang w:val="x-none" w:eastAsia="en-US"/>
                    </w:rPr>
                    <w:t>enableDefaultBeamP</w:t>
                  </w:r>
                  <w:r w:rsidRPr="001A2624">
                    <w:rPr>
                      <w:rFonts w:eastAsia="SimSun"/>
                      <w:i/>
                      <w:iCs/>
                      <w:sz w:val="20"/>
                      <w:lang w:val="en-US" w:eastAsia="en-US"/>
                    </w:rPr>
                    <w:t>L-</w:t>
                  </w:r>
                  <w:r w:rsidRPr="001A2624">
                    <w:rPr>
                      <w:rFonts w:eastAsia="SimSun"/>
                      <w:i/>
                      <w:iCs/>
                      <w:sz w:val="20"/>
                      <w:lang w:val="x-none" w:eastAsia="en-US"/>
                    </w:rPr>
                    <w:t>ForSRS</w:t>
                  </w:r>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PUSCH-PathlossReferenceRS</w:t>
                  </w:r>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e.g. 5 SSB samples are typically 100 ms.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UE behavior</w:t>
                  </w:r>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r>
                    <w:rPr>
                      <w:rStyle w:val="Emphasis"/>
                    </w:rPr>
                    <w:t>nfo</w:t>
                  </w:r>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r>
                    <w:rPr>
                      <w:i/>
                    </w:rPr>
                    <w:t>enableDefaultBeamPlForSRS</w:t>
                  </w:r>
                  <w:r>
                    <w:t xml:space="preserve"> and is </w:t>
                  </w:r>
                  <w:r>
                    <w:rPr>
                      <w:lang w:val="en-US"/>
                    </w:rPr>
                    <w:t xml:space="preserve">not </w:t>
                  </w:r>
                  <w:r>
                    <w:t xml:space="preserve">provided </w:t>
                  </w:r>
                  <w:r>
                    <w:rPr>
                      <w:i/>
                    </w:rPr>
                    <w:t>PUSCH-PathlossReferenceRS</w:t>
                  </w:r>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SRI-PUSCH-PowerControl</w:t>
                  </w:r>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r>
                    <w:rPr>
                      <w:rFonts w:eastAsia="MS Mincho"/>
                      <w:i/>
                    </w:rPr>
                    <w:t>athloss</w:t>
                  </w:r>
                  <w:r>
                    <w:rPr>
                      <w:rFonts w:eastAsia="MS Mincho"/>
                      <w:i/>
                      <w:lang w:val="en-US"/>
                    </w:rPr>
                    <w:t>R</w:t>
                  </w:r>
                  <w:r>
                    <w:rPr>
                      <w:rFonts w:eastAsia="MS Mincho"/>
                      <w:i/>
                    </w:rPr>
                    <w:t>eference</w:t>
                  </w:r>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r>
                    <w:rPr>
                      <w:i/>
                      <w:iCs/>
                    </w:rPr>
                    <w:t>pathlossReferenceLinking</w:t>
                  </w:r>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PUSCH-PathlossReferenceRS</w:t>
            </w:r>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r w:rsidRPr="00D910DF">
              <w:rPr>
                <w:rFonts w:eastAsia="Times New Roman"/>
                <w:bCs/>
                <w:i/>
                <w:iCs/>
                <w:sz w:val="22"/>
                <w:szCs w:val="22"/>
                <w:lang w:eastAsia="en-GB"/>
              </w:rPr>
              <w:t>enablePL-RS-UpdateForPUSCH-SRS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r w:rsidRPr="00E37E1B">
              <w:rPr>
                <w:rFonts w:eastAsiaTheme="minorEastAsia"/>
                <w:sz w:val="22"/>
                <w:szCs w:val="22"/>
                <w:lang w:eastAsia="zh-CN"/>
              </w:rPr>
              <w:t>simulteously</w:t>
            </w:r>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spational relation ifo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7BAC8" w14:textId="77777777" w:rsidR="00695736" w:rsidRDefault="00695736">
      <w:r>
        <w:separator/>
      </w:r>
    </w:p>
  </w:endnote>
  <w:endnote w:type="continuationSeparator" w:id="0">
    <w:p w14:paraId="28FACE92" w14:textId="77777777" w:rsidR="00695736" w:rsidRDefault="00695736">
      <w:r>
        <w:continuationSeparator/>
      </w:r>
    </w:p>
  </w:endnote>
  <w:endnote w:type="continuationNotice" w:id="1">
    <w:p w14:paraId="244D9D3C" w14:textId="77777777" w:rsidR="00695736" w:rsidRDefault="00695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5C5C" w14:textId="77777777" w:rsidR="00695736" w:rsidRDefault="00695736">
      <w:r>
        <w:separator/>
      </w:r>
    </w:p>
  </w:footnote>
  <w:footnote w:type="continuationSeparator" w:id="0">
    <w:p w14:paraId="7F34C1F6" w14:textId="77777777" w:rsidR="00695736" w:rsidRDefault="00695736">
      <w:r>
        <w:continuationSeparator/>
      </w:r>
    </w:p>
  </w:footnote>
  <w:footnote w:type="continuationNotice" w:id="1">
    <w:p w14:paraId="36C27018" w14:textId="77777777" w:rsidR="00695736" w:rsidRDefault="00695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55788370">
    <w:abstractNumId w:val="50"/>
  </w:num>
  <w:num w:numId="2" w16cid:durableId="1190296595">
    <w:abstractNumId w:val="22"/>
  </w:num>
  <w:num w:numId="3" w16cid:durableId="88359076">
    <w:abstractNumId w:val="62"/>
  </w:num>
  <w:num w:numId="4" w16cid:durableId="565918788">
    <w:abstractNumId w:val="12"/>
  </w:num>
  <w:num w:numId="5" w16cid:durableId="298807733">
    <w:abstractNumId w:val="15"/>
  </w:num>
  <w:num w:numId="6" w16cid:durableId="490606832">
    <w:abstractNumId w:val="25"/>
  </w:num>
  <w:num w:numId="7" w16cid:durableId="2006518394">
    <w:abstractNumId w:val="47"/>
  </w:num>
  <w:num w:numId="8" w16cid:durableId="1804619149">
    <w:abstractNumId w:val="30"/>
  </w:num>
  <w:num w:numId="9" w16cid:durableId="814177408">
    <w:abstractNumId w:val="29"/>
  </w:num>
  <w:num w:numId="10" w16cid:durableId="516505391">
    <w:abstractNumId w:val="21"/>
  </w:num>
  <w:num w:numId="11" w16cid:durableId="1921058556">
    <w:abstractNumId w:val="9"/>
  </w:num>
  <w:num w:numId="12" w16cid:durableId="460154847">
    <w:abstractNumId w:val="64"/>
  </w:num>
  <w:num w:numId="13" w16cid:durableId="1693414336">
    <w:abstractNumId w:val="60"/>
  </w:num>
  <w:num w:numId="14" w16cid:durableId="1982886890">
    <w:abstractNumId w:val="39"/>
  </w:num>
  <w:num w:numId="15" w16cid:durableId="1377270799">
    <w:abstractNumId w:val="43"/>
  </w:num>
  <w:num w:numId="16" w16cid:durableId="318728038">
    <w:abstractNumId w:val="11"/>
  </w:num>
  <w:num w:numId="17" w16cid:durableId="1921596274">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7906825">
    <w:abstractNumId w:val="37"/>
  </w:num>
  <w:num w:numId="19" w16cid:durableId="2078476507">
    <w:abstractNumId w:val="38"/>
  </w:num>
  <w:num w:numId="20" w16cid:durableId="314336920">
    <w:abstractNumId w:val="28"/>
  </w:num>
  <w:num w:numId="21" w16cid:durableId="1094518754">
    <w:abstractNumId w:val="13"/>
  </w:num>
  <w:num w:numId="22" w16cid:durableId="156045148">
    <w:abstractNumId w:val="52"/>
  </w:num>
  <w:num w:numId="23" w16cid:durableId="289095348">
    <w:abstractNumId w:val="2"/>
  </w:num>
  <w:num w:numId="24" w16cid:durableId="154566615">
    <w:abstractNumId w:val="46"/>
  </w:num>
  <w:num w:numId="25" w16cid:durableId="1752386019">
    <w:abstractNumId w:val="27"/>
  </w:num>
  <w:num w:numId="26" w16cid:durableId="1996451403">
    <w:abstractNumId w:val="41"/>
  </w:num>
  <w:num w:numId="27" w16cid:durableId="1111978326">
    <w:abstractNumId w:val="55"/>
  </w:num>
  <w:num w:numId="28" w16cid:durableId="337662148">
    <w:abstractNumId w:val="57"/>
  </w:num>
  <w:num w:numId="29" w16cid:durableId="204875494">
    <w:abstractNumId w:val="5"/>
  </w:num>
  <w:num w:numId="30" w16cid:durableId="1985238476">
    <w:abstractNumId w:val="44"/>
  </w:num>
  <w:num w:numId="31" w16cid:durableId="1730805794">
    <w:abstractNumId w:val="61"/>
  </w:num>
  <w:num w:numId="32" w16cid:durableId="1364788719">
    <w:abstractNumId w:val="18"/>
  </w:num>
  <w:num w:numId="33" w16cid:durableId="2101094971">
    <w:abstractNumId w:val="16"/>
  </w:num>
  <w:num w:numId="34" w16cid:durableId="483158697">
    <w:abstractNumId w:val="4"/>
  </w:num>
  <w:num w:numId="35" w16cid:durableId="1920938542">
    <w:abstractNumId w:val="63"/>
  </w:num>
  <w:num w:numId="36" w16cid:durableId="1800680270">
    <w:abstractNumId w:val="23"/>
  </w:num>
  <w:num w:numId="37" w16cid:durableId="999038166">
    <w:abstractNumId w:val="7"/>
  </w:num>
  <w:num w:numId="38" w16cid:durableId="543325552">
    <w:abstractNumId w:val="35"/>
  </w:num>
  <w:num w:numId="39" w16cid:durableId="1550417777">
    <w:abstractNumId w:val="59"/>
  </w:num>
  <w:num w:numId="40" w16cid:durableId="9725781">
    <w:abstractNumId w:val="53"/>
  </w:num>
  <w:num w:numId="41" w16cid:durableId="942304273">
    <w:abstractNumId w:val="45"/>
  </w:num>
  <w:num w:numId="42" w16cid:durableId="630676515">
    <w:abstractNumId w:val="0"/>
  </w:num>
  <w:num w:numId="43" w16cid:durableId="634259880">
    <w:abstractNumId w:val="48"/>
  </w:num>
  <w:num w:numId="44" w16cid:durableId="687487706">
    <w:abstractNumId w:val="1"/>
  </w:num>
  <w:num w:numId="45" w16cid:durableId="1523669016">
    <w:abstractNumId w:val="3"/>
  </w:num>
  <w:num w:numId="46" w16cid:durableId="2022050483">
    <w:abstractNumId w:val="14"/>
  </w:num>
  <w:num w:numId="47" w16cid:durableId="519395162">
    <w:abstractNumId w:val="24"/>
  </w:num>
  <w:num w:numId="48" w16cid:durableId="1495487434">
    <w:abstractNumId w:val="20"/>
  </w:num>
  <w:num w:numId="49" w16cid:durableId="1781950639">
    <w:abstractNumId w:val="17"/>
  </w:num>
  <w:num w:numId="50" w16cid:durableId="824594145">
    <w:abstractNumId w:val="6"/>
  </w:num>
  <w:num w:numId="51" w16cid:durableId="990645319">
    <w:abstractNumId w:val="51"/>
  </w:num>
  <w:num w:numId="52" w16cid:durableId="898394852">
    <w:abstractNumId w:val="26"/>
  </w:num>
  <w:num w:numId="53" w16cid:durableId="1110509331">
    <w:abstractNumId w:val="33"/>
  </w:num>
  <w:num w:numId="54" w16cid:durableId="1323043332">
    <w:abstractNumId w:val="42"/>
  </w:num>
  <w:num w:numId="55" w16cid:durableId="1645814133">
    <w:abstractNumId w:val="40"/>
  </w:num>
  <w:num w:numId="56" w16cid:durableId="1359232761">
    <w:abstractNumId w:val="34"/>
  </w:num>
  <w:num w:numId="57" w16cid:durableId="1321958736">
    <w:abstractNumId w:val="49"/>
  </w:num>
  <w:num w:numId="58" w16cid:durableId="1200431886">
    <w:abstractNumId w:val="32"/>
  </w:num>
  <w:num w:numId="59" w16cid:durableId="93482867">
    <w:abstractNumId w:val="19"/>
  </w:num>
  <w:num w:numId="60" w16cid:durableId="1831095935">
    <w:abstractNumId w:val="54"/>
  </w:num>
  <w:num w:numId="61" w16cid:durableId="1887451398">
    <w:abstractNumId w:val="36"/>
  </w:num>
  <w:num w:numId="62" w16cid:durableId="1987198376">
    <w:abstractNumId w:val="10"/>
  </w:num>
  <w:num w:numId="63" w16cid:durableId="1521629949">
    <w:abstractNumId w:val="8"/>
  </w:num>
  <w:num w:numId="64" w16cid:durableId="1374965687">
    <w:abstractNumId w:val="58"/>
  </w:num>
  <w:num w:numId="65" w16cid:durableId="420151552">
    <w:abstractNumId w:val="56"/>
  </w:num>
  <w:num w:numId="66" w16cid:durableId="1154644691">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6ED2"/>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27C"/>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36"/>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24E"/>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162"/>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276"/>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2.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3.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4.xml><?xml version="1.0" encoding="utf-8"?>
<ds:datastoreItem xmlns:ds="http://schemas.openxmlformats.org/officeDocument/2006/customXml" ds:itemID="{0B7B8A97-8050-4822-9CD5-C322797EC06F}">
  <ds:schemaRefs>
    <ds:schemaRef ds:uri="http://schemas.openxmlformats.org/officeDocument/2006/bibliography"/>
  </ds:schemaRefs>
</ds:datastoreItem>
</file>

<file path=customXml/itemProps5.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31974</Words>
  <Characters>182253</Characters>
  <Application>Microsoft Office Word</Application>
  <DocSecurity>0</DocSecurity>
  <Lines>1518</Lines>
  <Paragraphs>427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2023-04-18T22:33:00Z</dcterms:created>
  <dcterms:modified xsi:type="dcterms:W3CDTF">2023-04-18T23:46:00Z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