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p w14:paraId="6A607A9A" w14:textId="373917D3" w:rsidR="00847F22" w:rsidRPr="00FE7EB0" w:rsidRDefault="00E17A0E" w:rsidP="00847F22">
      <w:pPr>
        <w:pBdr>
          <w:bottom w:val="single" w:sz="4" w:space="1" w:color="auto"/>
        </w:pBdr>
        <w:tabs>
          <w:tab w:val="right" w:pos="9216"/>
        </w:tabs>
        <w:spacing w:after="0"/>
        <w:rPr>
          <w:b/>
          <w:kern w:val="2"/>
          <w:lang w:eastAsia="zh-CN"/>
        </w:rPr>
      </w:pPr>
      <w:r w:rsidRPr="00FE7EB0">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4979901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FE7EB0">
        <w:rPr>
          <w:b/>
          <w:kern w:val="2"/>
          <w:lang w:eastAsia="zh-CN"/>
        </w:rPr>
        <w:t xml:space="preserve">3GPP </w:t>
      </w:r>
      <w:r w:rsidR="00166BC4" w:rsidRPr="00FE7EB0">
        <w:rPr>
          <w:b/>
          <w:kern w:val="2"/>
          <w:lang w:eastAsia="zh-CN"/>
        </w:rPr>
        <w:t>TSG</w:t>
      </w:r>
      <w:r w:rsidR="00CF7C6E">
        <w:rPr>
          <w:b/>
          <w:kern w:val="2"/>
          <w:lang w:eastAsia="zh-CN"/>
        </w:rPr>
        <w:t>-</w:t>
      </w:r>
      <w:r w:rsidR="009C0564" w:rsidRPr="00FE7EB0">
        <w:rPr>
          <w:b/>
          <w:kern w:val="2"/>
          <w:lang w:eastAsia="zh-CN"/>
        </w:rPr>
        <w:t xml:space="preserve">RAN </w:t>
      </w:r>
      <w:r w:rsidR="001A2C89" w:rsidRPr="00FE7EB0">
        <w:rPr>
          <w:b/>
          <w:kern w:val="2"/>
          <w:lang w:eastAsia="zh-CN"/>
        </w:rPr>
        <w:t>WG</w:t>
      </w:r>
      <w:r w:rsidR="00FF2E73" w:rsidRPr="00FE7EB0">
        <w:rPr>
          <w:b/>
          <w:kern w:val="2"/>
          <w:lang w:eastAsia="zh-CN"/>
        </w:rPr>
        <w:t>1</w:t>
      </w:r>
      <w:r w:rsidR="005F4862" w:rsidRPr="00FE7EB0">
        <w:rPr>
          <w:b/>
          <w:lang w:eastAsia="zh-CN"/>
        </w:rPr>
        <w:t xml:space="preserve"> Meeting</w:t>
      </w:r>
      <w:r w:rsidR="00933C93" w:rsidRPr="00FE7EB0">
        <w:rPr>
          <w:b/>
          <w:lang w:eastAsia="zh-CN"/>
        </w:rPr>
        <w:t xml:space="preserve"> #</w:t>
      </w:r>
      <w:r w:rsidR="0069425A" w:rsidRPr="00FE7EB0">
        <w:rPr>
          <w:b/>
          <w:lang w:eastAsia="zh-CN"/>
        </w:rPr>
        <w:t>1</w:t>
      </w:r>
      <w:r w:rsidR="001F5693" w:rsidRPr="00FE7EB0">
        <w:rPr>
          <w:b/>
          <w:lang w:eastAsia="zh-CN"/>
        </w:rPr>
        <w:t>1</w:t>
      </w:r>
      <w:r w:rsidR="002721AC" w:rsidRPr="00FE7EB0">
        <w:rPr>
          <w:b/>
          <w:lang w:eastAsia="zh-CN"/>
        </w:rPr>
        <w:t>2</w:t>
      </w:r>
      <w:r w:rsidR="00972929" w:rsidRPr="00FE7EB0">
        <w:rPr>
          <w:b/>
          <w:kern w:val="2"/>
          <w:lang w:eastAsia="zh-CN"/>
        </w:rPr>
        <w:tab/>
      </w:r>
      <w:r w:rsidR="00C17886" w:rsidRPr="00C17886">
        <w:rPr>
          <w:b/>
          <w:kern w:val="2"/>
          <w:lang w:eastAsia="zh-CN"/>
        </w:rPr>
        <w:t>R1-2301712</w:t>
      </w:r>
    </w:p>
    <w:p w14:paraId="29201890" w14:textId="5AD09BBE" w:rsidR="009C0564" w:rsidRDefault="005A7701" w:rsidP="00F10127">
      <w:pPr>
        <w:pBdr>
          <w:bottom w:val="single" w:sz="4" w:space="1" w:color="auto"/>
        </w:pBdr>
        <w:tabs>
          <w:tab w:val="right" w:pos="9216"/>
        </w:tabs>
        <w:spacing w:after="0"/>
        <w:rPr>
          <w:b/>
          <w:bCs/>
          <w:lang w:eastAsia="zh-CN"/>
        </w:rPr>
      </w:pPr>
      <w:r w:rsidRPr="00FE7EB0">
        <w:rPr>
          <w:b/>
          <w:lang w:eastAsia="zh-CN"/>
        </w:rPr>
        <w:t xml:space="preserve">Athens, </w:t>
      </w:r>
      <w:r w:rsidR="00166BC4" w:rsidRPr="00FE7EB0">
        <w:rPr>
          <w:b/>
          <w:lang w:eastAsia="zh-CN"/>
        </w:rPr>
        <w:t>Greece</w:t>
      </w:r>
      <w:r w:rsidRPr="00FE7EB0">
        <w:rPr>
          <w:b/>
          <w:lang w:eastAsia="zh-CN"/>
        </w:rPr>
        <w:t>, February 27</w:t>
      </w:r>
      <w:r w:rsidR="001F5693" w:rsidRPr="00FE7EB0">
        <w:rPr>
          <w:b/>
          <w:lang w:eastAsia="zh-CN"/>
        </w:rPr>
        <w:t xml:space="preserve"> – </w:t>
      </w:r>
      <w:r w:rsidRPr="00FE7EB0">
        <w:rPr>
          <w:b/>
          <w:lang w:eastAsia="zh-CN"/>
        </w:rPr>
        <w:t>March 3</w:t>
      </w:r>
      <w:r w:rsidR="001F471A" w:rsidRPr="00FE7EB0">
        <w:rPr>
          <w:b/>
          <w:bCs/>
          <w:lang w:eastAsia="zh-CN"/>
        </w:rPr>
        <w:t>, 202</w:t>
      </w:r>
      <w:r w:rsidRPr="00C17886">
        <w:rPr>
          <w:b/>
          <w:bCs/>
          <w:lang w:eastAsia="zh-CN"/>
        </w:rPr>
        <w:t>3</w:t>
      </w:r>
    </w:p>
    <w:p w14:paraId="0FF3A9E2" w14:textId="77777777" w:rsidR="00F10127" w:rsidRPr="00E62B5E" w:rsidRDefault="00F10127" w:rsidP="00847F22">
      <w:pPr>
        <w:pBdr>
          <w:bottom w:val="single" w:sz="4" w:space="1" w:color="auto"/>
        </w:pBdr>
        <w:tabs>
          <w:tab w:val="right" w:pos="9216"/>
        </w:tabs>
        <w:rPr>
          <w:b/>
          <w:kern w:val="2"/>
          <w:sz w:val="16"/>
          <w:szCs w:val="16"/>
          <w:lang w:eastAsia="zh-CN"/>
        </w:rPr>
      </w:pPr>
    </w:p>
    <w:p w14:paraId="4F5B23C1" w14:textId="51501FC3" w:rsidR="009C0564" w:rsidRPr="00825C1F" w:rsidRDefault="009C0564" w:rsidP="00530B9C">
      <w:pPr>
        <w:spacing w:after="60"/>
        <w:ind w:left="1555" w:hanging="1555"/>
        <w:rPr>
          <w:b/>
          <w:kern w:val="2"/>
          <w:lang w:eastAsia="zh-CN"/>
        </w:rPr>
      </w:pPr>
      <w:r w:rsidRPr="00825C1F">
        <w:rPr>
          <w:b/>
          <w:kern w:val="2"/>
          <w:lang w:eastAsia="zh-CN"/>
        </w:rPr>
        <w:t>Agenda Item:</w:t>
      </w:r>
      <w:r w:rsidR="00F31B49" w:rsidRPr="006C160E">
        <w:rPr>
          <w:b/>
          <w:kern w:val="2"/>
          <w:lang w:eastAsia="zh-CN"/>
        </w:rPr>
        <w:tab/>
      </w:r>
      <w:r w:rsidR="001F5693" w:rsidRPr="00706E3A">
        <w:rPr>
          <w:b/>
          <w:kern w:val="2"/>
          <w:lang w:eastAsia="zh-CN"/>
        </w:rPr>
        <w:t>8.7</w:t>
      </w:r>
    </w:p>
    <w:p w14:paraId="76777BFA" w14:textId="77777777" w:rsidR="00BC1C3C" w:rsidRPr="00825C1F" w:rsidRDefault="00305FF9" w:rsidP="00530B9C">
      <w:pPr>
        <w:spacing w:after="60"/>
        <w:ind w:left="1555" w:hanging="1555"/>
        <w:rPr>
          <w:b/>
          <w:kern w:val="2"/>
          <w:lang w:eastAsia="zh-CN"/>
        </w:rPr>
      </w:pPr>
      <w:r w:rsidRPr="00825C1F">
        <w:rPr>
          <w:b/>
          <w:kern w:val="2"/>
          <w:lang w:eastAsia="zh-CN"/>
        </w:rPr>
        <w:t>Source:</w:t>
      </w:r>
      <w:r w:rsidRPr="00825C1F">
        <w:rPr>
          <w:b/>
          <w:kern w:val="2"/>
          <w:lang w:eastAsia="zh-CN"/>
        </w:rPr>
        <w:tab/>
      </w:r>
      <w:r w:rsidR="009C0564" w:rsidRPr="00825C1F">
        <w:rPr>
          <w:b/>
          <w:kern w:val="2"/>
          <w:lang w:eastAsia="zh-CN"/>
        </w:rPr>
        <w:t>Huawei</w:t>
      </w:r>
      <w:r w:rsidR="00EE7ABA" w:rsidRPr="00825C1F">
        <w:rPr>
          <w:b/>
          <w:kern w:val="2"/>
          <w:lang w:eastAsia="zh-CN"/>
        </w:rPr>
        <w:t>, HiSilicon</w:t>
      </w:r>
    </w:p>
    <w:p w14:paraId="79EA185A" w14:textId="075B96C5" w:rsidR="0069425A" w:rsidRPr="00825C1F" w:rsidRDefault="009C0564" w:rsidP="00530B9C">
      <w:pPr>
        <w:spacing w:after="60"/>
        <w:ind w:left="1555" w:hanging="1555"/>
        <w:rPr>
          <w:b/>
          <w:kern w:val="2"/>
          <w:lang w:eastAsia="zh-CN"/>
        </w:rPr>
      </w:pPr>
      <w:r w:rsidRPr="00825C1F">
        <w:rPr>
          <w:b/>
          <w:kern w:val="2"/>
          <w:lang w:eastAsia="zh-CN"/>
        </w:rPr>
        <w:t>Title:</w:t>
      </w:r>
      <w:r w:rsidRPr="00825C1F">
        <w:rPr>
          <w:b/>
          <w:kern w:val="2"/>
          <w:lang w:eastAsia="zh-CN"/>
        </w:rPr>
        <w:tab/>
      </w:r>
      <w:bookmarkStart w:id="1" w:name="OLE_LINK3"/>
      <w:r w:rsidR="00A77C46" w:rsidRPr="00A77C46">
        <w:rPr>
          <w:b/>
          <w:kern w:val="2"/>
          <w:lang w:eastAsia="zh-CN"/>
        </w:rPr>
        <w:t>Discussion on PDCCH monitoring adaptation and BWP switching</w:t>
      </w:r>
    </w:p>
    <w:bookmarkEnd w:id="1"/>
    <w:p w14:paraId="755E6BF2" w14:textId="77777777" w:rsidR="009C0564" w:rsidRPr="00825C1F" w:rsidRDefault="009C0564" w:rsidP="00530B9C">
      <w:pPr>
        <w:spacing w:after="60"/>
        <w:ind w:left="1555" w:hanging="1555"/>
        <w:rPr>
          <w:b/>
          <w:kern w:val="2"/>
          <w:lang w:eastAsia="zh-CN"/>
        </w:rPr>
      </w:pPr>
      <w:r w:rsidRPr="00825C1F">
        <w:rPr>
          <w:b/>
          <w:kern w:val="2"/>
          <w:lang w:eastAsia="zh-CN"/>
        </w:rPr>
        <w:t>Document for:</w:t>
      </w:r>
      <w:r w:rsidRPr="00825C1F">
        <w:rPr>
          <w:b/>
          <w:kern w:val="2"/>
          <w:lang w:eastAsia="zh-CN"/>
        </w:rPr>
        <w:tab/>
      </w:r>
      <w:r w:rsidR="001F7121" w:rsidRPr="00825C1F">
        <w:rPr>
          <w:b/>
          <w:kern w:val="2"/>
          <w:lang w:eastAsia="zh-CN"/>
        </w:rPr>
        <w:t xml:space="preserve">Discussion and </w:t>
      </w:r>
      <w:r w:rsidR="00BF73E2" w:rsidRPr="00825C1F">
        <w:rPr>
          <w:b/>
          <w:kern w:val="2"/>
          <w:lang w:eastAsia="zh-CN"/>
        </w:rPr>
        <w:t>D</w:t>
      </w:r>
      <w:r w:rsidR="001F7121" w:rsidRPr="00825C1F">
        <w:rPr>
          <w:b/>
          <w:kern w:val="2"/>
          <w:lang w:eastAsia="zh-CN"/>
        </w:rPr>
        <w:t>ecision</w:t>
      </w:r>
      <w:r w:rsidR="002D0439" w:rsidRPr="00825C1F">
        <w:rPr>
          <w:b/>
          <w:kern w:val="2"/>
          <w:lang w:eastAsia="zh-CN"/>
        </w:rPr>
        <w:t xml:space="preserve"> </w:t>
      </w:r>
    </w:p>
    <w:p w14:paraId="4260199A" w14:textId="77777777" w:rsidR="009C0564" w:rsidRPr="00E62B5E" w:rsidRDefault="009C0564" w:rsidP="00530B9C">
      <w:pPr>
        <w:pBdr>
          <w:bottom w:val="single" w:sz="4" w:space="1" w:color="auto"/>
        </w:pBdr>
        <w:spacing w:after="0"/>
        <w:rPr>
          <w:b/>
          <w:kern w:val="2"/>
          <w:sz w:val="16"/>
          <w:szCs w:val="16"/>
          <w:lang w:eastAsia="zh-CN"/>
        </w:rPr>
      </w:pPr>
    </w:p>
    <w:p w14:paraId="7BC2F7FE" w14:textId="4F44E8E9" w:rsidR="009C0564" w:rsidRPr="00E62B5E" w:rsidRDefault="009C0564" w:rsidP="005B1AA6">
      <w:pPr>
        <w:pStyle w:val="1"/>
        <w:spacing w:before="240"/>
        <w:ind w:left="431" w:hanging="431"/>
      </w:pPr>
      <w:bookmarkStart w:id="2" w:name="_Ref124589705"/>
      <w:bookmarkStart w:id="3" w:name="_Ref129681862"/>
      <w:r w:rsidRPr="00E62B5E">
        <w:t>Introduction</w:t>
      </w:r>
      <w:bookmarkEnd w:id="2"/>
      <w:bookmarkEnd w:id="3"/>
    </w:p>
    <w:p w14:paraId="29CA8416" w14:textId="229A79D2" w:rsidR="00E10EF3" w:rsidRDefault="00A77C46">
      <w:pPr>
        <w:spacing w:beforeLines="50" w:before="120"/>
        <w:rPr>
          <w:lang w:eastAsia="zh-CN"/>
        </w:rPr>
      </w:pPr>
      <w:bookmarkStart w:id="4" w:name="OLE_LINK13"/>
      <w:r w:rsidRPr="00825C1F">
        <w:rPr>
          <w:rFonts w:hint="eastAsia"/>
          <w:lang w:eastAsia="zh-CN"/>
        </w:rPr>
        <w:t>I</w:t>
      </w:r>
      <w:r>
        <w:rPr>
          <w:lang w:eastAsia="zh-CN"/>
        </w:rPr>
        <w:t xml:space="preserve">n RAN1#111 </w:t>
      </w:r>
      <w:r w:rsidRPr="00825C1F">
        <w:rPr>
          <w:lang w:eastAsia="zh-CN"/>
        </w:rPr>
        <w:t>meeting,</w:t>
      </w:r>
      <w:r>
        <w:rPr>
          <w:lang w:eastAsia="zh-CN"/>
        </w:rPr>
        <w:t xml:space="preserve"> </w:t>
      </w:r>
      <w:r w:rsidR="00E10EF3">
        <w:rPr>
          <w:lang w:eastAsia="zh-CN"/>
        </w:rPr>
        <w:t xml:space="preserve">issues on PDCCH monitoring adaptation and active BWP switching was discussed </w:t>
      </w:r>
      <w:r w:rsidR="00E20695">
        <w:rPr>
          <w:lang w:eastAsia="zh-CN"/>
        </w:rPr>
        <w:t xml:space="preserve">and part of issues was resolved </w:t>
      </w:r>
      <w:r w:rsidR="00E10EF3">
        <w:rPr>
          <w:lang w:eastAsia="zh-CN"/>
        </w:rPr>
        <w:t xml:space="preserve">[1]. </w:t>
      </w:r>
      <w:r w:rsidR="00E20695">
        <w:rPr>
          <w:lang w:eastAsia="zh-CN"/>
        </w:rPr>
        <w:t xml:space="preserve">The remaining issue is active BWP </w:t>
      </w:r>
      <w:r w:rsidR="000B191A">
        <w:rPr>
          <w:lang w:eastAsia="zh-CN"/>
        </w:rPr>
        <w:t xml:space="preserve">change </w:t>
      </w:r>
      <w:r w:rsidR="00E20695">
        <w:rPr>
          <w:lang w:eastAsia="zh-CN"/>
        </w:rPr>
        <w:t>is triggered by the same DCI that also indicates PDCCH monitoring adaptation.</w:t>
      </w:r>
      <w:r w:rsidR="00E10EF3">
        <w:rPr>
          <w:lang w:eastAsia="zh-CN"/>
        </w:rPr>
        <w:t xml:space="preserve"> </w:t>
      </w:r>
    </w:p>
    <w:p w14:paraId="2CF46E58" w14:textId="6EA2419D" w:rsidR="00B823F2" w:rsidRPr="000E68E7" w:rsidRDefault="003E1384">
      <w:pPr>
        <w:spacing w:beforeLines="50" w:before="120"/>
        <w:rPr>
          <w:rFonts w:eastAsiaTheme="minorEastAsia"/>
          <w:lang w:eastAsia="zh-CN"/>
        </w:rPr>
      </w:pPr>
      <w:r w:rsidRPr="00825C1F">
        <w:rPr>
          <w:rFonts w:eastAsiaTheme="minorEastAsia"/>
          <w:lang w:eastAsia="zh-CN"/>
        </w:rPr>
        <w:t>In t</w:t>
      </w:r>
      <w:r w:rsidR="00B823F2" w:rsidRPr="006C160E">
        <w:rPr>
          <w:rFonts w:eastAsiaTheme="minorEastAsia"/>
          <w:lang w:eastAsia="zh-CN"/>
        </w:rPr>
        <w:t>his contribution</w:t>
      </w:r>
      <w:r w:rsidRPr="00477C2C">
        <w:rPr>
          <w:rFonts w:eastAsiaTheme="minorEastAsia"/>
          <w:lang w:eastAsia="zh-CN"/>
        </w:rPr>
        <w:t>,</w:t>
      </w:r>
      <w:r w:rsidR="000E68E7">
        <w:rPr>
          <w:rFonts w:eastAsiaTheme="minorEastAsia"/>
          <w:lang w:eastAsia="zh-CN"/>
        </w:rPr>
        <w:t xml:space="preserve"> we will further discuss</w:t>
      </w:r>
      <w:r w:rsidR="00E20695">
        <w:rPr>
          <w:rFonts w:eastAsiaTheme="minorEastAsia"/>
          <w:lang w:eastAsia="zh-CN"/>
        </w:rPr>
        <w:t xml:space="preserve"> the remaining issue</w:t>
      </w:r>
      <w:r w:rsidR="000E68E7">
        <w:rPr>
          <w:rFonts w:eastAsiaTheme="minorEastAsia"/>
          <w:lang w:eastAsia="zh-CN"/>
        </w:rPr>
        <w:t>.</w:t>
      </w:r>
      <w:r w:rsidR="007815C7" w:rsidRPr="00825C1F">
        <w:rPr>
          <w:rFonts w:eastAsiaTheme="minorEastAsia"/>
          <w:lang w:eastAsia="zh-CN"/>
        </w:rPr>
        <w:t xml:space="preserve"> </w:t>
      </w:r>
    </w:p>
    <w:p w14:paraId="160841C6" w14:textId="208F9810" w:rsidR="00083110" w:rsidRDefault="00A77C46" w:rsidP="00083110">
      <w:pPr>
        <w:pStyle w:val="1"/>
        <w:rPr>
          <w:lang w:eastAsia="ja-JP"/>
        </w:rPr>
      </w:pPr>
      <w:bookmarkStart w:id="5" w:name="_Ref129681832"/>
      <w:bookmarkEnd w:id="4"/>
      <w:r>
        <w:rPr>
          <w:lang w:eastAsia="ja-JP"/>
        </w:rPr>
        <w:t>Discussion</w:t>
      </w:r>
    </w:p>
    <w:p w14:paraId="3E6D0D47" w14:textId="759F3395" w:rsidR="00A40452" w:rsidRDefault="000E4BBB" w:rsidP="00A40452">
      <w:pPr>
        <w:rPr>
          <w:lang w:eastAsia="zh-CN"/>
        </w:rPr>
      </w:pPr>
      <w:r>
        <w:rPr>
          <w:lang w:eastAsia="zh-CN"/>
        </w:rPr>
        <w:t>According to</w:t>
      </w:r>
      <w:r w:rsidR="00E20695">
        <w:rPr>
          <w:lang w:eastAsia="zh-CN"/>
        </w:rPr>
        <w:t xml:space="preserve"> </w:t>
      </w:r>
      <w:r>
        <w:rPr>
          <w:lang w:eastAsia="zh-CN"/>
        </w:rPr>
        <w:t>the FL summary</w:t>
      </w:r>
      <w:r w:rsidR="002721AC">
        <w:rPr>
          <w:lang w:eastAsia="zh-CN"/>
        </w:rPr>
        <w:t xml:space="preserve"> [1]</w:t>
      </w:r>
      <w:r w:rsidR="00A40452" w:rsidRPr="00825C1F">
        <w:rPr>
          <w:lang w:eastAsia="zh-CN"/>
        </w:rPr>
        <w:t xml:space="preserve">, </w:t>
      </w:r>
      <w:r>
        <w:rPr>
          <w:lang w:eastAsia="zh-CN"/>
        </w:rPr>
        <w:t xml:space="preserve">two directions </w:t>
      </w:r>
      <w:r w:rsidR="00AD5AED">
        <w:rPr>
          <w:lang w:eastAsia="zh-CN"/>
        </w:rPr>
        <w:t xml:space="preserve">were provided </w:t>
      </w:r>
      <w:r>
        <w:rPr>
          <w:lang w:eastAsia="zh-CN"/>
        </w:rPr>
        <w:t xml:space="preserve">for </w:t>
      </w:r>
      <w:bookmarkStart w:id="6" w:name="OLE_LINK4"/>
      <w:r>
        <w:rPr>
          <w:lang w:eastAsia="zh-CN"/>
        </w:rPr>
        <w:t xml:space="preserve">the issue on active BWP </w:t>
      </w:r>
      <w:r w:rsidR="000B191A">
        <w:rPr>
          <w:lang w:eastAsia="zh-CN"/>
        </w:rPr>
        <w:t xml:space="preserve">change </w:t>
      </w:r>
      <w:r>
        <w:rPr>
          <w:lang w:eastAsia="zh-CN"/>
        </w:rPr>
        <w:t>is triggered by the same DCI that also indicates PDCCH monitoring adaptation</w:t>
      </w:r>
      <w:bookmarkEnd w:id="6"/>
      <w:r>
        <w:rPr>
          <w:lang w:eastAsia="zh-CN"/>
        </w:rPr>
        <w:t>.</w:t>
      </w:r>
    </w:p>
    <w:tbl>
      <w:tblPr>
        <w:tblStyle w:val="ae"/>
        <w:tblW w:w="0" w:type="auto"/>
        <w:tblLook w:val="04A0" w:firstRow="1" w:lastRow="0" w:firstColumn="1" w:lastColumn="0" w:noHBand="0" w:noVBand="1"/>
      </w:tblPr>
      <w:tblGrid>
        <w:gridCol w:w="9307"/>
      </w:tblGrid>
      <w:tr w:rsidR="005B1BF3" w14:paraId="55974598" w14:textId="77777777" w:rsidTr="005B1BF3">
        <w:tc>
          <w:tcPr>
            <w:tcW w:w="9307" w:type="dxa"/>
          </w:tcPr>
          <w:p w14:paraId="054D72D9" w14:textId="225E6A1A" w:rsidR="000E4BBB" w:rsidRDefault="000E4BBB" w:rsidP="000E4BBB">
            <w:pPr>
              <w:pStyle w:val="af3"/>
              <w:numPr>
                <w:ilvl w:val="0"/>
                <w:numId w:val="40"/>
              </w:numPr>
              <w:overflowPunct/>
              <w:autoSpaceDE/>
              <w:autoSpaceDN/>
              <w:adjustRightInd/>
              <w:spacing w:after="0" w:line="256" w:lineRule="auto"/>
              <w:contextualSpacing w:val="0"/>
              <w:jc w:val="both"/>
              <w:rPr>
                <w:sz w:val="22"/>
                <w:szCs w:val="22"/>
              </w:rPr>
            </w:pPr>
            <w:bookmarkStart w:id="7" w:name="OLE_LINK5"/>
            <w:r>
              <w:rPr>
                <w:sz w:val="22"/>
                <w:szCs w:val="22"/>
                <w:u w:val="single"/>
              </w:rPr>
              <w:t>Direction 1</w:t>
            </w:r>
            <w:r>
              <w:rPr>
                <w:sz w:val="22"/>
                <w:szCs w:val="22"/>
              </w:rPr>
              <w:t xml:space="preserve">: PDCCH monitoring adaptation is according to the DCI indication </w:t>
            </w:r>
            <w:r w:rsidR="00F86A23">
              <w:rPr>
                <w:sz w:val="22"/>
                <w:szCs w:val="22"/>
              </w:rPr>
              <w:t>interpreted</w:t>
            </w:r>
            <w:r>
              <w:rPr>
                <w:sz w:val="22"/>
                <w:szCs w:val="22"/>
              </w:rPr>
              <w:t xml:space="preserve"> based on target BWP configuration. Yet the application timing of PDCCH monitoring adaptation is after BWP switch</w:t>
            </w:r>
          </w:p>
          <w:p w14:paraId="10A6444F" w14:textId="2CB44AD6" w:rsidR="005B1BF3" w:rsidRPr="000E4BBB" w:rsidRDefault="000E4BBB" w:rsidP="000E4BBB">
            <w:pPr>
              <w:pStyle w:val="af3"/>
              <w:numPr>
                <w:ilvl w:val="0"/>
                <w:numId w:val="41"/>
              </w:numPr>
              <w:overflowPunct/>
              <w:autoSpaceDE/>
              <w:autoSpaceDN/>
              <w:adjustRightInd/>
              <w:spacing w:after="0" w:line="256" w:lineRule="auto"/>
              <w:contextualSpacing w:val="0"/>
              <w:jc w:val="both"/>
              <w:rPr>
                <w:sz w:val="22"/>
                <w:szCs w:val="22"/>
              </w:rPr>
            </w:pPr>
            <w:r>
              <w:rPr>
                <w:sz w:val="22"/>
                <w:szCs w:val="22"/>
                <w:u w:val="single"/>
              </w:rPr>
              <w:t>Direction 2</w:t>
            </w:r>
            <w:r>
              <w:rPr>
                <w:sz w:val="22"/>
                <w:szCs w:val="22"/>
              </w:rPr>
              <w:t xml:space="preserve">: PDCCH monitoring adaptation is not applied for this case, and UE PDCCH monitoring after BWP switch is based on default setting (as the case active BWP change is triggered by expiration of </w:t>
            </w:r>
            <w:proofErr w:type="spellStart"/>
            <w:r>
              <w:rPr>
                <w:sz w:val="22"/>
                <w:szCs w:val="22"/>
              </w:rPr>
              <w:t>bwp-InactivityTimer</w:t>
            </w:r>
            <w:proofErr w:type="spellEnd"/>
            <w:r>
              <w:rPr>
                <w:sz w:val="22"/>
                <w:szCs w:val="22"/>
              </w:rPr>
              <w:t xml:space="preserve">)  </w:t>
            </w:r>
            <w:bookmarkEnd w:id="7"/>
          </w:p>
        </w:tc>
      </w:tr>
    </w:tbl>
    <w:p w14:paraId="47618D6E" w14:textId="4074C3ED" w:rsidR="005B1BF3" w:rsidRPr="00CE21FF" w:rsidRDefault="00F86A23" w:rsidP="00A40452">
      <w:pPr>
        <w:rPr>
          <w:lang w:eastAsia="zh-CN"/>
        </w:rPr>
      </w:pPr>
      <w:r w:rsidRPr="00CE21FF">
        <w:rPr>
          <w:rFonts w:hint="eastAsia"/>
          <w:lang w:eastAsia="zh-CN"/>
        </w:rPr>
        <w:t>I</w:t>
      </w:r>
      <w:r w:rsidR="00CE21FF" w:rsidRPr="00CE21FF">
        <w:rPr>
          <w:lang w:eastAsia="zh-CN"/>
        </w:rPr>
        <w:t xml:space="preserve">n </w:t>
      </w:r>
      <w:r w:rsidRPr="00CE21FF">
        <w:rPr>
          <w:lang w:eastAsia="zh-CN"/>
        </w:rPr>
        <w:t>TS 38.213 [2], the following specification</w:t>
      </w:r>
      <w:r w:rsidR="00B94B87">
        <w:rPr>
          <w:lang w:eastAsia="zh-CN"/>
        </w:rPr>
        <w:t xml:space="preserve"> describes</w:t>
      </w:r>
      <w:r w:rsidRPr="00CE21FF">
        <w:rPr>
          <w:lang w:eastAsia="zh-CN"/>
        </w:rPr>
        <w:t xml:space="preserve"> </w:t>
      </w:r>
      <w:r w:rsidR="00B94B87">
        <w:rPr>
          <w:lang w:eastAsia="zh-CN"/>
        </w:rPr>
        <w:t>how to interpret</w:t>
      </w:r>
      <w:r w:rsidR="005925DA">
        <w:rPr>
          <w:lang w:eastAsia="zh-CN"/>
        </w:rPr>
        <w:t xml:space="preserve"> each</w:t>
      </w:r>
      <w:r w:rsidR="00B94B87">
        <w:rPr>
          <w:lang w:eastAsia="zh-CN"/>
        </w:rPr>
        <w:t xml:space="preserve"> field </w:t>
      </w:r>
      <w:r w:rsidR="005925DA">
        <w:rPr>
          <w:lang w:eastAsia="zh-CN"/>
        </w:rPr>
        <w:t>in</w:t>
      </w:r>
      <w:r w:rsidR="00B94B87">
        <w:rPr>
          <w:lang w:eastAsia="zh-CN"/>
        </w:rPr>
        <w:t xml:space="preserve"> the DCI in case of a DCI indicating BWP switching. According to the specification, </w:t>
      </w:r>
      <w:r w:rsidRPr="00CE21FF">
        <w:rPr>
          <w:lang w:eastAsia="zh-CN"/>
        </w:rPr>
        <w:t xml:space="preserve">each field of </w:t>
      </w:r>
      <w:r w:rsidR="005925DA">
        <w:rPr>
          <w:lang w:eastAsia="zh-CN"/>
        </w:rPr>
        <w:t xml:space="preserve">the </w:t>
      </w:r>
      <w:r w:rsidRPr="00CE21FF">
        <w:rPr>
          <w:lang w:eastAsia="zh-CN"/>
        </w:rPr>
        <w:t xml:space="preserve">DCI is interpreted based on the target BWP configuration. In case of a DCI indicating BWP switching and PDCCH monitoring adaptation simultaneously, the same principle should be </w:t>
      </w:r>
      <w:r w:rsidR="00CE21FF" w:rsidRPr="00CE21FF">
        <w:rPr>
          <w:lang w:eastAsia="zh-CN"/>
        </w:rPr>
        <w:t xml:space="preserve">also </w:t>
      </w:r>
      <w:r w:rsidRPr="00CE21FF">
        <w:rPr>
          <w:lang w:eastAsia="zh-CN"/>
        </w:rPr>
        <w:t>applied</w:t>
      </w:r>
      <w:r w:rsidR="00CE21FF" w:rsidRPr="00CE21FF">
        <w:rPr>
          <w:lang w:eastAsia="zh-CN"/>
        </w:rPr>
        <w:t>, i.e., the indicated PDCCH monitoring adaptation is interpreted based on the target BWP configuration.</w:t>
      </w:r>
      <w:r w:rsidR="00E47C91">
        <w:rPr>
          <w:lang w:eastAsia="zh-CN"/>
        </w:rPr>
        <w:t xml:space="preserve"> </w:t>
      </w:r>
      <w:r w:rsidR="00B94B87">
        <w:rPr>
          <w:lang w:eastAsia="zh-CN"/>
        </w:rPr>
        <w:t xml:space="preserve">In Direction 2, the indicated </w:t>
      </w:r>
      <w:r w:rsidR="00B94B87" w:rsidRPr="00CE21FF">
        <w:rPr>
          <w:lang w:eastAsia="zh-CN"/>
        </w:rPr>
        <w:t>PDCCH monitoring adaptation</w:t>
      </w:r>
      <w:r w:rsidR="00B94B87">
        <w:rPr>
          <w:lang w:eastAsia="zh-CN"/>
        </w:rPr>
        <w:t xml:space="preserve"> is ignored, which</w:t>
      </w:r>
      <w:r w:rsidR="00F872BA">
        <w:rPr>
          <w:lang w:eastAsia="zh-CN"/>
        </w:rPr>
        <w:t xml:space="preserve"> does not match the current principle.</w:t>
      </w:r>
    </w:p>
    <w:tbl>
      <w:tblPr>
        <w:tblStyle w:val="ae"/>
        <w:tblW w:w="0" w:type="auto"/>
        <w:tblLook w:val="04A0" w:firstRow="1" w:lastRow="0" w:firstColumn="1" w:lastColumn="0" w:noHBand="0" w:noVBand="1"/>
      </w:tblPr>
      <w:tblGrid>
        <w:gridCol w:w="9307"/>
      </w:tblGrid>
      <w:tr w:rsidR="005166DF" w14:paraId="65D705A5" w14:textId="77777777" w:rsidTr="005166DF">
        <w:tc>
          <w:tcPr>
            <w:tcW w:w="9307" w:type="dxa"/>
          </w:tcPr>
          <w:p w14:paraId="59E380EE" w14:textId="572E9F93" w:rsidR="005166DF" w:rsidRPr="00DE7824" w:rsidRDefault="005166DF" w:rsidP="00A40452">
            <w:pPr>
              <w:rPr>
                <w:rFonts w:eastAsiaTheme="minorEastAsia"/>
                <w:b/>
                <w:u w:val="single"/>
                <w:lang w:eastAsia="zh-CN"/>
              </w:rPr>
            </w:pPr>
            <w:r w:rsidRPr="00DE7824">
              <w:rPr>
                <w:rFonts w:eastAsiaTheme="minorEastAsia" w:hint="eastAsia"/>
                <w:b/>
                <w:u w:val="single"/>
                <w:lang w:eastAsia="zh-CN"/>
              </w:rPr>
              <w:t>T</w:t>
            </w:r>
            <w:r w:rsidRPr="00DE7824">
              <w:rPr>
                <w:rFonts w:eastAsiaTheme="minorEastAsia"/>
                <w:b/>
                <w:u w:val="single"/>
                <w:lang w:eastAsia="zh-CN"/>
              </w:rPr>
              <w:t xml:space="preserve">S38.213 </w:t>
            </w:r>
            <w:r w:rsidR="00A009CF">
              <w:rPr>
                <w:rFonts w:eastAsiaTheme="minorEastAsia"/>
                <w:b/>
                <w:u w:val="single"/>
                <w:lang w:eastAsia="zh-CN"/>
              </w:rPr>
              <w:t>v17.4.0</w:t>
            </w:r>
          </w:p>
          <w:p w14:paraId="40227155" w14:textId="77777777" w:rsidR="00DE7824" w:rsidRDefault="00DE7824" w:rsidP="00DE7824">
            <w:pPr>
              <w:pStyle w:val="1"/>
              <w:numPr>
                <w:ilvl w:val="0"/>
                <w:numId w:val="0"/>
              </w:numPr>
              <w:tabs>
                <w:tab w:val="left" w:pos="1134"/>
              </w:tabs>
              <w:outlineLvl w:val="0"/>
              <w:rPr>
                <w:sz w:val="36"/>
                <w:szCs w:val="20"/>
              </w:rPr>
            </w:pPr>
            <w:bookmarkStart w:id="8" w:name="_Toc122000487"/>
            <w:bookmarkStart w:id="9" w:name="_Toc45699226"/>
            <w:bookmarkStart w:id="10" w:name="_Toc36498198"/>
            <w:bookmarkStart w:id="11" w:name="_Toc29917324"/>
            <w:bookmarkStart w:id="12" w:name="_Toc29899588"/>
            <w:bookmarkStart w:id="13" w:name="_Toc29899170"/>
            <w:bookmarkStart w:id="14" w:name="_Toc29894871"/>
            <w:bookmarkStart w:id="15" w:name="_Toc26719431"/>
            <w:bookmarkStart w:id="16" w:name="_Toc20311606"/>
            <w:bookmarkStart w:id="17" w:name="_Toc12021494"/>
            <w:bookmarkStart w:id="18" w:name="_Ref496621482"/>
            <w:r>
              <w:t>12</w:t>
            </w:r>
            <w:r>
              <w:tab/>
              <w:t>Bandwidth part operation</w:t>
            </w:r>
            <w:bookmarkEnd w:id="8"/>
            <w:bookmarkEnd w:id="9"/>
            <w:bookmarkEnd w:id="10"/>
            <w:bookmarkEnd w:id="11"/>
            <w:bookmarkEnd w:id="12"/>
            <w:bookmarkEnd w:id="13"/>
            <w:bookmarkEnd w:id="14"/>
            <w:bookmarkEnd w:id="15"/>
            <w:bookmarkEnd w:id="16"/>
            <w:bookmarkEnd w:id="17"/>
            <w:bookmarkEnd w:id="18"/>
            <w:r>
              <w:t xml:space="preserve"> </w:t>
            </w:r>
          </w:p>
          <w:p w14:paraId="10666204" w14:textId="466DD927" w:rsidR="00BB51CE" w:rsidRDefault="00DE7824" w:rsidP="00DE7824">
            <w:pPr>
              <w:rPr>
                <w:rFonts w:eastAsiaTheme="minorEastAsia"/>
                <w:lang w:eastAsia="zh-CN"/>
              </w:rPr>
            </w:pPr>
            <w:r>
              <w:rPr>
                <w:rFonts w:eastAsiaTheme="minorEastAsia" w:hint="eastAsia"/>
                <w:lang w:eastAsia="zh-CN"/>
              </w:rPr>
              <w:t>&lt;</w:t>
            </w:r>
            <w:r>
              <w:rPr>
                <w:rFonts w:eastAsiaTheme="minorEastAsia"/>
                <w:lang w:eastAsia="zh-CN"/>
              </w:rPr>
              <w:t>omitted&gt;</w:t>
            </w:r>
          </w:p>
          <w:p w14:paraId="07374CD0" w14:textId="02DCC36E" w:rsidR="00DE7824" w:rsidRPr="00BB51CE" w:rsidRDefault="00BB51CE" w:rsidP="00DE7824">
            <w:r>
              <w:rPr>
                <w:rFonts w:eastAsiaTheme="minorEastAsia"/>
                <w:lang w:eastAsia="zh-CN"/>
              </w:rPr>
              <w:t xml:space="preserve">… </w:t>
            </w:r>
            <w:r w:rsidR="00DE7824" w:rsidRPr="00BB51CE">
              <w:t xml:space="preserve">If a bandwidth part indicator field </w:t>
            </w:r>
            <w:r w:rsidR="00DE7824" w:rsidRPr="00BB51CE">
              <w:rPr>
                <w:lang w:eastAsia="ja-JP"/>
              </w:rPr>
              <w:t>is configured in a DCI format and</w:t>
            </w:r>
            <w:r w:rsidR="00DE7824" w:rsidRPr="00BB51CE">
              <w:t xml:space="preserve"> indicates an UL BWP or a DL BWP different from the active UL BWP or DL BWP, respectively, the UE shall</w:t>
            </w:r>
          </w:p>
          <w:p w14:paraId="6F8A88AC" w14:textId="77777777" w:rsidR="00DE7824" w:rsidRPr="00BB51CE" w:rsidRDefault="00DE7824" w:rsidP="00DE7824">
            <w:pPr>
              <w:pStyle w:val="B1"/>
              <w:rPr>
                <w:sz w:val="22"/>
                <w:szCs w:val="22"/>
              </w:rPr>
            </w:pPr>
            <w:r w:rsidRPr="00BB51CE">
              <w:rPr>
                <w:sz w:val="22"/>
                <w:szCs w:val="22"/>
              </w:rPr>
              <w:t>-</w:t>
            </w:r>
            <w:r w:rsidRPr="00BB51CE">
              <w:rPr>
                <w:sz w:val="22"/>
                <w:szCs w:val="22"/>
              </w:rPr>
              <w:tab/>
              <w:t xml:space="preserve">for each information field in the DCI format </w:t>
            </w:r>
          </w:p>
          <w:p w14:paraId="30AA28C5" w14:textId="77777777" w:rsidR="00DE7824" w:rsidRPr="00BB51CE" w:rsidRDefault="00DE7824" w:rsidP="00DE7824">
            <w:pPr>
              <w:pStyle w:val="B2"/>
              <w:rPr>
                <w:sz w:val="22"/>
                <w:szCs w:val="22"/>
              </w:rPr>
            </w:pPr>
            <w:r w:rsidRPr="00BB51CE">
              <w:rPr>
                <w:sz w:val="22"/>
                <w:szCs w:val="22"/>
              </w:rPr>
              <w:t>-</w:t>
            </w:r>
            <w:r w:rsidRPr="00BB51CE">
              <w:rPr>
                <w:sz w:val="22"/>
                <w:szCs w:val="22"/>
              </w:rPr>
              <w:tab/>
              <w:t>if the size of the information field is smaller than the one required for the DCI format interpretation for the UL BWP or DL BWP that is indicated by the bandwidth part indicator, the UE prepend</w:t>
            </w:r>
            <w:r w:rsidRPr="00BB51CE">
              <w:rPr>
                <w:sz w:val="22"/>
                <w:szCs w:val="22"/>
                <w:lang w:val="en-US"/>
              </w:rPr>
              <w:t>s</w:t>
            </w:r>
            <w:r w:rsidRPr="00BB51CE">
              <w:rPr>
                <w:sz w:val="22"/>
                <w:szCs w:val="22"/>
              </w:rPr>
              <w:t xml:space="preserve"> zeros to the information field until its size is the one required for the interpretation of the information field for the UL BWP or DL BWP prior to interpreting the DCI format information fields, respectively</w:t>
            </w:r>
          </w:p>
          <w:p w14:paraId="0AEAD1D4" w14:textId="77777777" w:rsidR="00DE7824" w:rsidRPr="00BB51CE" w:rsidRDefault="00DE7824" w:rsidP="00DE7824">
            <w:pPr>
              <w:pStyle w:val="B2"/>
              <w:rPr>
                <w:sz w:val="22"/>
                <w:szCs w:val="22"/>
              </w:rPr>
            </w:pPr>
            <w:r w:rsidRPr="00BB51CE">
              <w:rPr>
                <w:sz w:val="22"/>
                <w:szCs w:val="22"/>
              </w:rPr>
              <w:t>-</w:t>
            </w:r>
            <w:r w:rsidRPr="00BB51CE">
              <w:rPr>
                <w:sz w:val="22"/>
                <w:szCs w:val="22"/>
              </w:rPr>
              <w:tab/>
              <w:t>if the size of the information field is larger than the one required for the DCI format interpretation for the UL BWP or DL BWP that is indicated by the bandwidth part indicator, the UE use</w:t>
            </w:r>
            <w:r w:rsidRPr="00BB51CE">
              <w:rPr>
                <w:sz w:val="22"/>
                <w:szCs w:val="22"/>
                <w:lang w:val="en-US"/>
              </w:rPr>
              <w:t>s</w:t>
            </w:r>
            <w:r w:rsidRPr="00BB51CE">
              <w:rPr>
                <w:sz w:val="22"/>
                <w:szCs w:val="22"/>
              </w:rPr>
              <w:t xml:space="preserve"> a number of least significant bits of </w:t>
            </w:r>
            <w:r w:rsidRPr="00BB51CE">
              <w:rPr>
                <w:sz w:val="22"/>
                <w:szCs w:val="22"/>
                <w:lang w:val="en-US"/>
              </w:rPr>
              <w:t xml:space="preserve">the </w:t>
            </w:r>
            <w:r w:rsidRPr="00BB51CE">
              <w:rPr>
                <w:sz w:val="22"/>
                <w:szCs w:val="22"/>
              </w:rPr>
              <w:t>DCI format equal to the one required for the UL BWP or DL BWP indicated by bandwidth part indicator prior to interpreting the DCI format information fields, respectively</w:t>
            </w:r>
          </w:p>
          <w:p w14:paraId="6D8077B2" w14:textId="77777777" w:rsidR="00DE7824" w:rsidRPr="00AA6AB5" w:rsidRDefault="00DE7824" w:rsidP="00DE7824">
            <w:pPr>
              <w:pStyle w:val="B1"/>
              <w:rPr>
                <w:sz w:val="22"/>
                <w:szCs w:val="22"/>
              </w:rPr>
            </w:pPr>
            <w:r w:rsidRPr="00AA6AB5">
              <w:rPr>
                <w:sz w:val="22"/>
                <w:szCs w:val="22"/>
              </w:rPr>
              <w:lastRenderedPageBreak/>
              <w:t>-</w:t>
            </w:r>
            <w:r w:rsidRPr="00AA6AB5">
              <w:rPr>
                <w:sz w:val="22"/>
                <w:szCs w:val="22"/>
              </w:rPr>
              <w:tab/>
              <w:t xml:space="preserve">set the active UL BWP or DL BWP to the UL BWP or DL BWP indicated by the bandwidth part indicator in the DCI format </w:t>
            </w:r>
          </w:p>
          <w:p w14:paraId="042DA31B" w14:textId="06124C07" w:rsidR="00DE7824" w:rsidRPr="00DE7824" w:rsidRDefault="00DE7824" w:rsidP="00A40452">
            <w:pPr>
              <w:rPr>
                <w:rFonts w:eastAsiaTheme="minorEastAsia"/>
                <w:lang w:val="x-none" w:eastAsia="zh-CN"/>
              </w:rPr>
            </w:pPr>
            <w:r>
              <w:rPr>
                <w:rFonts w:eastAsiaTheme="minorEastAsia"/>
                <w:lang w:val="x-none" w:eastAsia="zh-CN"/>
              </w:rPr>
              <w:t>&lt;omitted&gt;</w:t>
            </w:r>
          </w:p>
        </w:tc>
      </w:tr>
    </w:tbl>
    <w:p w14:paraId="5AE6B2F1" w14:textId="6C461FCC" w:rsidR="00632E74" w:rsidRPr="00632E74" w:rsidRDefault="00632E74" w:rsidP="00A40452">
      <w:pPr>
        <w:rPr>
          <w:rFonts w:eastAsiaTheme="minorEastAsia"/>
          <w:b/>
          <w:i/>
          <w:lang w:eastAsia="zh-CN"/>
        </w:rPr>
      </w:pPr>
      <w:r w:rsidRPr="00632E74">
        <w:rPr>
          <w:rFonts w:eastAsiaTheme="minorEastAsia" w:hint="eastAsia"/>
          <w:b/>
          <w:i/>
          <w:lang w:eastAsia="zh-CN"/>
        </w:rPr>
        <w:lastRenderedPageBreak/>
        <w:t>O</w:t>
      </w:r>
      <w:r w:rsidRPr="00632E74">
        <w:rPr>
          <w:rFonts w:eastAsiaTheme="minorEastAsia"/>
          <w:b/>
          <w:i/>
          <w:lang w:eastAsia="zh-CN"/>
        </w:rPr>
        <w:t xml:space="preserve">bservation 1: </w:t>
      </w:r>
      <w:r w:rsidRPr="00632E74">
        <w:rPr>
          <w:b/>
          <w:i/>
          <w:lang w:eastAsia="zh-CN"/>
        </w:rPr>
        <w:t xml:space="preserve">Direction 2 does not </w:t>
      </w:r>
      <w:r>
        <w:rPr>
          <w:b/>
          <w:i/>
          <w:lang w:eastAsia="zh-CN"/>
        </w:rPr>
        <w:t xml:space="preserve">match the </w:t>
      </w:r>
      <w:r w:rsidRPr="00632E74">
        <w:rPr>
          <w:b/>
          <w:i/>
          <w:lang w:eastAsia="zh-CN"/>
        </w:rPr>
        <w:t>principle</w:t>
      </w:r>
      <w:r w:rsidR="0089271E">
        <w:rPr>
          <w:b/>
          <w:i/>
          <w:lang w:eastAsia="zh-CN"/>
        </w:rPr>
        <w:t xml:space="preserve"> of DCI based BWP switching</w:t>
      </w:r>
      <w:r>
        <w:rPr>
          <w:b/>
          <w:i/>
          <w:lang w:eastAsia="zh-CN"/>
        </w:rPr>
        <w:t xml:space="preserve"> in current specification</w:t>
      </w:r>
      <w:r w:rsidRPr="00632E74">
        <w:rPr>
          <w:b/>
          <w:i/>
          <w:lang w:eastAsia="zh-CN"/>
        </w:rPr>
        <w:t>.</w:t>
      </w:r>
    </w:p>
    <w:p w14:paraId="4E3CA3BE" w14:textId="4956D70B" w:rsidR="005166DF" w:rsidRDefault="009079CD" w:rsidP="00A40452">
      <w:pPr>
        <w:rPr>
          <w:rFonts w:eastAsiaTheme="minorEastAsia"/>
          <w:lang w:eastAsia="zh-CN"/>
        </w:rPr>
      </w:pPr>
      <w:r>
        <w:rPr>
          <w:rFonts w:eastAsiaTheme="minorEastAsia"/>
          <w:lang w:eastAsia="zh-CN"/>
        </w:rPr>
        <w:t>According to</w:t>
      </w:r>
      <w:r w:rsidR="00632E74">
        <w:rPr>
          <w:rFonts w:eastAsiaTheme="minorEastAsia"/>
          <w:lang w:eastAsia="zh-CN"/>
        </w:rPr>
        <w:t xml:space="preserve"> the current specification</w:t>
      </w:r>
      <w:r w:rsidR="0089271E">
        <w:rPr>
          <w:rFonts w:eastAsiaTheme="minorEastAsia"/>
          <w:lang w:eastAsia="zh-CN"/>
        </w:rPr>
        <w:t xml:space="preserve"> as follows</w:t>
      </w:r>
      <w:r w:rsidR="00632E74">
        <w:rPr>
          <w:rFonts w:eastAsiaTheme="minorEastAsia"/>
          <w:lang w:eastAsia="zh-CN"/>
        </w:rPr>
        <w:t xml:space="preserve">, </w:t>
      </w:r>
      <w:r w:rsidR="0089271E">
        <w:rPr>
          <w:rFonts w:eastAsiaTheme="minorEastAsia"/>
          <w:lang w:eastAsia="zh-CN"/>
        </w:rPr>
        <w:t xml:space="preserve">it implies that SSSG0 is </w:t>
      </w:r>
      <w:r>
        <w:rPr>
          <w:rFonts w:eastAsiaTheme="minorEastAsia"/>
          <w:lang w:eastAsia="zh-CN"/>
        </w:rPr>
        <w:t xml:space="preserve">a sparse SSSG and </w:t>
      </w:r>
      <w:r w:rsidR="0089271E">
        <w:rPr>
          <w:rFonts w:eastAsiaTheme="minorEastAsia"/>
          <w:lang w:eastAsia="zh-CN"/>
        </w:rPr>
        <w:t>used for UE power saving</w:t>
      </w:r>
      <w:r>
        <w:rPr>
          <w:rFonts w:eastAsiaTheme="minorEastAsia"/>
          <w:lang w:eastAsia="zh-CN"/>
        </w:rPr>
        <w:t xml:space="preserve">. </w:t>
      </w:r>
      <w:r w:rsidR="002A294F">
        <w:rPr>
          <w:rFonts w:eastAsiaTheme="minorEastAsia"/>
          <w:lang w:eastAsia="zh-CN"/>
        </w:rPr>
        <w:t xml:space="preserve">For </w:t>
      </w:r>
      <w:r w:rsidR="0012579D">
        <w:t xml:space="preserve">DCI based BWP switching, the DCI may indicate </w:t>
      </w:r>
      <w:r w:rsidR="00C2058A">
        <w:t xml:space="preserve">to </w:t>
      </w:r>
      <w:r w:rsidR="0012579D">
        <w:t xml:space="preserve">switch to a wider BWP from a narrow BWP due to the more traffic data. </w:t>
      </w:r>
      <w:r w:rsidR="00436926">
        <w:t>In this case, i</w:t>
      </w:r>
      <w:r w:rsidR="0012579D">
        <w:t xml:space="preserve">f </w:t>
      </w:r>
      <w:r w:rsidR="00436926">
        <w:t>Direct</w:t>
      </w:r>
      <w:r w:rsidR="002A294F">
        <w:t>ion 2 is applied, the UE will</w:t>
      </w:r>
      <w:r w:rsidR="00436926">
        <w:t xml:space="preserve"> </w:t>
      </w:r>
      <w:r w:rsidR="002A294F">
        <w:t>switch</w:t>
      </w:r>
      <w:r w:rsidR="00436926">
        <w:t xml:space="preserve"> to a sparse SSSG even there is more data transmission, which is not reasonable. </w:t>
      </w:r>
      <w:r w:rsidR="00F8185D">
        <w:t xml:space="preserve">Although </w:t>
      </w:r>
      <w:r w:rsidR="00C2058A">
        <w:t>gNB can send another DCI to indicate to switch to a dense SSSG</w:t>
      </w:r>
      <w:r w:rsidR="00F8185D" w:rsidRPr="00F8185D">
        <w:t xml:space="preserve"> </w:t>
      </w:r>
      <w:r w:rsidR="00F8185D">
        <w:t>on the new active BWP,</w:t>
      </w:r>
      <w:r w:rsidR="00C2058A">
        <w:t xml:space="preserve"> </w:t>
      </w:r>
      <w:r w:rsidR="00F8185D">
        <w:t>i</w:t>
      </w:r>
      <w:r w:rsidR="00C2058A">
        <w:t>t is not a straightforward way</w:t>
      </w:r>
      <w:r w:rsidR="00F8185D">
        <w:t xml:space="preserve"> and more latency will be introduced. </w:t>
      </w:r>
      <w:r w:rsidR="00C7201C">
        <w:t>As an</w:t>
      </w:r>
      <w:r w:rsidR="00511F4F">
        <w:t>other</w:t>
      </w:r>
      <w:r w:rsidR="00C7201C">
        <w:t xml:space="preserve"> example, </w:t>
      </w:r>
      <w:r w:rsidR="00511F4F">
        <w:t xml:space="preserve">after the data transmission is completed, a DCI may indicate to switch to a narrow BWP and skip PDCCH monitoring for a duration for power saving. If Direction 2 is applied, UE will not perform the indicated PDCCH skipping, UE power saving gain will be reduced. </w:t>
      </w:r>
      <w:r w:rsidR="00F8185D">
        <w:t xml:space="preserve">From the view of gNB side, gNB has the flexibility </w:t>
      </w:r>
      <w:r w:rsidR="00317EA9">
        <w:t>to determine</w:t>
      </w:r>
      <w:r w:rsidR="00F8185D">
        <w:t xml:space="preserve"> the UE</w:t>
      </w:r>
      <w:r w:rsidR="00317EA9">
        <w:t>’s</w:t>
      </w:r>
      <w:r w:rsidR="00F8185D">
        <w:t xml:space="preserve"> behavior by Direction 1. By Direction 2, gNB will loss the flexibility</w:t>
      </w:r>
      <w:r w:rsidR="00A33601">
        <w:t xml:space="preserve"> without any benefit.</w:t>
      </w:r>
    </w:p>
    <w:tbl>
      <w:tblPr>
        <w:tblStyle w:val="ae"/>
        <w:tblW w:w="0" w:type="auto"/>
        <w:tblLook w:val="04A0" w:firstRow="1" w:lastRow="0" w:firstColumn="1" w:lastColumn="0" w:noHBand="0" w:noVBand="1"/>
      </w:tblPr>
      <w:tblGrid>
        <w:gridCol w:w="9307"/>
      </w:tblGrid>
      <w:tr w:rsidR="0089271E" w14:paraId="2B606BA2" w14:textId="77777777" w:rsidTr="0089271E">
        <w:tc>
          <w:tcPr>
            <w:tcW w:w="9307" w:type="dxa"/>
          </w:tcPr>
          <w:p w14:paraId="7B8E6CD0" w14:textId="0A5C359D" w:rsidR="0089271E" w:rsidRPr="00DE7824" w:rsidRDefault="0089271E" w:rsidP="0089271E">
            <w:pPr>
              <w:rPr>
                <w:rFonts w:eastAsiaTheme="minorEastAsia"/>
                <w:b/>
                <w:u w:val="single"/>
                <w:lang w:eastAsia="zh-CN"/>
              </w:rPr>
            </w:pPr>
            <w:r w:rsidRPr="00DE7824">
              <w:rPr>
                <w:rFonts w:eastAsiaTheme="minorEastAsia" w:hint="eastAsia"/>
                <w:b/>
                <w:u w:val="single"/>
                <w:lang w:eastAsia="zh-CN"/>
              </w:rPr>
              <w:t>T</w:t>
            </w:r>
            <w:r w:rsidRPr="00DE7824">
              <w:rPr>
                <w:rFonts w:eastAsiaTheme="minorEastAsia"/>
                <w:b/>
                <w:u w:val="single"/>
                <w:lang w:eastAsia="zh-CN"/>
              </w:rPr>
              <w:t xml:space="preserve">S38.213 </w:t>
            </w:r>
            <w:r w:rsidR="00A009CF">
              <w:rPr>
                <w:rFonts w:eastAsiaTheme="minorEastAsia"/>
                <w:b/>
                <w:u w:val="single"/>
                <w:lang w:eastAsia="zh-CN"/>
              </w:rPr>
              <w:t>v17.4.0</w:t>
            </w:r>
          </w:p>
          <w:p w14:paraId="0725DB70" w14:textId="77777777" w:rsidR="0089271E" w:rsidRDefault="0089271E" w:rsidP="0089271E">
            <w:pPr>
              <w:pStyle w:val="2"/>
              <w:numPr>
                <w:ilvl w:val="0"/>
                <w:numId w:val="0"/>
              </w:numPr>
              <w:outlineLvl w:val="1"/>
              <w:rPr>
                <w:sz w:val="32"/>
                <w:szCs w:val="20"/>
              </w:rPr>
            </w:pPr>
            <w:bookmarkStart w:id="19" w:name="_Toc45699217"/>
            <w:bookmarkStart w:id="20" w:name="_Toc36498189"/>
            <w:bookmarkStart w:id="21" w:name="_Toc29917315"/>
            <w:bookmarkStart w:id="22" w:name="_Toc29899586"/>
            <w:bookmarkStart w:id="23" w:name="_Toc29899168"/>
            <w:bookmarkStart w:id="24" w:name="_Toc29894869"/>
            <w:bookmarkStart w:id="25" w:name="_Toc122000476"/>
            <w:r>
              <w:t>10.4</w:t>
            </w:r>
            <w:r>
              <w:tab/>
              <w:t>Search space set group switching</w:t>
            </w:r>
            <w:bookmarkEnd w:id="19"/>
            <w:bookmarkEnd w:id="20"/>
            <w:bookmarkEnd w:id="21"/>
            <w:bookmarkEnd w:id="22"/>
            <w:bookmarkEnd w:id="23"/>
            <w:bookmarkEnd w:id="24"/>
            <w:r>
              <w:t xml:space="preserve"> and skipping of PDCCH monitoring</w:t>
            </w:r>
            <w:bookmarkEnd w:id="25"/>
          </w:p>
          <w:p w14:paraId="49BB9A61" w14:textId="77777777" w:rsidR="0089271E" w:rsidRDefault="0089271E" w:rsidP="0089271E">
            <w:pPr>
              <w:rPr>
                <w:rFonts w:eastAsiaTheme="minorEastAsia"/>
                <w:lang w:eastAsia="zh-CN"/>
              </w:rPr>
            </w:pPr>
            <w:r>
              <w:rPr>
                <w:rFonts w:eastAsiaTheme="minorEastAsia" w:hint="eastAsia"/>
                <w:lang w:eastAsia="zh-CN"/>
              </w:rPr>
              <w:t>&lt;</w:t>
            </w:r>
            <w:r>
              <w:rPr>
                <w:rFonts w:eastAsiaTheme="minorEastAsia"/>
                <w:lang w:eastAsia="zh-CN"/>
              </w:rPr>
              <w:t>omitted&gt;</w:t>
            </w:r>
          </w:p>
          <w:p w14:paraId="13EC2A1A" w14:textId="77777777" w:rsidR="0089271E" w:rsidRPr="0089271E" w:rsidRDefault="0089271E" w:rsidP="0089271E">
            <w:pPr>
              <w:rPr>
                <w:lang w:eastAsia="ko-KR"/>
              </w:rPr>
            </w:pPr>
            <w:r w:rsidRPr="0089271E">
              <w:rPr>
                <w:lang w:eastAsia="zh-CN"/>
              </w:rPr>
              <w:t xml:space="preserve">If a UE is provided group indexes for a Type3-PDCCH CSS set or a USS set by </w:t>
            </w:r>
            <w:r w:rsidRPr="0089271E">
              <w:rPr>
                <w:i/>
                <w:lang w:eastAsia="zh-CN"/>
              </w:rPr>
              <w:t>searchSpaceGroupIdList-r17</w:t>
            </w:r>
            <w:r w:rsidRPr="0089271E">
              <w:rPr>
                <w:lang w:eastAsia="zh-CN"/>
              </w:rPr>
              <w:t xml:space="preserve"> and a timer value by </w:t>
            </w:r>
            <w:r w:rsidRPr="0089271E">
              <w:rPr>
                <w:i/>
                <w:lang w:eastAsia="zh-CN"/>
              </w:rPr>
              <w:t>searchSpaceSwitchTimer-r17</w:t>
            </w:r>
            <w:r w:rsidRPr="0089271E">
              <w:t xml:space="preserve"> for PDCCH monitoring an active DL BWP of on a serving cell and the timer is running, t</w:t>
            </w:r>
            <w:r w:rsidRPr="0089271E">
              <w:rPr>
                <w:lang w:eastAsia="ko-KR"/>
              </w:rPr>
              <w:t>he UE</w:t>
            </w:r>
          </w:p>
          <w:p w14:paraId="6617EE07" w14:textId="77777777" w:rsidR="0089271E" w:rsidRPr="0089271E" w:rsidRDefault="0089271E" w:rsidP="0089271E">
            <w:pPr>
              <w:pStyle w:val="B1"/>
              <w:rPr>
                <w:sz w:val="22"/>
                <w:szCs w:val="22"/>
                <w:lang w:val="en-US" w:eastAsia="ja-JP"/>
              </w:rPr>
            </w:pPr>
            <w:r w:rsidRPr="0089271E">
              <w:rPr>
                <w:sz w:val="22"/>
                <w:szCs w:val="22"/>
                <w:lang w:val="en-US" w:eastAsia="ko-KR"/>
              </w:rPr>
              <w:t>-</w:t>
            </w:r>
            <w:r w:rsidRPr="0089271E">
              <w:rPr>
                <w:sz w:val="22"/>
                <w:szCs w:val="22"/>
                <w:lang w:val="en-US" w:eastAsia="ko-KR"/>
              </w:rPr>
              <w:tab/>
              <w:t>resets</w:t>
            </w:r>
            <w:r w:rsidRPr="0089271E">
              <w:rPr>
                <w:sz w:val="22"/>
                <w:szCs w:val="22"/>
                <w:lang w:eastAsia="ko-KR"/>
              </w:rPr>
              <w:t xml:space="preserve"> the timer </w:t>
            </w:r>
            <w:r w:rsidRPr="0089271E">
              <w:rPr>
                <w:sz w:val="22"/>
                <w:szCs w:val="22"/>
                <w:lang w:val="en-US" w:eastAsia="ja-JP"/>
              </w:rPr>
              <w:t>after a</w:t>
            </w:r>
            <w:r w:rsidRPr="0089271E">
              <w:rPr>
                <w:sz w:val="22"/>
                <w:szCs w:val="22"/>
                <w:lang w:eastAsia="ja-JP"/>
              </w:rPr>
              <w:t xml:space="preserve"> slot </w:t>
            </w:r>
            <w:r w:rsidRPr="0089271E">
              <w:rPr>
                <w:sz w:val="22"/>
                <w:szCs w:val="22"/>
                <w:lang w:val="en-US" w:eastAsia="ja-JP"/>
              </w:rPr>
              <w:t>of</w:t>
            </w:r>
            <w:r w:rsidRPr="0089271E">
              <w:rPr>
                <w:sz w:val="22"/>
                <w:szCs w:val="22"/>
                <w:lang w:eastAsia="ja-JP"/>
              </w:rPr>
              <w:t xml:space="preserve"> the active DL BWP of the serving cell </w:t>
            </w:r>
            <w:r w:rsidRPr="0089271E">
              <w:rPr>
                <w:sz w:val="22"/>
                <w:szCs w:val="22"/>
                <w:lang w:val="en-GB" w:eastAsia="ja-JP"/>
              </w:rPr>
              <w:t xml:space="preserve">if </w:t>
            </w:r>
            <w:r w:rsidRPr="0089271E">
              <w:rPr>
                <w:sz w:val="22"/>
                <w:szCs w:val="22"/>
                <w:lang w:eastAsia="ja-JP"/>
              </w:rPr>
              <w:t>the UE detect</w:t>
            </w:r>
            <w:r w:rsidRPr="0089271E">
              <w:rPr>
                <w:sz w:val="22"/>
                <w:szCs w:val="22"/>
                <w:lang w:val="en-US" w:eastAsia="ja-JP"/>
              </w:rPr>
              <w:t>s</w:t>
            </w:r>
            <w:r w:rsidRPr="0089271E">
              <w:rPr>
                <w:sz w:val="22"/>
                <w:szCs w:val="22"/>
                <w:lang w:eastAsia="ja-JP"/>
              </w:rPr>
              <w:t xml:space="preserve"> a DCI format </w:t>
            </w:r>
            <w:r w:rsidRPr="0089271E">
              <w:rPr>
                <w:sz w:val="22"/>
                <w:szCs w:val="22"/>
                <w:lang w:val="en-US" w:eastAsia="ja-JP"/>
              </w:rPr>
              <w:t xml:space="preserve">in a PDCCH reception in the slot </w:t>
            </w:r>
            <w:r w:rsidRPr="0089271E">
              <w:rPr>
                <w:sz w:val="22"/>
                <w:szCs w:val="22"/>
                <w:lang w:eastAsia="ja-JP"/>
              </w:rPr>
              <w:t xml:space="preserve">for </w:t>
            </w:r>
            <w:r w:rsidRPr="0089271E">
              <w:rPr>
                <w:sz w:val="22"/>
                <w:szCs w:val="22"/>
                <w:lang w:val="en-US" w:eastAsia="ja-JP"/>
              </w:rPr>
              <w:t>with CRC scrambled by C-RNTI/CS-RNTI/MCS-C-RNTI</w:t>
            </w:r>
          </w:p>
          <w:p w14:paraId="689AD60E" w14:textId="6567264A" w:rsidR="0089271E" w:rsidRPr="0089271E" w:rsidRDefault="0089271E" w:rsidP="0089271E">
            <w:pPr>
              <w:pStyle w:val="B1"/>
              <w:rPr>
                <w:sz w:val="22"/>
                <w:szCs w:val="22"/>
                <w:lang w:eastAsia="zh-CN"/>
              </w:rPr>
            </w:pPr>
            <w:r w:rsidRPr="0089271E">
              <w:rPr>
                <w:sz w:val="22"/>
                <w:szCs w:val="22"/>
                <w:lang w:eastAsia="ko-KR"/>
              </w:rPr>
              <w:t>-</w:t>
            </w:r>
            <w:r w:rsidRPr="0089271E">
              <w:rPr>
                <w:sz w:val="22"/>
                <w:szCs w:val="22"/>
                <w:lang w:eastAsia="ko-KR"/>
              </w:rPr>
              <w:tab/>
            </w:r>
            <w:r w:rsidRPr="0089271E">
              <w:rPr>
                <w:sz w:val="22"/>
                <w:szCs w:val="22"/>
                <w:lang w:val="en-US" w:eastAsia="ko-KR"/>
              </w:rPr>
              <w:t xml:space="preserve">otherwise, </w:t>
            </w:r>
            <w:r w:rsidRPr="0089271E">
              <w:rPr>
                <w:sz w:val="22"/>
                <w:szCs w:val="22"/>
                <w:lang w:eastAsia="ko-KR"/>
              </w:rPr>
              <w:t xml:space="preserve">decrements the timer </w:t>
            </w:r>
            <w:r w:rsidRPr="0089271E">
              <w:rPr>
                <w:sz w:val="22"/>
                <w:szCs w:val="22"/>
                <w:lang w:val="en-US" w:eastAsia="ja-JP"/>
              </w:rPr>
              <w:t>value by one after a slot of the active DL BWP of the serving cell</w:t>
            </w:r>
          </w:p>
          <w:p w14:paraId="544B3975" w14:textId="77777777" w:rsidR="0089271E" w:rsidRPr="0089271E" w:rsidRDefault="0089271E" w:rsidP="0089271E">
            <w:pPr>
              <w:rPr>
                <w:lang w:eastAsia="zh-CN"/>
              </w:rPr>
            </w:pPr>
            <w:r w:rsidRPr="0089271E">
              <w:rPr>
                <w:lang w:eastAsia="zh-CN"/>
              </w:rPr>
              <w:t xml:space="preserve">When the timer expires in a first slot, the UE monitors PDCCH on the serving cell according to </w:t>
            </w:r>
            <w:r w:rsidRPr="0089271E">
              <w:t>search space sets with group index 0 starting in a second slot that</w:t>
            </w:r>
          </w:p>
          <w:p w14:paraId="64E82DD2" w14:textId="77777777" w:rsidR="0089271E" w:rsidRPr="0089271E" w:rsidRDefault="0089271E" w:rsidP="0089271E">
            <w:pPr>
              <w:pStyle w:val="B1"/>
              <w:rPr>
                <w:sz w:val="22"/>
                <w:szCs w:val="22"/>
                <w:lang w:val="en-US" w:eastAsia="ko-KR"/>
              </w:rPr>
            </w:pPr>
            <w:r w:rsidRPr="0089271E">
              <w:rPr>
                <w:sz w:val="22"/>
                <w:szCs w:val="22"/>
                <w:lang w:eastAsia="ko-KR"/>
              </w:rPr>
              <w:t>-</w:t>
            </w:r>
            <w:r w:rsidRPr="0089271E">
              <w:rPr>
                <w:sz w:val="22"/>
                <w:szCs w:val="22"/>
                <w:lang w:eastAsia="ko-KR"/>
              </w:rPr>
              <w:tab/>
            </w:r>
            <w:r w:rsidRPr="0089271E">
              <w:rPr>
                <w:sz w:val="22"/>
                <w:szCs w:val="22"/>
                <w:lang w:val="en-US" w:eastAsia="ko-KR"/>
              </w:rPr>
              <w:t xml:space="preserve">is not earlier than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switch</m:t>
                  </m:r>
                </m:sub>
              </m:sSub>
            </m:oMath>
            <w:r w:rsidRPr="0089271E">
              <w:rPr>
                <w:sz w:val="22"/>
                <w:szCs w:val="22"/>
              </w:rPr>
              <w:t xml:space="preserve"> symbols</w:t>
            </w:r>
            <w:r w:rsidRPr="0089271E">
              <w:rPr>
                <w:sz w:val="22"/>
                <w:szCs w:val="22"/>
                <w:lang w:val="en-US" w:eastAsia="ko-KR"/>
              </w:rPr>
              <w:t xml:space="preserve"> after the first slot </w:t>
            </w:r>
            <w:r w:rsidRPr="0089271E">
              <w:rPr>
                <w:sz w:val="22"/>
                <w:szCs w:val="22"/>
                <w:lang w:val="en-US"/>
              </w:rPr>
              <w:t xml:space="preserve">when </w:t>
            </w:r>
            <m:oMath>
              <m:r>
                <w:rPr>
                  <w:rFonts w:ascii="Cambria Math" w:hAnsi="Cambria Math"/>
                  <w:sz w:val="22"/>
                  <w:szCs w:val="22"/>
                  <w:lang w:eastAsia="zh-CN"/>
                </w:rPr>
                <m:t>μ∈</m:t>
              </m:r>
              <m:d>
                <m:dPr>
                  <m:begChr m:val="{"/>
                  <m:endChr m:val="}"/>
                  <m:ctrlPr>
                    <w:rPr>
                      <w:rFonts w:ascii="Cambria Math" w:hAnsi="Cambria Math"/>
                      <w:i/>
                      <w:sz w:val="22"/>
                      <w:szCs w:val="22"/>
                    </w:rPr>
                  </m:ctrlPr>
                </m:dPr>
                <m:e>
                  <m:r>
                    <w:rPr>
                      <w:rFonts w:ascii="Cambria Math" w:hAnsi="Cambria Math"/>
                      <w:sz w:val="22"/>
                      <w:szCs w:val="22"/>
                      <w:lang w:eastAsia="zh-CN"/>
                    </w:rPr>
                    <m:t>0, 1, 2, 3</m:t>
                  </m:r>
                </m:e>
              </m:d>
            </m:oMath>
            <w:r w:rsidRPr="0089271E">
              <w:rPr>
                <w:sz w:val="22"/>
                <w:szCs w:val="22"/>
                <w:lang w:val="en-US" w:eastAsia="zh-CN"/>
              </w:rPr>
              <w:t>,</w:t>
            </w:r>
          </w:p>
          <w:p w14:paraId="3A32B5D8" w14:textId="77777777" w:rsidR="0089271E" w:rsidRPr="0089271E" w:rsidRDefault="0089271E" w:rsidP="0089271E">
            <w:pPr>
              <w:pStyle w:val="B1"/>
              <w:rPr>
                <w:sz w:val="22"/>
                <w:szCs w:val="22"/>
                <w:lang w:val="en-US" w:eastAsia="ko-KR"/>
              </w:rPr>
            </w:pPr>
            <w:r w:rsidRPr="0089271E">
              <w:rPr>
                <w:sz w:val="22"/>
                <w:szCs w:val="22"/>
                <w:lang w:eastAsia="ko-KR"/>
              </w:rPr>
              <w:t>-</w:t>
            </w:r>
            <w:r w:rsidRPr="0089271E">
              <w:rPr>
                <w:sz w:val="22"/>
                <w:szCs w:val="22"/>
                <w:lang w:eastAsia="ko-KR"/>
              </w:rPr>
              <w:tab/>
            </w:r>
            <w:r w:rsidRPr="0089271E">
              <w:rPr>
                <w:sz w:val="22"/>
                <w:szCs w:val="22"/>
                <w:lang w:val="en-US" w:eastAsia="ko-KR"/>
              </w:rPr>
              <w:t xml:space="preserve">is a first slot in a </w:t>
            </w:r>
            <w:r w:rsidRPr="0089271E">
              <w:rPr>
                <w:sz w:val="22"/>
                <w:szCs w:val="22"/>
                <w:lang w:val="en-US"/>
              </w:rPr>
              <w:t xml:space="preserve">slot group of </w:t>
            </w:r>
            <m:oMath>
              <m:sSub>
                <m:sSubPr>
                  <m:ctrlPr>
                    <w:rPr>
                      <w:rFonts w:ascii="Cambria Math" w:hAnsi="Cambria Math"/>
                      <w:i/>
                      <w:sz w:val="22"/>
                      <w:szCs w:val="22"/>
                    </w:rPr>
                  </m:ctrlPr>
                </m:sSubPr>
                <m:e>
                  <m:r>
                    <w:rPr>
                      <w:rFonts w:ascii="Cambria Math" w:hAnsi="Cambria Math"/>
                      <w:sz w:val="22"/>
                      <w:szCs w:val="22"/>
                      <w:lang w:eastAsia="zh-CN"/>
                    </w:rPr>
                    <m:t>X</m:t>
                  </m:r>
                </m:e>
                <m:sub>
                  <m:r>
                    <w:rPr>
                      <w:rFonts w:ascii="Cambria Math" w:hAnsi="Cambria Math"/>
                      <w:sz w:val="22"/>
                      <w:szCs w:val="22"/>
                      <w:lang w:eastAsia="zh-CN"/>
                    </w:rPr>
                    <m:t>s</m:t>
                  </m:r>
                </m:sub>
              </m:sSub>
            </m:oMath>
            <w:r w:rsidRPr="0089271E">
              <w:rPr>
                <w:sz w:val="22"/>
                <w:szCs w:val="22"/>
                <w:lang w:val="en-US" w:eastAsia="zh-CN"/>
              </w:rPr>
              <w:t xml:space="preserve"> slots that is</w:t>
            </w:r>
            <w:r w:rsidRPr="0089271E">
              <w:rPr>
                <w:sz w:val="22"/>
                <w:szCs w:val="22"/>
                <w:lang w:val="en-US"/>
              </w:rPr>
              <w:t xml:space="preserve"> </w:t>
            </w:r>
            <w:r w:rsidRPr="0089271E">
              <w:rPr>
                <w:sz w:val="22"/>
                <w:szCs w:val="22"/>
                <w:lang w:val="en-US" w:eastAsia="ko-KR"/>
              </w:rPr>
              <w:t xml:space="preserve">not earlier than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switch</m:t>
                  </m:r>
                </m:sub>
              </m:sSub>
            </m:oMath>
            <w:r w:rsidRPr="0089271E">
              <w:rPr>
                <w:sz w:val="22"/>
                <w:szCs w:val="22"/>
              </w:rPr>
              <w:t xml:space="preserve"> symbols</w:t>
            </w:r>
            <w:r w:rsidRPr="0089271E">
              <w:rPr>
                <w:sz w:val="22"/>
                <w:szCs w:val="22"/>
                <w:lang w:val="en-US" w:eastAsia="ko-KR"/>
              </w:rPr>
              <w:t xml:space="preserve"> after the first slot </w:t>
            </w:r>
            <w:r w:rsidRPr="0089271E">
              <w:rPr>
                <w:sz w:val="22"/>
                <w:szCs w:val="22"/>
                <w:lang w:val="en-US"/>
              </w:rPr>
              <w:t xml:space="preserve">when </w:t>
            </w:r>
            <m:oMath>
              <m:r>
                <w:rPr>
                  <w:rFonts w:ascii="Cambria Math" w:hAnsi="Cambria Math"/>
                  <w:sz w:val="22"/>
                  <w:szCs w:val="22"/>
                  <w:lang w:eastAsia="zh-CN"/>
                </w:rPr>
                <m:t>μ∈</m:t>
              </m:r>
              <m:d>
                <m:dPr>
                  <m:begChr m:val="{"/>
                  <m:endChr m:val="}"/>
                  <m:ctrlPr>
                    <w:rPr>
                      <w:rFonts w:ascii="Cambria Math" w:hAnsi="Cambria Math"/>
                      <w:i/>
                      <w:sz w:val="22"/>
                      <w:szCs w:val="22"/>
                    </w:rPr>
                  </m:ctrlPr>
                </m:dPr>
                <m:e>
                  <m:r>
                    <w:rPr>
                      <w:rFonts w:ascii="Cambria Math" w:hAnsi="Cambria Math"/>
                      <w:sz w:val="22"/>
                      <w:szCs w:val="22"/>
                      <w:lang w:eastAsia="zh-CN"/>
                    </w:rPr>
                    <m:t>5, 6</m:t>
                  </m:r>
                </m:e>
              </m:d>
            </m:oMath>
            <w:r w:rsidRPr="0089271E">
              <w:rPr>
                <w:sz w:val="22"/>
                <w:szCs w:val="22"/>
                <w:lang w:val="en-US" w:eastAsia="zh-CN"/>
              </w:rPr>
              <w:t>,</w:t>
            </w:r>
          </w:p>
          <w:p w14:paraId="4676F02B" w14:textId="77777777" w:rsidR="0089271E" w:rsidRPr="0089271E" w:rsidRDefault="0089271E" w:rsidP="0089271E">
            <w:pPr>
              <w:pStyle w:val="B1"/>
              <w:rPr>
                <w:sz w:val="22"/>
                <w:szCs w:val="22"/>
                <w:lang w:val="en-US" w:eastAsia="ko-KR"/>
              </w:rPr>
            </w:pPr>
            <w:r w:rsidRPr="0089271E">
              <w:rPr>
                <w:sz w:val="22"/>
                <w:szCs w:val="22"/>
                <w:lang w:eastAsia="ko-KR"/>
              </w:rPr>
              <w:t>-</w:t>
            </w:r>
            <w:r w:rsidRPr="0089271E">
              <w:rPr>
                <w:sz w:val="22"/>
                <w:szCs w:val="22"/>
                <w:lang w:eastAsia="ko-KR"/>
              </w:rPr>
              <w:tab/>
            </w:r>
            <w:r w:rsidRPr="0089271E">
              <w:rPr>
                <w:sz w:val="22"/>
                <w:szCs w:val="22"/>
                <w:lang w:val="en-US" w:eastAsia="ko-KR"/>
              </w:rPr>
              <w:t>is not earlier than a slot where a PDCCH skipping duration expires, if applicable</w:t>
            </w:r>
          </w:p>
          <w:p w14:paraId="36BA7D29" w14:textId="7EB0283D" w:rsidR="0089271E" w:rsidRPr="0089271E" w:rsidRDefault="0089271E" w:rsidP="001946E0">
            <w:pPr>
              <w:rPr>
                <w:lang w:eastAsia="zh-CN" w:bidi="ar"/>
              </w:rPr>
            </w:pPr>
            <w:r>
              <w:rPr>
                <w:rFonts w:eastAsiaTheme="minorEastAsia"/>
                <w:lang w:val="x-none" w:eastAsia="zh-CN"/>
              </w:rPr>
              <w:t>&lt;omitted&gt;</w:t>
            </w:r>
          </w:p>
        </w:tc>
      </w:tr>
    </w:tbl>
    <w:p w14:paraId="4C029BC3" w14:textId="48FF405F" w:rsidR="005639A8" w:rsidRDefault="00A33601" w:rsidP="001946E0">
      <w:pPr>
        <w:rPr>
          <w:lang w:eastAsia="zh-CN" w:bidi="ar"/>
        </w:rPr>
      </w:pPr>
      <w:r>
        <w:rPr>
          <w:b/>
          <w:i/>
          <w:lang w:eastAsia="zh-CN"/>
        </w:rPr>
        <w:t>Observation 2</w:t>
      </w:r>
      <w:r w:rsidRPr="00974F3A">
        <w:rPr>
          <w:b/>
          <w:i/>
          <w:lang w:eastAsia="zh-CN"/>
        </w:rPr>
        <w:t>:</w:t>
      </w:r>
      <w:r>
        <w:rPr>
          <w:b/>
          <w:i/>
          <w:lang w:eastAsia="zh-CN"/>
        </w:rPr>
        <w:t xml:space="preserve"> </w:t>
      </w:r>
      <w:r w:rsidR="00C85909" w:rsidRPr="00C85909">
        <w:rPr>
          <w:b/>
          <w:i/>
        </w:rPr>
        <w:t>By Direction 2, gNB will loss the flexibility without any benefit.</w:t>
      </w:r>
    </w:p>
    <w:p w14:paraId="1F649405" w14:textId="02E65DF2" w:rsidR="00E526A9" w:rsidRDefault="0058581D" w:rsidP="00C85909">
      <w:r>
        <w:rPr>
          <w:lang w:eastAsia="zh-CN"/>
        </w:rPr>
        <w:t>Additionally, Direction 2 has more specification impact than Direction 1. For Direction 1, the only impact is to specify the application delay of PDCCH monitoring adaptation. For Direction 2, it needs</w:t>
      </w:r>
      <w:r w:rsidR="006807D6">
        <w:rPr>
          <w:lang w:eastAsia="zh-CN"/>
        </w:rPr>
        <w:t xml:space="preserve"> to modify</w:t>
      </w:r>
      <w:r>
        <w:rPr>
          <w:lang w:eastAsia="zh-CN"/>
        </w:rPr>
        <w:t xml:space="preserve"> </w:t>
      </w:r>
      <w:r w:rsidRPr="00D32FA5">
        <w:rPr>
          <w:lang w:val="en-GB" w:eastAsia="zh-CN"/>
        </w:rPr>
        <w:t xml:space="preserve">the interpretation of the </w:t>
      </w:r>
      <w:r>
        <w:t>field in DCI and specify the application delay of PDCCH monitoring adaptation.</w:t>
      </w:r>
    </w:p>
    <w:p w14:paraId="1D9A8F50" w14:textId="05CA77E7" w:rsidR="0058581D" w:rsidRPr="0058581D" w:rsidRDefault="0058581D" w:rsidP="00C85909">
      <w:pPr>
        <w:rPr>
          <w:lang w:eastAsia="zh-CN"/>
        </w:rPr>
      </w:pPr>
      <w:r>
        <w:rPr>
          <w:b/>
          <w:i/>
          <w:lang w:eastAsia="zh-CN"/>
        </w:rPr>
        <w:t>Observation 3</w:t>
      </w:r>
      <w:r w:rsidRPr="00974F3A">
        <w:rPr>
          <w:b/>
          <w:i/>
          <w:lang w:eastAsia="zh-CN"/>
        </w:rPr>
        <w:t>:</w:t>
      </w:r>
      <w:r w:rsidRPr="0058581D">
        <w:rPr>
          <w:b/>
          <w:i/>
          <w:lang w:eastAsia="zh-CN"/>
        </w:rPr>
        <w:t xml:space="preserve"> Direction 2 has more specification impact than Direction 1.</w:t>
      </w:r>
    </w:p>
    <w:p w14:paraId="14C14895" w14:textId="35F4A6A1" w:rsidR="00C85909" w:rsidRDefault="00C85909" w:rsidP="00C85909">
      <w:pPr>
        <w:rPr>
          <w:lang w:eastAsia="zh-CN"/>
        </w:rPr>
      </w:pPr>
      <w:r>
        <w:rPr>
          <w:lang w:eastAsia="zh-CN"/>
        </w:rPr>
        <w:t>Based on the discussion, Table 1 summaries the comparison of the two directions and we have the following proposal.</w:t>
      </w:r>
    </w:p>
    <w:p w14:paraId="2E9D868A" w14:textId="6A12D0CA" w:rsidR="00315E9B" w:rsidRPr="00315E9B" w:rsidRDefault="00315E9B" w:rsidP="00315E9B">
      <w:pPr>
        <w:pStyle w:val="a6"/>
        <w:rPr>
          <w:lang w:val="en-GB" w:eastAsia="zh-CN"/>
        </w:rPr>
      </w:pPr>
      <w:r>
        <w:t xml:space="preserve">Table </w:t>
      </w:r>
      <w:r>
        <w:rPr>
          <w:noProof/>
        </w:rPr>
        <w:t>1</w:t>
      </w:r>
      <w:r>
        <w:t xml:space="preserve"> C</w:t>
      </w:r>
      <w:r>
        <w:rPr>
          <w:lang w:eastAsia="zh-CN"/>
        </w:rPr>
        <w:t>omparison of the two directions</w:t>
      </w:r>
      <w:r w:rsidRPr="00315E9B">
        <w:rPr>
          <w:lang w:eastAsia="zh-CN"/>
        </w:rPr>
        <w:t xml:space="preserve"> </w:t>
      </w:r>
      <w:r>
        <w:rPr>
          <w:lang w:eastAsia="zh-CN"/>
        </w:rPr>
        <w:t xml:space="preserve">for the issue of a </w:t>
      </w:r>
      <w:r w:rsidRPr="00CE21FF">
        <w:rPr>
          <w:lang w:eastAsia="zh-CN"/>
        </w:rPr>
        <w:t>DCI indicating BWP switching and PDCCH monitoring adaptation simultaneously</w:t>
      </w:r>
    </w:p>
    <w:tbl>
      <w:tblPr>
        <w:tblStyle w:val="ae"/>
        <w:tblW w:w="0" w:type="auto"/>
        <w:tblLook w:val="04A0" w:firstRow="1" w:lastRow="0" w:firstColumn="1" w:lastColumn="0" w:noHBand="0" w:noVBand="1"/>
      </w:tblPr>
      <w:tblGrid>
        <w:gridCol w:w="1413"/>
        <w:gridCol w:w="3827"/>
        <w:gridCol w:w="4067"/>
      </w:tblGrid>
      <w:tr w:rsidR="00C85909" w14:paraId="750311BB" w14:textId="77777777" w:rsidTr="008D6013">
        <w:tc>
          <w:tcPr>
            <w:tcW w:w="1413" w:type="dxa"/>
          </w:tcPr>
          <w:p w14:paraId="377DDEF0" w14:textId="4CAB6381" w:rsidR="00C85909" w:rsidRPr="009A46F5" w:rsidRDefault="00C85909" w:rsidP="005A6143">
            <w:pPr>
              <w:rPr>
                <w:b/>
                <w:lang w:val="en-GB" w:eastAsia="zh-CN"/>
              </w:rPr>
            </w:pPr>
          </w:p>
        </w:tc>
        <w:tc>
          <w:tcPr>
            <w:tcW w:w="3827" w:type="dxa"/>
          </w:tcPr>
          <w:p w14:paraId="72DE6710" w14:textId="0136B7EC" w:rsidR="00C85909" w:rsidRPr="009A46F5" w:rsidRDefault="00C85909" w:rsidP="00C85909">
            <w:pPr>
              <w:rPr>
                <w:b/>
                <w:lang w:val="en-GB" w:eastAsia="zh-CN"/>
              </w:rPr>
            </w:pPr>
            <w:r w:rsidRPr="00315E9B">
              <w:rPr>
                <w:b/>
              </w:rPr>
              <w:t>Direction 1</w:t>
            </w:r>
            <w:r>
              <w:t xml:space="preserve">: </w:t>
            </w:r>
            <w:r w:rsidR="005925DA">
              <w:t xml:space="preserve">PDCCH monitoring adaptation is according to the DCI </w:t>
            </w:r>
            <w:r w:rsidR="005925DA">
              <w:lastRenderedPageBreak/>
              <w:t>indication interpreted based on target BWP configuration. Yet the application timing of PDCCH monitoring adaptation is after BWP switch</w:t>
            </w:r>
          </w:p>
        </w:tc>
        <w:tc>
          <w:tcPr>
            <w:tcW w:w="4067" w:type="dxa"/>
          </w:tcPr>
          <w:p w14:paraId="5924D4C3" w14:textId="5A221B0D" w:rsidR="00C85909" w:rsidRPr="009A46F5" w:rsidRDefault="00C85909" w:rsidP="005A6143">
            <w:pPr>
              <w:rPr>
                <w:b/>
                <w:lang w:val="en-GB" w:eastAsia="zh-CN"/>
              </w:rPr>
            </w:pPr>
            <w:r w:rsidRPr="00315E9B">
              <w:rPr>
                <w:b/>
              </w:rPr>
              <w:lastRenderedPageBreak/>
              <w:t>Direction 2</w:t>
            </w:r>
            <w:r>
              <w:t xml:space="preserve">: </w:t>
            </w:r>
            <w:r w:rsidR="005925DA">
              <w:t xml:space="preserve">PDCCH monitoring adaptation is not applied for this case, and UE PDCCH </w:t>
            </w:r>
            <w:r w:rsidR="005925DA">
              <w:lastRenderedPageBreak/>
              <w:t>monitoring after BWP switch is based on default setting</w:t>
            </w:r>
          </w:p>
        </w:tc>
      </w:tr>
      <w:tr w:rsidR="00C85909" w14:paraId="2D424E66" w14:textId="77777777" w:rsidTr="008D6013">
        <w:tc>
          <w:tcPr>
            <w:tcW w:w="1413" w:type="dxa"/>
          </w:tcPr>
          <w:p w14:paraId="11CC2B6C" w14:textId="2567B74E" w:rsidR="00C85909" w:rsidRDefault="008D6013" w:rsidP="008D6013">
            <w:pPr>
              <w:rPr>
                <w:lang w:val="en-GB" w:eastAsia="zh-CN"/>
              </w:rPr>
            </w:pPr>
            <w:r>
              <w:rPr>
                <w:lang w:val="en-GB" w:eastAsia="zh-CN"/>
              </w:rPr>
              <w:lastRenderedPageBreak/>
              <w:t>A</w:t>
            </w:r>
            <w:r w:rsidR="00C85909">
              <w:rPr>
                <w:lang w:val="en-GB" w:eastAsia="zh-CN"/>
              </w:rPr>
              <w:t>lign to the principle</w:t>
            </w:r>
            <w:r w:rsidR="003809C3">
              <w:rPr>
                <w:lang w:val="en-GB" w:eastAsia="zh-CN"/>
              </w:rPr>
              <w:t xml:space="preserve"> of BWP switching</w:t>
            </w:r>
            <w:r w:rsidR="00584159">
              <w:rPr>
                <w:lang w:val="en-GB" w:eastAsia="zh-CN"/>
              </w:rPr>
              <w:t xml:space="preserve"> in</w:t>
            </w:r>
            <w:r w:rsidR="00C85909">
              <w:rPr>
                <w:lang w:val="en-GB" w:eastAsia="zh-CN"/>
              </w:rPr>
              <w:t xml:space="preserve"> current specification</w:t>
            </w:r>
          </w:p>
        </w:tc>
        <w:tc>
          <w:tcPr>
            <w:tcW w:w="3827" w:type="dxa"/>
          </w:tcPr>
          <w:p w14:paraId="60AA84B5" w14:textId="31351493" w:rsidR="00C85909" w:rsidRDefault="008D6013" w:rsidP="005A6143">
            <w:pPr>
              <w:rPr>
                <w:lang w:val="en-GB" w:eastAsia="zh-CN"/>
              </w:rPr>
            </w:pPr>
            <w:r>
              <w:rPr>
                <w:lang w:val="en-GB" w:eastAsia="zh-CN"/>
              </w:rPr>
              <w:t>Align</w:t>
            </w:r>
          </w:p>
        </w:tc>
        <w:tc>
          <w:tcPr>
            <w:tcW w:w="4067" w:type="dxa"/>
          </w:tcPr>
          <w:p w14:paraId="08B1EF9F" w14:textId="7676FB68" w:rsidR="00C85909" w:rsidRDefault="00531765" w:rsidP="005A6143">
            <w:pPr>
              <w:rPr>
                <w:lang w:val="en-GB" w:eastAsia="zh-CN"/>
              </w:rPr>
            </w:pPr>
            <w:r>
              <w:rPr>
                <w:rFonts w:hint="eastAsia"/>
                <w:lang w:val="en-GB" w:eastAsia="zh-CN"/>
              </w:rPr>
              <w:t>N</w:t>
            </w:r>
            <w:r>
              <w:rPr>
                <w:lang w:val="en-GB" w:eastAsia="zh-CN"/>
              </w:rPr>
              <w:t>o</w:t>
            </w:r>
            <w:r w:rsidR="008D6013">
              <w:rPr>
                <w:lang w:val="en-GB" w:eastAsia="zh-CN"/>
              </w:rPr>
              <w:t>t align</w:t>
            </w:r>
          </w:p>
        </w:tc>
      </w:tr>
      <w:tr w:rsidR="00C85909" w14:paraId="4CA99932" w14:textId="77777777" w:rsidTr="008D6013">
        <w:tc>
          <w:tcPr>
            <w:tcW w:w="1413" w:type="dxa"/>
          </w:tcPr>
          <w:p w14:paraId="63C67C43" w14:textId="3F17B113" w:rsidR="00C85909" w:rsidRDefault="00531765" w:rsidP="005A6143">
            <w:pPr>
              <w:rPr>
                <w:lang w:val="en-GB" w:eastAsia="zh-CN"/>
              </w:rPr>
            </w:pPr>
            <w:r>
              <w:rPr>
                <w:lang w:val="en-GB" w:eastAsia="zh-CN"/>
              </w:rPr>
              <w:t>Performance</w:t>
            </w:r>
          </w:p>
        </w:tc>
        <w:tc>
          <w:tcPr>
            <w:tcW w:w="3827" w:type="dxa"/>
          </w:tcPr>
          <w:p w14:paraId="509A150B" w14:textId="7F3B939C" w:rsidR="00C85909" w:rsidRDefault="00531765" w:rsidP="005A6143">
            <w:pPr>
              <w:rPr>
                <w:lang w:val="en-GB" w:eastAsia="zh-CN"/>
              </w:rPr>
            </w:pPr>
            <w:r>
              <w:rPr>
                <w:lang w:val="en-GB" w:eastAsia="zh-CN"/>
              </w:rPr>
              <w:t>No impact</w:t>
            </w:r>
          </w:p>
        </w:tc>
        <w:tc>
          <w:tcPr>
            <w:tcW w:w="4067" w:type="dxa"/>
          </w:tcPr>
          <w:p w14:paraId="422626C1" w14:textId="1B993A8A" w:rsidR="00C85909" w:rsidRDefault="00531765" w:rsidP="009127A3">
            <w:pPr>
              <w:rPr>
                <w:lang w:val="en-GB" w:eastAsia="zh-CN"/>
              </w:rPr>
            </w:pPr>
            <w:r>
              <w:t xml:space="preserve">gNB need send another DCI to </w:t>
            </w:r>
            <w:r w:rsidR="009127A3">
              <w:t xml:space="preserve">indicate </w:t>
            </w:r>
            <w:r>
              <w:t>SSSG</w:t>
            </w:r>
            <w:r w:rsidR="009127A3">
              <w:t xml:space="preserve"> switching</w:t>
            </w:r>
            <w:r w:rsidRPr="00F8185D">
              <w:t xml:space="preserve"> </w:t>
            </w:r>
            <w:r w:rsidR="009127A3">
              <w:t xml:space="preserve">or PDCCH skipping </w:t>
            </w:r>
            <w:r>
              <w:t xml:space="preserve">on the new active BWP, therefore more latency </w:t>
            </w:r>
            <w:r w:rsidR="009C0B9A">
              <w:t>or less power saving</w:t>
            </w:r>
            <w:r w:rsidR="009127A3">
              <w:t xml:space="preserve"> gain </w:t>
            </w:r>
            <w:r>
              <w:t>will be introduced</w:t>
            </w:r>
            <w:r w:rsidR="00750039">
              <w:t>.</w:t>
            </w:r>
          </w:p>
        </w:tc>
      </w:tr>
      <w:tr w:rsidR="00C85909" w14:paraId="7565868E" w14:textId="77777777" w:rsidTr="008D6013">
        <w:tc>
          <w:tcPr>
            <w:tcW w:w="1413" w:type="dxa"/>
          </w:tcPr>
          <w:p w14:paraId="43C91E20" w14:textId="0D1F671E" w:rsidR="00C85909" w:rsidRDefault="00531765" w:rsidP="00531765">
            <w:pPr>
              <w:rPr>
                <w:lang w:val="en-GB" w:eastAsia="zh-CN"/>
              </w:rPr>
            </w:pPr>
            <w:proofErr w:type="spellStart"/>
            <w:r>
              <w:rPr>
                <w:lang w:val="en-GB" w:eastAsia="zh-CN"/>
              </w:rPr>
              <w:t>gNB’s</w:t>
            </w:r>
            <w:proofErr w:type="spellEnd"/>
            <w:r>
              <w:rPr>
                <w:lang w:val="en-GB" w:eastAsia="zh-CN"/>
              </w:rPr>
              <w:t xml:space="preserve"> flexibility</w:t>
            </w:r>
          </w:p>
        </w:tc>
        <w:tc>
          <w:tcPr>
            <w:tcW w:w="3827" w:type="dxa"/>
          </w:tcPr>
          <w:p w14:paraId="15958CAA" w14:textId="6CC3D76C" w:rsidR="00C85909" w:rsidRDefault="00A37F9E" w:rsidP="00317EA9">
            <w:pPr>
              <w:rPr>
                <w:lang w:val="en-GB" w:eastAsia="zh-CN"/>
              </w:rPr>
            </w:pPr>
            <w:r>
              <w:rPr>
                <w:lang w:val="en-GB" w:eastAsia="zh-CN"/>
              </w:rPr>
              <w:t>gNB</w:t>
            </w:r>
            <w:r w:rsidR="00317EA9">
              <w:rPr>
                <w:lang w:val="en-GB" w:eastAsia="zh-CN"/>
              </w:rPr>
              <w:t xml:space="preserve"> has the flexibility to determine UE’s behaviour</w:t>
            </w:r>
          </w:p>
        </w:tc>
        <w:tc>
          <w:tcPr>
            <w:tcW w:w="4067" w:type="dxa"/>
          </w:tcPr>
          <w:p w14:paraId="254223D6" w14:textId="034EE5A7" w:rsidR="00C85909" w:rsidRDefault="00750039" w:rsidP="00750039">
            <w:pPr>
              <w:rPr>
                <w:lang w:val="en-GB" w:eastAsia="zh-CN"/>
              </w:rPr>
            </w:pPr>
            <w:r>
              <w:rPr>
                <w:lang w:val="en-GB" w:eastAsia="zh-CN"/>
              </w:rPr>
              <w:t>gNB loss the flexibility</w:t>
            </w:r>
          </w:p>
        </w:tc>
      </w:tr>
      <w:tr w:rsidR="0058581D" w14:paraId="40673443" w14:textId="77777777" w:rsidTr="008D6013">
        <w:tc>
          <w:tcPr>
            <w:tcW w:w="1413" w:type="dxa"/>
          </w:tcPr>
          <w:p w14:paraId="66BD43A7" w14:textId="2685073A" w:rsidR="0058581D" w:rsidRDefault="0058581D" w:rsidP="0058581D">
            <w:pPr>
              <w:rPr>
                <w:lang w:val="en-GB" w:eastAsia="zh-CN"/>
              </w:rPr>
            </w:pPr>
            <w:r>
              <w:rPr>
                <w:lang w:val="en-GB" w:eastAsia="zh-CN"/>
              </w:rPr>
              <w:t>Specification impact</w:t>
            </w:r>
          </w:p>
        </w:tc>
        <w:tc>
          <w:tcPr>
            <w:tcW w:w="3827" w:type="dxa"/>
          </w:tcPr>
          <w:p w14:paraId="05D95C4D" w14:textId="58730460" w:rsidR="0058581D" w:rsidRPr="00B375F5" w:rsidRDefault="0058581D" w:rsidP="0058581D">
            <w:pPr>
              <w:rPr>
                <w:lang w:val="en-GB" w:eastAsia="zh-CN"/>
              </w:rPr>
            </w:pPr>
            <w:r w:rsidRPr="00B375F5">
              <w:rPr>
                <w:rFonts w:hint="eastAsia"/>
                <w:lang w:val="en-GB" w:eastAsia="zh-CN"/>
              </w:rPr>
              <w:t>S</w:t>
            </w:r>
            <w:r w:rsidRPr="00B375F5">
              <w:rPr>
                <w:lang w:val="en-GB" w:eastAsia="zh-CN"/>
              </w:rPr>
              <w:t>pecify the application delay</w:t>
            </w:r>
            <w:r w:rsidRPr="00B375F5">
              <w:t xml:space="preserve"> of PDCCH monitoring adaptation</w:t>
            </w:r>
          </w:p>
        </w:tc>
        <w:tc>
          <w:tcPr>
            <w:tcW w:w="4067" w:type="dxa"/>
          </w:tcPr>
          <w:p w14:paraId="4F7BBB94" w14:textId="09E141B8" w:rsidR="0058581D" w:rsidRPr="00B375F5" w:rsidRDefault="0058581D" w:rsidP="0058581D">
            <w:pPr>
              <w:pStyle w:val="af3"/>
              <w:numPr>
                <w:ilvl w:val="0"/>
                <w:numId w:val="42"/>
              </w:numPr>
              <w:rPr>
                <w:sz w:val="22"/>
                <w:szCs w:val="22"/>
                <w:lang w:eastAsia="zh-CN"/>
              </w:rPr>
            </w:pPr>
            <w:r w:rsidRPr="00B375F5">
              <w:rPr>
                <w:sz w:val="22"/>
                <w:szCs w:val="22"/>
                <w:lang w:eastAsia="zh-CN"/>
              </w:rPr>
              <w:t xml:space="preserve">Modify the interpretation of the </w:t>
            </w:r>
            <w:r w:rsidRPr="00B375F5">
              <w:rPr>
                <w:sz w:val="22"/>
                <w:szCs w:val="22"/>
              </w:rPr>
              <w:t>field in DCI</w:t>
            </w:r>
            <w:r w:rsidR="007D5FD7">
              <w:rPr>
                <w:sz w:val="22"/>
                <w:szCs w:val="22"/>
              </w:rPr>
              <w:t xml:space="preserve"> and specify</w:t>
            </w:r>
            <w:r w:rsidR="00E35071">
              <w:rPr>
                <w:sz w:val="22"/>
                <w:szCs w:val="22"/>
              </w:rPr>
              <w:t xml:space="preserve"> the UE behaviour on the target BWP</w:t>
            </w:r>
          </w:p>
          <w:p w14:paraId="7EB6A865" w14:textId="58D7FB66" w:rsidR="0058581D" w:rsidRPr="00B375F5" w:rsidRDefault="0058581D" w:rsidP="0058581D">
            <w:pPr>
              <w:pStyle w:val="af3"/>
              <w:numPr>
                <w:ilvl w:val="0"/>
                <w:numId w:val="42"/>
              </w:numPr>
              <w:rPr>
                <w:sz w:val="22"/>
                <w:szCs w:val="22"/>
                <w:lang w:eastAsia="zh-CN"/>
              </w:rPr>
            </w:pPr>
            <w:r w:rsidRPr="00B375F5">
              <w:rPr>
                <w:sz w:val="22"/>
                <w:szCs w:val="22"/>
              </w:rPr>
              <w:t>Specify the application delay of PDCCH monitoring adaptation.</w:t>
            </w:r>
          </w:p>
        </w:tc>
      </w:tr>
    </w:tbl>
    <w:p w14:paraId="7532B676" w14:textId="77777777" w:rsidR="00BC5CDD" w:rsidRDefault="00BC5CDD" w:rsidP="001946E0">
      <w:pPr>
        <w:rPr>
          <w:b/>
          <w:i/>
          <w:lang w:eastAsia="zh-CN"/>
        </w:rPr>
      </w:pPr>
    </w:p>
    <w:p w14:paraId="1B1E637B" w14:textId="0215ED80" w:rsidR="005639A8" w:rsidRPr="00C85909" w:rsidRDefault="00BC5CDD" w:rsidP="001946E0">
      <w:pPr>
        <w:rPr>
          <w:lang w:eastAsia="zh-CN" w:bidi="ar"/>
        </w:rPr>
      </w:pPr>
      <w:r>
        <w:rPr>
          <w:b/>
          <w:i/>
          <w:lang w:eastAsia="zh-CN"/>
        </w:rPr>
        <w:t>Proposal 1</w:t>
      </w:r>
      <w:r w:rsidRPr="00825C1F">
        <w:rPr>
          <w:b/>
          <w:i/>
          <w:lang w:eastAsia="zh-CN"/>
        </w:rPr>
        <w:t>:</w:t>
      </w:r>
      <w:r>
        <w:rPr>
          <w:b/>
          <w:i/>
          <w:lang w:eastAsia="zh-CN"/>
        </w:rPr>
        <w:t xml:space="preserve"> In case of </w:t>
      </w:r>
      <w:r w:rsidRPr="00BC5CDD">
        <w:rPr>
          <w:b/>
          <w:i/>
          <w:lang w:eastAsia="zh-CN"/>
        </w:rPr>
        <w:t xml:space="preserve">a DCI indicating BWP switching and PDCCH monitoring adaptation simultaneously, the same principle </w:t>
      </w:r>
      <w:r>
        <w:rPr>
          <w:b/>
          <w:i/>
          <w:lang w:eastAsia="zh-CN"/>
        </w:rPr>
        <w:t xml:space="preserve">of DCI based BWP switching in the current specification </w:t>
      </w:r>
      <w:r w:rsidRPr="00BC5CDD">
        <w:rPr>
          <w:b/>
          <w:i/>
          <w:lang w:eastAsia="zh-CN"/>
        </w:rPr>
        <w:t>should be applied, i.e., the indicated PDCCH monitoring adaptation is interpreted based on the target BWP configuration.</w:t>
      </w:r>
    </w:p>
    <w:p w14:paraId="78DBF51C" w14:textId="414FA459" w:rsidR="00CB4132" w:rsidRDefault="004E4697" w:rsidP="00644D46">
      <w:pPr>
        <w:rPr>
          <w:lang w:eastAsia="zh-CN" w:bidi="ar"/>
        </w:rPr>
      </w:pPr>
      <w:r>
        <w:rPr>
          <w:lang w:eastAsia="zh-CN" w:bidi="ar"/>
        </w:rPr>
        <w:t>In current specification, the application delay of PDCCH monitoring adaptation is specified as follows.</w:t>
      </w:r>
      <w:r w:rsidR="008F418E">
        <w:rPr>
          <w:lang w:eastAsia="zh-CN" w:bidi="ar"/>
        </w:rPr>
        <w:t xml:space="preserve"> Due to the limited time</w:t>
      </w:r>
      <w:r w:rsidR="009127A3">
        <w:rPr>
          <w:lang w:eastAsia="zh-CN" w:bidi="ar"/>
        </w:rPr>
        <w:t>, we</w:t>
      </w:r>
      <w:r w:rsidR="008F418E">
        <w:rPr>
          <w:lang w:eastAsia="zh-CN" w:bidi="ar"/>
        </w:rPr>
        <w:t xml:space="preserve"> don’t have enough time to discuss the impact of cross BWP scheduling in the previous meetings. Hence, the application delay in </w:t>
      </w:r>
      <w:r w:rsidR="00BB51CE">
        <w:rPr>
          <w:lang w:eastAsia="zh-CN" w:bidi="ar"/>
        </w:rPr>
        <w:t xml:space="preserve">the </w:t>
      </w:r>
      <w:r w:rsidR="008F418E">
        <w:rPr>
          <w:lang w:eastAsia="zh-CN" w:bidi="ar"/>
        </w:rPr>
        <w:t xml:space="preserve">current specification is more suitable to the case of same BWP scheduling. </w:t>
      </w:r>
      <w:r w:rsidR="00ED68E9">
        <w:rPr>
          <w:lang w:eastAsia="zh-CN" w:bidi="ar"/>
        </w:rPr>
        <w:t>In RAN1#111 meeting, some companies think that the application delay is</w:t>
      </w:r>
      <w:r w:rsidR="008F418E">
        <w:rPr>
          <w:lang w:eastAsia="zh-CN" w:bidi="ar"/>
        </w:rPr>
        <w:t xml:space="preserve"> used for the</w:t>
      </w:r>
      <w:r w:rsidR="00ED68E9">
        <w:rPr>
          <w:lang w:eastAsia="zh-CN" w:bidi="ar"/>
        </w:rPr>
        <w:t xml:space="preserve"> case of both same BWP scheduling and cross BWP scheduling.</w:t>
      </w:r>
      <w:r w:rsidR="00FB06B1">
        <w:rPr>
          <w:lang w:eastAsia="zh-CN" w:bidi="ar"/>
        </w:rPr>
        <w:t xml:space="preserve"> </w:t>
      </w:r>
      <w:r w:rsidR="00BB51CE">
        <w:rPr>
          <w:lang w:eastAsia="zh-CN" w:bidi="ar"/>
        </w:rPr>
        <w:t>However, if the application delay is used for cross BWP scheduling, other issues will be introduced.</w:t>
      </w:r>
    </w:p>
    <w:tbl>
      <w:tblPr>
        <w:tblStyle w:val="ae"/>
        <w:tblW w:w="0" w:type="auto"/>
        <w:tblLook w:val="04A0" w:firstRow="1" w:lastRow="0" w:firstColumn="1" w:lastColumn="0" w:noHBand="0" w:noVBand="1"/>
      </w:tblPr>
      <w:tblGrid>
        <w:gridCol w:w="9307"/>
      </w:tblGrid>
      <w:tr w:rsidR="00F63BC8" w14:paraId="2268BF98" w14:textId="77777777" w:rsidTr="00F63BC8">
        <w:tc>
          <w:tcPr>
            <w:tcW w:w="9307" w:type="dxa"/>
          </w:tcPr>
          <w:p w14:paraId="00618CB1" w14:textId="568E6B59" w:rsidR="00F63BC8" w:rsidRPr="00DE7824" w:rsidRDefault="00F63BC8" w:rsidP="00F63BC8">
            <w:pPr>
              <w:rPr>
                <w:rFonts w:eastAsiaTheme="minorEastAsia"/>
                <w:b/>
                <w:u w:val="single"/>
                <w:lang w:eastAsia="zh-CN"/>
              </w:rPr>
            </w:pPr>
            <w:r w:rsidRPr="00DE7824">
              <w:rPr>
                <w:rFonts w:eastAsiaTheme="minorEastAsia" w:hint="eastAsia"/>
                <w:b/>
                <w:u w:val="single"/>
                <w:lang w:eastAsia="zh-CN"/>
              </w:rPr>
              <w:t>T</w:t>
            </w:r>
            <w:r w:rsidRPr="00DE7824">
              <w:rPr>
                <w:rFonts w:eastAsiaTheme="minorEastAsia"/>
                <w:b/>
                <w:u w:val="single"/>
                <w:lang w:eastAsia="zh-CN"/>
              </w:rPr>
              <w:t xml:space="preserve">S38.213 </w:t>
            </w:r>
            <w:r w:rsidR="00A009CF">
              <w:rPr>
                <w:rFonts w:eastAsiaTheme="minorEastAsia"/>
                <w:b/>
                <w:u w:val="single"/>
                <w:lang w:eastAsia="zh-CN"/>
              </w:rPr>
              <w:t>v17.4.0</w:t>
            </w:r>
          </w:p>
          <w:p w14:paraId="395F0033" w14:textId="77777777" w:rsidR="00F63BC8" w:rsidRDefault="00F63BC8" w:rsidP="00F63BC8">
            <w:pPr>
              <w:pStyle w:val="2"/>
              <w:numPr>
                <w:ilvl w:val="0"/>
                <w:numId w:val="0"/>
              </w:numPr>
              <w:outlineLvl w:val="1"/>
              <w:rPr>
                <w:sz w:val="32"/>
                <w:szCs w:val="20"/>
              </w:rPr>
            </w:pPr>
            <w:r>
              <w:t>10.4</w:t>
            </w:r>
            <w:r>
              <w:tab/>
              <w:t>Search space set group switching and skipping of PDCCH monitoring</w:t>
            </w:r>
          </w:p>
          <w:p w14:paraId="0C976A37" w14:textId="77777777" w:rsidR="00F63BC8" w:rsidRDefault="00F63BC8" w:rsidP="00F63BC8">
            <w:pPr>
              <w:rPr>
                <w:rFonts w:eastAsiaTheme="minorEastAsia"/>
                <w:lang w:eastAsia="zh-CN"/>
              </w:rPr>
            </w:pPr>
            <w:r>
              <w:rPr>
                <w:rFonts w:eastAsiaTheme="minorEastAsia" w:hint="eastAsia"/>
                <w:lang w:eastAsia="zh-CN"/>
              </w:rPr>
              <w:t>&lt;</w:t>
            </w:r>
            <w:r>
              <w:rPr>
                <w:rFonts w:eastAsiaTheme="minorEastAsia"/>
                <w:lang w:eastAsia="zh-CN"/>
              </w:rPr>
              <w:t>omitted&gt;</w:t>
            </w:r>
          </w:p>
          <w:p w14:paraId="7ADD16C2" w14:textId="77777777" w:rsidR="00F63BC8" w:rsidRPr="004E4697" w:rsidRDefault="00F63BC8" w:rsidP="00F63BC8">
            <w:r w:rsidRPr="004E4697">
              <w:t xml:space="preserve">When the </w:t>
            </w:r>
            <w:r w:rsidRPr="004E4697">
              <w:rPr>
                <w:lang w:eastAsia="zh-CN"/>
              </w:rPr>
              <w:t xml:space="preserve">PDCCH monitoring </w:t>
            </w:r>
            <w:proofErr w:type="gramStart"/>
            <w:r w:rsidRPr="004E4697">
              <w:rPr>
                <w:lang w:eastAsia="zh-CN"/>
              </w:rPr>
              <w:t>adaptation</w:t>
            </w:r>
            <w:proofErr w:type="gramEnd"/>
            <w:r w:rsidRPr="004E4697">
              <w:rPr>
                <w:lang w:eastAsia="zh-CN"/>
              </w:rPr>
              <w:t xml:space="preserve"> field indicates to a</w:t>
            </w:r>
            <w:r w:rsidRPr="004E4697">
              <w:t xml:space="preserve"> UE to start PDCCH monitoring according to search space sets with a first group index and stop PDCCH monitoring according to search space sets with a second group index, the UE applies the indication</w:t>
            </w:r>
          </w:p>
          <w:p w14:paraId="0EBF1088" w14:textId="77777777" w:rsidR="00F63BC8" w:rsidRPr="004E4697" w:rsidRDefault="00F63BC8" w:rsidP="00F63BC8">
            <w:pPr>
              <w:pStyle w:val="B1"/>
              <w:rPr>
                <w:sz w:val="22"/>
                <w:szCs w:val="22"/>
              </w:rPr>
            </w:pPr>
            <w:r w:rsidRPr="004E4697">
              <w:rPr>
                <w:sz w:val="22"/>
                <w:szCs w:val="22"/>
              </w:rPr>
              <w:t>-</w:t>
            </w:r>
            <w:r w:rsidRPr="004E4697">
              <w:rPr>
                <w:sz w:val="22"/>
                <w:szCs w:val="22"/>
              </w:rPr>
              <w:tab/>
              <w:t xml:space="preserve">at </w:t>
            </w:r>
            <w:r w:rsidRPr="004E4697">
              <w:rPr>
                <w:sz w:val="22"/>
                <w:szCs w:val="22"/>
                <w:lang w:val="en-US"/>
              </w:rPr>
              <w:t xml:space="preserve">the beginning of </w:t>
            </w:r>
            <w:r w:rsidRPr="004E4697">
              <w:rPr>
                <w:sz w:val="22"/>
                <w:szCs w:val="22"/>
              </w:rPr>
              <w:t xml:space="preserve">a first slot that is at least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switch</m:t>
                  </m:r>
                </m:sub>
              </m:sSub>
            </m:oMath>
            <w:r w:rsidRPr="004E4697">
              <w:rPr>
                <w:sz w:val="22"/>
                <w:szCs w:val="22"/>
              </w:rPr>
              <w:t xml:space="preserve"> symbols after the last symbol of the PDCCH</w:t>
            </w:r>
            <w:r w:rsidRPr="004E4697">
              <w:rPr>
                <w:sz w:val="22"/>
                <w:szCs w:val="22"/>
                <w:lang w:val="en-US"/>
              </w:rPr>
              <w:t xml:space="preserve"> reception providing</w:t>
            </w:r>
            <w:r w:rsidRPr="004E4697">
              <w:rPr>
                <w:sz w:val="22"/>
                <w:szCs w:val="22"/>
              </w:rPr>
              <w:t xml:space="preserve"> the DCI format</w:t>
            </w:r>
            <w:r w:rsidRPr="004E4697">
              <w:rPr>
                <w:sz w:val="22"/>
                <w:szCs w:val="22"/>
                <w:lang w:val="en-US"/>
              </w:rPr>
              <w:t xml:space="preserve"> with the </w:t>
            </w:r>
            <w:r w:rsidRPr="004E4697">
              <w:rPr>
                <w:sz w:val="22"/>
                <w:szCs w:val="22"/>
                <w:lang w:val="en-US" w:eastAsia="zh-CN"/>
              </w:rPr>
              <w:t xml:space="preserve">PDCCH monitoring adaptation </w:t>
            </w:r>
            <w:r w:rsidRPr="004E4697">
              <w:rPr>
                <w:sz w:val="22"/>
                <w:szCs w:val="22"/>
                <w:lang w:val="en-US"/>
              </w:rPr>
              <w:t xml:space="preserve">field when </w:t>
            </w:r>
            <m:oMath>
              <m:r>
                <w:rPr>
                  <w:rFonts w:ascii="Cambria Math" w:hAnsi="Cambria Math"/>
                  <w:sz w:val="22"/>
                  <w:szCs w:val="22"/>
                  <w:lang w:eastAsia="zh-CN"/>
                </w:rPr>
                <m:t>μ∈</m:t>
              </m:r>
              <m:d>
                <m:dPr>
                  <m:begChr m:val="{"/>
                  <m:endChr m:val="}"/>
                  <m:ctrlPr>
                    <w:rPr>
                      <w:rFonts w:ascii="Cambria Math" w:hAnsi="Cambria Math"/>
                      <w:i/>
                      <w:sz w:val="22"/>
                      <w:szCs w:val="22"/>
                    </w:rPr>
                  </m:ctrlPr>
                </m:dPr>
                <m:e>
                  <m:r>
                    <w:rPr>
                      <w:rFonts w:ascii="Cambria Math" w:hAnsi="Cambria Math"/>
                      <w:sz w:val="22"/>
                      <w:szCs w:val="22"/>
                      <w:lang w:eastAsia="zh-CN"/>
                    </w:rPr>
                    <m:t>0, 1, 2, 3</m:t>
                  </m:r>
                </m:e>
              </m:d>
            </m:oMath>
            <w:r w:rsidRPr="004E4697">
              <w:rPr>
                <w:sz w:val="22"/>
                <w:szCs w:val="22"/>
                <w:lang w:val="en-US" w:eastAsia="zh-CN"/>
              </w:rPr>
              <w:t xml:space="preserve">, </w:t>
            </w:r>
          </w:p>
          <w:p w14:paraId="52E9F537" w14:textId="77777777" w:rsidR="00F63BC8" w:rsidRPr="004E4697" w:rsidRDefault="00F63BC8" w:rsidP="00F63BC8">
            <w:pPr>
              <w:pStyle w:val="B1"/>
              <w:rPr>
                <w:sz w:val="22"/>
                <w:szCs w:val="22"/>
              </w:rPr>
            </w:pPr>
            <w:r w:rsidRPr="004E4697">
              <w:rPr>
                <w:sz w:val="22"/>
                <w:szCs w:val="22"/>
              </w:rPr>
              <w:t>-</w:t>
            </w:r>
            <w:r w:rsidRPr="004E4697">
              <w:rPr>
                <w:sz w:val="22"/>
                <w:szCs w:val="22"/>
              </w:rPr>
              <w:tab/>
              <w:t xml:space="preserve">at the beginning of </w:t>
            </w:r>
            <w:r w:rsidRPr="004E4697">
              <w:rPr>
                <w:sz w:val="22"/>
                <w:szCs w:val="22"/>
                <w:lang w:val="en-US"/>
              </w:rPr>
              <w:t>a</w:t>
            </w:r>
            <w:r w:rsidRPr="004E4697">
              <w:rPr>
                <w:sz w:val="22"/>
                <w:szCs w:val="22"/>
              </w:rPr>
              <w:t xml:space="preserve"> first slot</w:t>
            </w:r>
            <w:r w:rsidRPr="004E4697">
              <w:rPr>
                <w:sz w:val="22"/>
                <w:szCs w:val="22"/>
                <w:lang w:val="en-US"/>
              </w:rPr>
              <w:t xml:space="preserve">, of a slot group of </w:t>
            </w:r>
            <m:oMath>
              <m:sSub>
                <m:sSubPr>
                  <m:ctrlPr>
                    <w:rPr>
                      <w:rFonts w:ascii="Cambria Math" w:hAnsi="Cambria Math"/>
                      <w:i/>
                      <w:sz w:val="22"/>
                      <w:szCs w:val="22"/>
                    </w:rPr>
                  </m:ctrlPr>
                </m:sSubPr>
                <m:e>
                  <m:r>
                    <w:rPr>
                      <w:rFonts w:ascii="Cambria Math" w:hAnsi="Cambria Math"/>
                      <w:sz w:val="22"/>
                      <w:szCs w:val="22"/>
                      <w:lang w:eastAsia="zh-CN"/>
                    </w:rPr>
                    <m:t>X</m:t>
                  </m:r>
                </m:e>
                <m:sub>
                  <m:r>
                    <w:rPr>
                      <w:rFonts w:ascii="Cambria Math" w:hAnsi="Cambria Math"/>
                      <w:sz w:val="22"/>
                      <w:szCs w:val="22"/>
                      <w:lang w:eastAsia="zh-CN"/>
                    </w:rPr>
                    <m:t>s</m:t>
                  </m:r>
                </m:sub>
              </m:sSub>
            </m:oMath>
            <w:r w:rsidRPr="004E4697">
              <w:rPr>
                <w:sz w:val="22"/>
                <w:szCs w:val="22"/>
                <w:lang w:val="en-US" w:eastAsia="zh-CN"/>
              </w:rPr>
              <w:t xml:space="preserve"> slots,</w:t>
            </w:r>
            <w:r w:rsidRPr="004E4697">
              <w:rPr>
                <w:sz w:val="22"/>
                <w:szCs w:val="22"/>
              </w:rPr>
              <w:t xml:space="preserve"> that is at least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switch</m:t>
                  </m:r>
                </m:sub>
              </m:sSub>
            </m:oMath>
            <w:r w:rsidRPr="004E4697">
              <w:rPr>
                <w:sz w:val="22"/>
                <w:szCs w:val="22"/>
              </w:rPr>
              <w:t xml:space="preserve"> symbols after the last symbol of the PDCCH </w:t>
            </w:r>
            <w:r w:rsidRPr="004E4697">
              <w:rPr>
                <w:sz w:val="22"/>
                <w:szCs w:val="22"/>
                <w:lang w:val="en-US"/>
              </w:rPr>
              <w:t>reception providing</w:t>
            </w:r>
            <w:r w:rsidRPr="004E4697">
              <w:rPr>
                <w:sz w:val="22"/>
                <w:szCs w:val="22"/>
              </w:rPr>
              <w:t xml:space="preserve"> the DCI format</w:t>
            </w:r>
            <w:r w:rsidRPr="004E4697">
              <w:rPr>
                <w:sz w:val="22"/>
                <w:szCs w:val="22"/>
                <w:lang w:val="en-US"/>
              </w:rPr>
              <w:t xml:space="preserve"> with the </w:t>
            </w:r>
            <w:r w:rsidRPr="004E4697">
              <w:rPr>
                <w:sz w:val="22"/>
                <w:szCs w:val="22"/>
                <w:lang w:val="en-US" w:eastAsia="zh-CN"/>
              </w:rPr>
              <w:t xml:space="preserve">PDCCH monitoring adaptation </w:t>
            </w:r>
            <w:r w:rsidRPr="004E4697">
              <w:rPr>
                <w:sz w:val="22"/>
                <w:szCs w:val="22"/>
                <w:lang w:val="en-US"/>
              </w:rPr>
              <w:t xml:space="preserve">field when </w:t>
            </w:r>
            <m:oMath>
              <m:r>
                <w:rPr>
                  <w:rFonts w:ascii="Cambria Math" w:hAnsi="Cambria Math"/>
                  <w:sz w:val="22"/>
                  <w:szCs w:val="22"/>
                  <w:lang w:eastAsia="zh-CN"/>
                </w:rPr>
                <m:t>μ∈</m:t>
              </m:r>
              <m:d>
                <m:dPr>
                  <m:begChr m:val="{"/>
                  <m:endChr m:val="}"/>
                  <m:ctrlPr>
                    <w:rPr>
                      <w:rFonts w:ascii="Cambria Math" w:hAnsi="Cambria Math"/>
                      <w:i/>
                      <w:sz w:val="22"/>
                      <w:szCs w:val="22"/>
                    </w:rPr>
                  </m:ctrlPr>
                </m:dPr>
                <m:e>
                  <m:r>
                    <w:rPr>
                      <w:rFonts w:ascii="Cambria Math" w:hAnsi="Cambria Math"/>
                      <w:sz w:val="22"/>
                      <w:szCs w:val="22"/>
                      <w:lang w:eastAsia="zh-CN"/>
                    </w:rPr>
                    <m:t>5, 6</m:t>
                  </m:r>
                </m:e>
              </m:d>
            </m:oMath>
          </w:p>
          <w:p w14:paraId="3408487C" w14:textId="64565963" w:rsidR="00F63BC8" w:rsidRPr="004E4697" w:rsidRDefault="00F63BC8" w:rsidP="00F63BC8">
            <w:r w:rsidRPr="004E4697">
              <w:t xml:space="preserve">When the </w:t>
            </w:r>
            <w:r w:rsidRPr="004E4697">
              <w:rPr>
                <w:lang w:eastAsia="zh-CN"/>
              </w:rPr>
              <w:t xml:space="preserve">PDCCH monitoring </w:t>
            </w:r>
            <w:proofErr w:type="gramStart"/>
            <w:r w:rsidRPr="004E4697">
              <w:rPr>
                <w:lang w:eastAsia="zh-CN"/>
              </w:rPr>
              <w:t>adaptation</w:t>
            </w:r>
            <w:proofErr w:type="gramEnd"/>
            <w:r w:rsidRPr="004E4697">
              <w:rPr>
                <w:lang w:eastAsia="zh-CN"/>
              </w:rPr>
              <w:t xml:space="preserve"> field indicates to a</w:t>
            </w:r>
            <w:r w:rsidRPr="004E4697">
              <w:t xml:space="preserve"> UE to skip PDCCH monitoring for a duration on the active DL BWP of a serving cell, the UE starts skipping of PDCCH monitoring at the beginning of a first slot that is after the last symbol of the PDCCH reception providing the DCI format </w:t>
            </w:r>
            <w:r w:rsidRPr="004E4697">
              <w:lastRenderedPageBreak/>
              <w:t xml:space="preserve">with the </w:t>
            </w:r>
            <w:r w:rsidRPr="004E4697">
              <w:rPr>
                <w:lang w:eastAsia="zh-CN"/>
              </w:rPr>
              <w:t xml:space="preserve">PDCCH monitoring adaptation </w:t>
            </w:r>
            <w:r w:rsidRPr="004E4697">
              <w:t>field. …</w:t>
            </w:r>
          </w:p>
          <w:p w14:paraId="789C6201" w14:textId="72292257" w:rsidR="00F63BC8" w:rsidRDefault="00F63BC8" w:rsidP="00F63BC8">
            <w:pPr>
              <w:rPr>
                <w:lang w:eastAsia="zh-CN"/>
              </w:rPr>
            </w:pPr>
            <w:r>
              <w:rPr>
                <w:rFonts w:hint="eastAsia"/>
                <w:lang w:eastAsia="zh-CN"/>
              </w:rPr>
              <w:t>&lt;</w:t>
            </w:r>
            <w:r>
              <w:rPr>
                <w:lang w:eastAsia="zh-CN"/>
              </w:rPr>
              <w:t>omitted&gt;</w:t>
            </w:r>
          </w:p>
        </w:tc>
      </w:tr>
    </w:tbl>
    <w:p w14:paraId="29571B19" w14:textId="77777777" w:rsidR="00CB4132" w:rsidRDefault="00CB4132" w:rsidP="00644D46">
      <w:pPr>
        <w:rPr>
          <w:lang w:eastAsia="zh-CN"/>
        </w:rPr>
      </w:pPr>
    </w:p>
    <w:p w14:paraId="59835E6A" w14:textId="252E16CD" w:rsidR="00DA0016" w:rsidRDefault="00DA0016" w:rsidP="00644D46">
      <w:pPr>
        <w:rPr>
          <w:lang w:eastAsia="zh-CN"/>
        </w:rPr>
      </w:pPr>
      <w:r>
        <w:rPr>
          <w:lang w:eastAsia="zh-CN"/>
        </w:rPr>
        <w:t xml:space="preserve">Since the source BWP and the target BWP may have different subcarrier spacing, one issue is how to </w:t>
      </w:r>
      <w:r w:rsidR="00C63C88">
        <w:rPr>
          <w:lang w:eastAsia="zh-CN"/>
        </w:rPr>
        <w:t>understanding the above application delay for the indicated PDCCH monitoring adaptation.</w:t>
      </w:r>
      <w:r w:rsidR="00492361">
        <w:rPr>
          <w:lang w:eastAsia="zh-CN"/>
        </w:rPr>
        <w:t xml:space="preserve"> Figure 1 </w:t>
      </w:r>
      <w:r w:rsidR="00492361" w:rsidRPr="00825C1F">
        <w:rPr>
          <w:lang w:eastAsia="zh-CN"/>
        </w:rPr>
        <w:t>shows an example of the BWP switching</w:t>
      </w:r>
      <w:r w:rsidR="00492361">
        <w:rPr>
          <w:lang w:eastAsia="zh-CN"/>
        </w:rPr>
        <w:t xml:space="preserve"> delay and application delay of</w:t>
      </w:r>
      <w:r w:rsidR="00492361" w:rsidRPr="00825C1F">
        <w:rPr>
          <w:lang w:eastAsia="zh-CN"/>
        </w:rPr>
        <w:t xml:space="preserve"> PDCCH skipping</w:t>
      </w:r>
      <w:r w:rsidR="00492361">
        <w:rPr>
          <w:lang w:eastAsia="zh-CN"/>
        </w:rPr>
        <w:t xml:space="preserve"> indication</w:t>
      </w:r>
      <w:r w:rsidR="0091029B">
        <w:rPr>
          <w:lang w:eastAsia="zh-CN"/>
        </w:rPr>
        <w:t xml:space="preserve">. </w:t>
      </w:r>
      <w:r w:rsidR="00BD7443">
        <w:rPr>
          <w:lang w:eastAsia="zh-CN"/>
        </w:rPr>
        <w:t xml:space="preserve">As mentioned above, the indicated </w:t>
      </w:r>
      <w:r w:rsidR="0091029B">
        <w:rPr>
          <w:lang w:eastAsia="zh-CN"/>
        </w:rPr>
        <w:t xml:space="preserve">PDCCH skipping </w:t>
      </w:r>
      <w:r w:rsidR="00BD7443">
        <w:rPr>
          <w:lang w:eastAsia="zh-CN"/>
        </w:rPr>
        <w:t>duration is started from the first slot that is after the last symbol of the DCI indicating PDCCH skipping. As shown in Figure 1, it is not clear whi</w:t>
      </w:r>
      <w:r w:rsidR="00C81794">
        <w:rPr>
          <w:lang w:eastAsia="zh-CN"/>
        </w:rPr>
        <w:t>ch one</w:t>
      </w:r>
      <w:r w:rsidR="00BD7443">
        <w:rPr>
          <w:lang w:eastAsia="zh-CN"/>
        </w:rPr>
        <w:t xml:space="preserve"> the first slot</w:t>
      </w:r>
      <w:r w:rsidR="0086381B">
        <w:rPr>
          <w:lang w:eastAsia="zh-CN"/>
        </w:rPr>
        <w:t xml:space="preserve"> of PDCCH skipping duration</w:t>
      </w:r>
      <w:r w:rsidR="00BD7443">
        <w:rPr>
          <w:lang w:eastAsia="zh-CN"/>
        </w:rPr>
        <w:t xml:space="preserve"> is, i.e., </w:t>
      </w:r>
      <w:r w:rsidR="00C81794">
        <w:rPr>
          <w:lang w:eastAsia="zh-CN"/>
        </w:rPr>
        <w:t>the slot on source BWP or target BWP. In this case, the current specification is not clear.</w:t>
      </w:r>
      <w:r w:rsidR="00626339">
        <w:rPr>
          <w:lang w:eastAsia="zh-CN"/>
        </w:rPr>
        <w:t xml:space="preserve"> The similar issue exists for SSSG timer in SSSG switching mechanism.</w:t>
      </w:r>
    </w:p>
    <w:p w14:paraId="6AFF1F5F" w14:textId="768295EA" w:rsidR="00492361" w:rsidRDefault="004A1784" w:rsidP="00626339">
      <w:pPr>
        <w:jc w:val="center"/>
      </w:pPr>
      <w:r>
        <w:pict w14:anchorId="0FBD9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1.05pt;height:2in">
            <v:imagedata r:id="rId8" o:title=""/>
          </v:shape>
        </w:pict>
      </w:r>
    </w:p>
    <w:p w14:paraId="640A990E" w14:textId="2347CD0D" w:rsidR="00492361" w:rsidRDefault="00492361" w:rsidP="00492361">
      <w:pPr>
        <w:pStyle w:val="a6"/>
        <w:rPr>
          <w:lang w:eastAsia="zh-CN"/>
        </w:rPr>
      </w:pPr>
      <w:r>
        <w:t xml:space="preserve">Figure </w:t>
      </w:r>
      <w:r>
        <w:rPr>
          <w:noProof/>
        </w:rPr>
        <w:t>1</w:t>
      </w:r>
      <w:r>
        <w:t xml:space="preserve"> Example of </w:t>
      </w:r>
      <w:r w:rsidRPr="00825C1F">
        <w:rPr>
          <w:sz w:val="22"/>
          <w:szCs w:val="22"/>
          <w:lang w:eastAsia="zh-CN"/>
        </w:rPr>
        <w:t>BWP switching</w:t>
      </w:r>
      <w:r>
        <w:rPr>
          <w:sz w:val="22"/>
          <w:szCs w:val="22"/>
          <w:lang w:eastAsia="zh-CN"/>
        </w:rPr>
        <w:t xml:space="preserve"> delay and application delay of</w:t>
      </w:r>
      <w:r w:rsidRPr="00825C1F">
        <w:rPr>
          <w:sz w:val="22"/>
          <w:szCs w:val="22"/>
          <w:lang w:eastAsia="zh-CN"/>
        </w:rPr>
        <w:t xml:space="preserve"> PDCCH skipping</w:t>
      </w:r>
      <w:r w:rsidR="00AE5CAD">
        <w:rPr>
          <w:sz w:val="22"/>
          <w:szCs w:val="22"/>
          <w:lang w:eastAsia="zh-CN"/>
        </w:rPr>
        <w:t xml:space="preserve"> indication</w:t>
      </w:r>
    </w:p>
    <w:p w14:paraId="1A8F4B34" w14:textId="49AB8B99" w:rsidR="00C81794" w:rsidRPr="0058581D" w:rsidRDefault="00C81794" w:rsidP="00C81794">
      <w:pPr>
        <w:rPr>
          <w:lang w:eastAsia="zh-CN"/>
        </w:rPr>
      </w:pPr>
      <w:r>
        <w:rPr>
          <w:b/>
          <w:i/>
          <w:lang w:eastAsia="zh-CN"/>
        </w:rPr>
        <w:t>Observation 4</w:t>
      </w:r>
      <w:r w:rsidRPr="00974F3A">
        <w:rPr>
          <w:b/>
          <w:i/>
          <w:lang w:eastAsia="zh-CN"/>
        </w:rPr>
        <w:t>:</w:t>
      </w:r>
      <w:r>
        <w:rPr>
          <w:b/>
          <w:i/>
          <w:lang w:eastAsia="zh-CN"/>
        </w:rPr>
        <w:t xml:space="preserve"> In case of cross BWP scheduling with different SCS, the application delay in current specification is not clear</w:t>
      </w:r>
      <w:r w:rsidRPr="0058581D">
        <w:rPr>
          <w:b/>
          <w:i/>
          <w:lang w:eastAsia="zh-CN"/>
        </w:rPr>
        <w:t>.</w:t>
      </w:r>
    </w:p>
    <w:p w14:paraId="111C5A95" w14:textId="1346E60B" w:rsidR="00FD0E3D" w:rsidRDefault="00DF7193" w:rsidP="00644D46">
      <w:pPr>
        <w:rPr>
          <w:lang w:eastAsia="zh-CN"/>
        </w:rPr>
      </w:pPr>
      <w:r>
        <w:rPr>
          <w:rFonts w:hint="eastAsia"/>
          <w:lang w:eastAsia="zh-CN"/>
        </w:rPr>
        <w:t>A</w:t>
      </w:r>
      <w:r>
        <w:rPr>
          <w:lang w:eastAsia="zh-CN"/>
        </w:rPr>
        <w:t xml:space="preserve">nother issue is </w:t>
      </w:r>
      <w:r w:rsidR="00516A22">
        <w:rPr>
          <w:lang w:eastAsia="zh-CN"/>
        </w:rPr>
        <w:t>PDCCH skipping duration or SSSG timer will be started before the target BWP is active</w:t>
      </w:r>
      <w:r>
        <w:rPr>
          <w:lang w:eastAsia="zh-CN"/>
        </w:rPr>
        <w:t xml:space="preserve"> if the above </w:t>
      </w:r>
      <w:r w:rsidRPr="00DF7193">
        <w:rPr>
          <w:lang w:eastAsia="zh-CN"/>
        </w:rPr>
        <w:t>application delay</w:t>
      </w:r>
      <w:r>
        <w:rPr>
          <w:lang w:eastAsia="zh-CN"/>
        </w:rPr>
        <w:t xml:space="preserve"> is used for cross BWP scheduling. </w:t>
      </w:r>
      <w:r w:rsidR="00FD0E3D">
        <w:rPr>
          <w:lang w:eastAsia="zh-CN"/>
        </w:rPr>
        <w:t xml:space="preserve">As </w:t>
      </w:r>
      <w:r w:rsidR="00516A22">
        <w:rPr>
          <w:lang w:eastAsia="zh-CN"/>
        </w:rPr>
        <w:t xml:space="preserve">the following description in the specification, </w:t>
      </w:r>
      <w:r w:rsidR="00516A22">
        <w:t>the UE is not required to receive or transmit</w:t>
      </w:r>
      <w:r w:rsidR="00516A22">
        <w:rPr>
          <w:lang w:eastAsia="zh-CN"/>
        </w:rPr>
        <w:t xml:space="preserve"> signal during BWP switching delay, SSSG timer may be expired in advance, which brings some impact </w:t>
      </w:r>
      <w:r w:rsidR="009679E2">
        <w:rPr>
          <w:lang w:eastAsia="zh-CN"/>
        </w:rPr>
        <w:t xml:space="preserve">of performance. Also, the PDCCH skipping duration will be completed in advance, the power saving gain will be reduced. Therefore, </w:t>
      </w:r>
      <w:r w:rsidR="009679E2" w:rsidRPr="00825C1F">
        <w:rPr>
          <w:lang w:eastAsia="zh-CN"/>
        </w:rPr>
        <w:t xml:space="preserve">it is preferred that PDCCH skipping duration </w:t>
      </w:r>
      <w:r w:rsidR="009679E2">
        <w:rPr>
          <w:lang w:eastAsia="zh-CN"/>
        </w:rPr>
        <w:t>or SSSG timer</w:t>
      </w:r>
      <w:r w:rsidR="009679E2" w:rsidRPr="00825C1F">
        <w:rPr>
          <w:lang w:eastAsia="zh-CN"/>
        </w:rPr>
        <w:t xml:space="preserve"> is not overlapped with BWP switching delay.</w:t>
      </w:r>
    </w:p>
    <w:tbl>
      <w:tblPr>
        <w:tblStyle w:val="ae"/>
        <w:tblW w:w="0" w:type="auto"/>
        <w:tblLook w:val="04A0" w:firstRow="1" w:lastRow="0" w:firstColumn="1" w:lastColumn="0" w:noHBand="0" w:noVBand="1"/>
      </w:tblPr>
      <w:tblGrid>
        <w:gridCol w:w="9307"/>
      </w:tblGrid>
      <w:tr w:rsidR="00FD0E3D" w14:paraId="0CC7FEBF" w14:textId="77777777" w:rsidTr="00FD0E3D">
        <w:tc>
          <w:tcPr>
            <w:tcW w:w="9307" w:type="dxa"/>
          </w:tcPr>
          <w:p w14:paraId="0CBD55D0" w14:textId="75ADC979" w:rsidR="00FD0E3D" w:rsidRPr="00FD0E3D" w:rsidRDefault="00FD0E3D" w:rsidP="00644D46">
            <w:pPr>
              <w:rPr>
                <w:b/>
                <w:u w:val="single"/>
                <w:lang w:eastAsia="zh-CN"/>
              </w:rPr>
            </w:pPr>
            <w:r w:rsidRPr="00FD0E3D">
              <w:rPr>
                <w:rFonts w:hint="eastAsia"/>
                <w:b/>
                <w:u w:val="single"/>
                <w:lang w:eastAsia="zh-CN"/>
              </w:rPr>
              <w:t>T</w:t>
            </w:r>
            <w:r w:rsidRPr="00FD0E3D">
              <w:rPr>
                <w:b/>
                <w:u w:val="single"/>
                <w:lang w:eastAsia="zh-CN"/>
              </w:rPr>
              <w:t xml:space="preserve">S38.213 </w:t>
            </w:r>
            <w:r w:rsidR="00A009CF">
              <w:rPr>
                <w:rFonts w:eastAsiaTheme="minorEastAsia"/>
                <w:b/>
                <w:u w:val="single"/>
                <w:lang w:eastAsia="zh-CN"/>
              </w:rPr>
              <w:t>v17.4.0</w:t>
            </w:r>
          </w:p>
          <w:p w14:paraId="40515F76" w14:textId="47E08E3B" w:rsidR="00FD0E3D" w:rsidRPr="00FD0E3D" w:rsidRDefault="00FD0E3D" w:rsidP="00644D46">
            <w:pPr>
              <w:rPr>
                <w:sz w:val="20"/>
                <w:szCs w:val="20"/>
              </w:rPr>
            </w:pPr>
            <w:r>
              <w:t xml:space="preserve">If a UE detects a DCI format </w:t>
            </w:r>
            <w:r>
              <w:rPr>
                <w:lang w:eastAsia="zh-TW"/>
              </w:rPr>
              <w:t xml:space="preserve">with a BWP indicator field that </w:t>
            </w:r>
            <w:r>
              <w:t>indicates an active DL BWP change for a cell, the UE is not required to receive or transmit in the cell during a time duration from the end of the third symbol of a slot where the UE receives the PDCCH that includes the DCI format in a scheduling cell until the beginning of a slot indicated by the slot offset value of the time domain resource assignment field in the DCI format.</w:t>
            </w:r>
          </w:p>
        </w:tc>
      </w:tr>
    </w:tbl>
    <w:p w14:paraId="742FCC0E" w14:textId="04F6611B" w:rsidR="00685162" w:rsidRPr="009679E2" w:rsidRDefault="009679E2" w:rsidP="00644D46">
      <w:pPr>
        <w:rPr>
          <w:b/>
          <w:i/>
          <w:lang w:eastAsia="zh-CN"/>
        </w:rPr>
      </w:pPr>
      <w:r>
        <w:rPr>
          <w:b/>
          <w:i/>
          <w:lang w:eastAsia="zh-CN"/>
        </w:rPr>
        <w:t>Observation 5</w:t>
      </w:r>
      <w:r w:rsidRPr="00974F3A">
        <w:rPr>
          <w:b/>
          <w:i/>
          <w:lang w:eastAsia="zh-CN"/>
        </w:rPr>
        <w:t>:</w:t>
      </w:r>
      <w:r w:rsidRPr="009679E2">
        <w:rPr>
          <w:b/>
          <w:i/>
          <w:lang w:eastAsia="zh-CN"/>
        </w:rPr>
        <w:t xml:space="preserve"> PDCCH skipping duration or SSSG timer will be started before the target BWP is active if the application delay is used for cross BWP scheduling, which brings some impact of performance or power saving gain.</w:t>
      </w:r>
    </w:p>
    <w:p w14:paraId="3594351E" w14:textId="3C183C84" w:rsidR="000B191A" w:rsidRDefault="00371437" w:rsidP="00624A7F">
      <w:pPr>
        <w:jc w:val="left"/>
        <w:rPr>
          <w:lang w:eastAsia="zh-CN"/>
        </w:rPr>
      </w:pPr>
      <w:r>
        <w:rPr>
          <w:lang w:eastAsia="zh-CN"/>
        </w:rPr>
        <w:t>According to</w:t>
      </w:r>
      <w:r w:rsidR="000B191A">
        <w:rPr>
          <w:lang w:eastAsia="zh-CN"/>
        </w:rPr>
        <w:t xml:space="preserve"> the discussion</w:t>
      </w:r>
      <w:r w:rsidR="00770F1B">
        <w:rPr>
          <w:lang w:eastAsia="zh-CN"/>
        </w:rPr>
        <w:t xml:space="preserve">, </w:t>
      </w:r>
      <w:r w:rsidR="000B191A">
        <w:rPr>
          <w:lang w:eastAsia="zh-CN"/>
        </w:rPr>
        <w:t xml:space="preserve">in case of a DCI indicating BWP switching and PDCCH monitoring adaptation simultaneously, </w:t>
      </w:r>
      <w:r w:rsidR="00E9553E">
        <w:rPr>
          <w:lang w:eastAsia="zh-CN"/>
        </w:rPr>
        <w:t xml:space="preserve">we propose that </w:t>
      </w:r>
      <w:r w:rsidR="00E9553E">
        <w:t xml:space="preserve">the UE applies the indicated PDCCH monitoring adaptation after </w:t>
      </w:r>
      <w:r w:rsidR="00E46E22">
        <w:t>the target BWP is active.</w:t>
      </w:r>
      <w:r>
        <w:t xml:space="preserve"> Based on Proposal 1 and Proposal 2, </w:t>
      </w:r>
      <w:r w:rsidR="006541F8">
        <w:t>we provide a CR in [3].</w:t>
      </w:r>
    </w:p>
    <w:p w14:paraId="6869EDAF" w14:textId="4A997D36" w:rsidR="00E9553E" w:rsidRPr="00C85909" w:rsidRDefault="00E9553E" w:rsidP="00E9553E">
      <w:pPr>
        <w:rPr>
          <w:lang w:eastAsia="zh-CN" w:bidi="ar"/>
        </w:rPr>
      </w:pPr>
      <w:r>
        <w:rPr>
          <w:b/>
          <w:i/>
          <w:lang w:eastAsia="zh-CN"/>
        </w:rPr>
        <w:t>Proposal</w:t>
      </w:r>
      <w:r w:rsidR="00E46E22">
        <w:rPr>
          <w:b/>
          <w:i/>
          <w:lang w:eastAsia="zh-CN"/>
        </w:rPr>
        <w:t xml:space="preserve"> 2</w:t>
      </w:r>
      <w:r w:rsidRPr="00825C1F">
        <w:rPr>
          <w:b/>
          <w:i/>
          <w:lang w:eastAsia="zh-CN"/>
        </w:rPr>
        <w:t>:</w:t>
      </w:r>
      <w:r>
        <w:rPr>
          <w:b/>
          <w:i/>
          <w:lang w:eastAsia="zh-CN"/>
        </w:rPr>
        <w:t xml:space="preserve"> In case of </w:t>
      </w:r>
      <w:r w:rsidRPr="00BC5CDD">
        <w:rPr>
          <w:b/>
          <w:i/>
          <w:lang w:eastAsia="zh-CN"/>
        </w:rPr>
        <w:t>a DCI indicating BWP switching and PDCCH monitoring adaptation simultaneously,</w:t>
      </w:r>
      <w:r w:rsidR="00E46E22" w:rsidRPr="00E46E22">
        <w:rPr>
          <w:b/>
          <w:i/>
          <w:lang w:eastAsia="zh-CN"/>
        </w:rPr>
        <w:t xml:space="preserve"> </w:t>
      </w:r>
      <w:r w:rsidR="00E46E22" w:rsidRPr="00E46E22">
        <w:rPr>
          <w:b/>
          <w:i/>
        </w:rPr>
        <w:t>the UE applies the indicated PDCCH monitoring adaptation after the target BWP is active</w:t>
      </w:r>
      <w:r w:rsidRPr="00BC5CDD">
        <w:rPr>
          <w:b/>
          <w:i/>
          <w:lang w:eastAsia="zh-CN"/>
        </w:rPr>
        <w:t>.</w:t>
      </w:r>
    </w:p>
    <w:p w14:paraId="517AA071" w14:textId="77777777" w:rsidR="00E9553E" w:rsidRPr="00E9553E" w:rsidRDefault="00E9553E" w:rsidP="00624A7F">
      <w:pPr>
        <w:jc w:val="left"/>
        <w:rPr>
          <w:lang w:eastAsia="zh-CN"/>
        </w:rPr>
      </w:pPr>
    </w:p>
    <w:p w14:paraId="587EFDCC" w14:textId="72B6B1A5" w:rsidR="00157FC3" w:rsidRPr="00B644EA" w:rsidRDefault="00747F48" w:rsidP="00507471">
      <w:pPr>
        <w:pStyle w:val="1"/>
        <w:rPr>
          <w:lang w:eastAsia="ja-JP"/>
        </w:rPr>
      </w:pPr>
      <w:r w:rsidRPr="00B644EA">
        <w:rPr>
          <w:lang w:eastAsia="ja-JP"/>
        </w:rPr>
        <w:lastRenderedPageBreak/>
        <w:t>Conclusion</w:t>
      </w:r>
    </w:p>
    <w:p w14:paraId="1E8E407F" w14:textId="140E04D9" w:rsidR="00375448" w:rsidRDefault="001A22A3" w:rsidP="002114D5">
      <w:pPr>
        <w:rPr>
          <w:lang w:eastAsia="zh-CN"/>
        </w:rPr>
      </w:pPr>
      <w:r w:rsidRPr="00825C1F">
        <w:rPr>
          <w:lang w:eastAsia="zh-CN"/>
        </w:rPr>
        <w:t>In this contribution,</w:t>
      </w:r>
      <w:r w:rsidR="006541F8">
        <w:rPr>
          <w:lang w:eastAsia="zh-CN"/>
        </w:rPr>
        <w:t xml:space="preserve"> the issues on active BWP change is triggered by the same DCI that also indicates PDCCH monitoring adaptation are discussed</w:t>
      </w:r>
      <w:r w:rsidRPr="00825C1F">
        <w:rPr>
          <w:lang w:eastAsia="zh-CN"/>
        </w:rPr>
        <w:t xml:space="preserve">. Based on the </w:t>
      </w:r>
      <w:r w:rsidRPr="00477C2C">
        <w:rPr>
          <w:lang w:eastAsia="zh-CN"/>
        </w:rPr>
        <w:t>discussion, we have the follow</w:t>
      </w:r>
      <w:r w:rsidR="008A694F">
        <w:rPr>
          <w:lang w:eastAsia="zh-CN"/>
        </w:rPr>
        <w:t>ing observation</w:t>
      </w:r>
      <w:r w:rsidR="00823DD4">
        <w:rPr>
          <w:lang w:eastAsia="zh-CN"/>
        </w:rPr>
        <w:t>s</w:t>
      </w:r>
      <w:r w:rsidR="008A694F">
        <w:rPr>
          <w:lang w:eastAsia="zh-CN"/>
        </w:rPr>
        <w:t xml:space="preserve"> and proposal</w:t>
      </w:r>
      <w:r w:rsidR="00823DD4">
        <w:rPr>
          <w:lang w:eastAsia="zh-CN"/>
        </w:rPr>
        <w:t>s</w:t>
      </w:r>
      <w:r w:rsidRPr="00477C2C">
        <w:rPr>
          <w:lang w:eastAsia="zh-CN"/>
        </w:rPr>
        <w:t>.</w:t>
      </w:r>
    </w:p>
    <w:p w14:paraId="44FC022C" w14:textId="77777777" w:rsidR="00823DD4" w:rsidRPr="00632E74" w:rsidRDefault="00823DD4" w:rsidP="00823DD4">
      <w:pPr>
        <w:rPr>
          <w:rFonts w:eastAsiaTheme="minorEastAsia"/>
          <w:b/>
          <w:i/>
          <w:lang w:eastAsia="zh-CN"/>
        </w:rPr>
      </w:pPr>
      <w:r w:rsidRPr="00632E74">
        <w:rPr>
          <w:rFonts w:eastAsiaTheme="minorEastAsia" w:hint="eastAsia"/>
          <w:b/>
          <w:i/>
          <w:lang w:eastAsia="zh-CN"/>
        </w:rPr>
        <w:t>O</w:t>
      </w:r>
      <w:r w:rsidRPr="00632E74">
        <w:rPr>
          <w:rFonts w:eastAsiaTheme="minorEastAsia"/>
          <w:b/>
          <w:i/>
          <w:lang w:eastAsia="zh-CN"/>
        </w:rPr>
        <w:t xml:space="preserve">bservation 1: </w:t>
      </w:r>
      <w:r w:rsidRPr="00632E74">
        <w:rPr>
          <w:b/>
          <w:i/>
          <w:lang w:eastAsia="zh-CN"/>
        </w:rPr>
        <w:t xml:space="preserve">Direction 2 does not </w:t>
      </w:r>
      <w:r>
        <w:rPr>
          <w:b/>
          <w:i/>
          <w:lang w:eastAsia="zh-CN"/>
        </w:rPr>
        <w:t xml:space="preserve">match the </w:t>
      </w:r>
      <w:r w:rsidRPr="00632E74">
        <w:rPr>
          <w:b/>
          <w:i/>
          <w:lang w:eastAsia="zh-CN"/>
        </w:rPr>
        <w:t>principle</w:t>
      </w:r>
      <w:r>
        <w:rPr>
          <w:b/>
          <w:i/>
          <w:lang w:eastAsia="zh-CN"/>
        </w:rPr>
        <w:t xml:space="preserve"> of DCI based BWP switching in current specification</w:t>
      </w:r>
      <w:r w:rsidRPr="00632E74">
        <w:rPr>
          <w:b/>
          <w:i/>
          <w:lang w:eastAsia="zh-CN"/>
        </w:rPr>
        <w:t>.</w:t>
      </w:r>
    </w:p>
    <w:p w14:paraId="0B921087" w14:textId="77777777" w:rsidR="00282D8E" w:rsidRDefault="00282D8E" w:rsidP="00282D8E">
      <w:pPr>
        <w:rPr>
          <w:lang w:eastAsia="zh-CN" w:bidi="ar"/>
        </w:rPr>
      </w:pPr>
      <w:r>
        <w:rPr>
          <w:b/>
          <w:i/>
          <w:lang w:eastAsia="zh-CN"/>
        </w:rPr>
        <w:t>Observation 2</w:t>
      </w:r>
      <w:r w:rsidRPr="00974F3A">
        <w:rPr>
          <w:b/>
          <w:i/>
          <w:lang w:eastAsia="zh-CN"/>
        </w:rPr>
        <w:t>:</w:t>
      </w:r>
      <w:r>
        <w:rPr>
          <w:b/>
          <w:i/>
          <w:lang w:eastAsia="zh-CN"/>
        </w:rPr>
        <w:t xml:space="preserve"> </w:t>
      </w:r>
      <w:r w:rsidRPr="00C85909">
        <w:rPr>
          <w:b/>
          <w:i/>
        </w:rPr>
        <w:t>By Direction 2, gNB will loss the flexibility without any benefit.</w:t>
      </w:r>
    </w:p>
    <w:p w14:paraId="4EFA3FC1" w14:textId="77777777" w:rsidR="00823DD4" w:rsidRPr="0058581D" w:rsidRDefault="00823DD4" w:rsidP="00823DD4">
      <w:pPr>
        <w:rPr>
          <w:lang w:eastAsia="zh-CN"/>
        </w:rPr>
      </w:pPr>
      <w:r>
        <w:rPr>
          <w:b/>
          <w:i/>
          <w:lang w:eastAsia="zh-CN"/>
        </w:rPr>
        <w:t>Observation 3</w:t>
      </w:r>
      <w:r w:rsidRPr="00974F3A">
        <w:rPr>
          <w:b/>
          <w:i/>
          <w:lang w:eastAsia="zh-CN"/>
        </w:rPr>
        <w:t>:</w:t>
      </w:r>
      <w:r w:rsidRPr="0058581D">
        <w:rPr>
          <w:b/>
          <w:i/>
          <w:lang w:eastAsia="zh-CN"/>
        </w:rPr>
        <w:t xml:space="preserve"> Direction 2 has more specification impact than Direction 1.</w:t>
      </w:r>
    </w:p>
    <w:p w14:paraId="14C9C0D7" w14:textId="77777777" w:rsidR="00823DD4" w:rsidRPr="0058581D" w:rsidRDefault="00823DD4" w:rsidP="00823DD4">
      <w:pPr>
        <w:rPr>
          <w:lang w:eastAsia="zh-CN"/>
        </w:rPr>
      </w:pPr>
      <w:r>
        <w:rPr>
          <w:b/>
          <w:i/>
          <w:lang w:eastAsia="zh-CN"/>
        </w:rPr>
        <w:t>Observation 4</w:t>
      </w:r>
      <w:r w:rsidRPr="00974F3A">
        <w:rPr>
          <w:b/>
          <w:i/>
          <w:lang w:eastAsia="zh-CN"/>
        </w:rPr>
        <w:t>:</w:t>
      </w:r>
      <w:r>
        <w:rPr>
          <w:b/>
          <w:i/>
          <w:lang w:eastAsia="zh-CN"/>
        </w:rPr>
        <w:t xml:space="preserve"> In case of cross BWP scheduling with different SCS, the application delay in current specification is not clear</w:t>
      </w:r>
      <w:r w:rsidRPr="0058581D">
        <w:rPr>
          <w:b/>
          <w:i/>
          <w:lang w:eastAsia="zh-CN"/>
        </w:rPr>
        <w:t>.</w:t>
      </w:r>
    </w:p>
    <w:p w14:paraId="51B41D9E" w14:textId="79CCF339" w:rsidR="00282D8E" w:rsidRPr="00282D8E" w:rsidRDefault="00823DD4" w:rsidP="00823DD4">
      <w:pPr>
        <w:rPr>
          <w:b/>
          <w:i/>
          <w:lang w:eastAsia="zh-CN"/>
        </w:rPr>
      </w:pPr>
      <w:r>
        <w:rPr>
          <w:b/>
          <w:i/>
          <w:lang w:eastAsia="zh-CN"/>
        </w:rPr>
        <w:t>Observation 5</w:t>
      </w:r>
      <w:r w:rsidRPr="00974F3A">
        <w:rPr>
          <w:b/>
          <w:i/>
          <w:lang w:eastAsia="zh-CN"/>
        </w:rPr>
        <w:t>:</w:t>
      </w:r>
      <w:r w:rsidRPr="009679E2">
        <w:rPr>
          <w:b/>
          <w:i/>
          <w:lang w:eastAsia="zh-CN"/>
        </w:rPr>
        <w:t xml:space="preserve"> PDCCH skipping duration or SSSG timer will be started before the target BWP is active if the application delay is used for cross BWP scheduling, which brings some impact of performance or power saving gain.</w:t>
      </w:r>
    </w:p>
    <w:p w14:paraId="3DF276CB" w14:textId="77777777" w:rsidR="00823DD4" w:rsidRPr="00C85909" w:rsidRDefault="00823DD4" w:rsidP="00823DD4">
      <w:pPr>
        <w:rPr>
          <w:lang w:eastAsia="zh-CN" w:bidi="ar"/>
        </w:rPr>
      </w:pPr>
      <w:r>
        <w:rPr>
          <w:b/>
          <w:i/>
          <w:lang w:eastAsia="zh-CN"/>
        </w:rPr>
        <w:t>Proposal 1</w:t>
      </w:r>
      <w:r w:rsidRPr="00825C1F">
        <w:rPr>
          <w:b/>
          <w:i/>
          <w:lang w:eastAsia="zh-CN"/>
        </w:rPr>
        <w:t>:</w:t>
      </w:r>
      <w:r>
        <w:rPr>
          <w:b/>
          <w:i/>
          <w:lang w:eastAsia="zh-CN"/>
        </w:rPr>
        <w:t xml:space="preserve"> In case of </w:t>
      </w:r>
      <w:r w:rsidRPr="00BC5CDD">
        <w:rPr>
          <w:b/>
          <w:i/>
          <w:lang w:eastAsia="zh-CN"/>
        </w:rPr>
        <w:t xml:space="preserve">a DCI indicating BWP switching and PDCCH monitoring adaptation simultaneously, the same principle </w:t>
      </w:r>
      <w:r>
        <w:rPr>
          <w:b/>
          <w:i/>
          <w:lang w:eastAsia="zh-CN"/>
        </w:rPr>
        <w:t xml:space="preserve">of DCI based BWP switching in the current specification </w:t>
      </w:r>
      <w:r w:rsidRPr="00BC5CDD">
        <w:rPr>
          <w:b/>
          <w:i/>
          <w:lang w:eastAsia="zh-CN"/>
        </w:rPr>
        <w:t>should be applied, i.e., the indicated PDCCH monitoring adaptation is interpreted based on the target BWP configuration.</w:t>
      </w:r>
    </w:p>
    <w:p w14:paraId="5B6B2579" w14:textId="77777777" w:rsidR="00823DD4" w:rsidRPr="00C85909" w:rsidRDefault="00823DD4" w:rsidP="00823DD4">
      <w:pPr>
        <w:rPr>
          <w:lang w:eastAsia="zh-CN" w:bidi="ar"/>
        </w:rPr>
      </w:pPr>
      <w:r>
        <w:rPr>
          <w:b/>
          <w:i/>
          <w:lang w:eastAsia="zh-CN"/>
        </w:rPr>
        <w:t>Proposal 2</w:t>
      </w:r>
      <w:r w:rsidRPr="00825C1F">
        <w:rPr>
          <w:b/>
          <w:i/>
          <w:lang w:eastAsia="zh-CN"/>
        </w:rPr>
        <w:t>:</w:t>
      </w:r>
      <w:r>
        <w:rPr>
          <w:b/>
          <w:i/>
          <w:lang w:eastAsia="zh-CN"/>
        </w:rPr>
        <w:t xml:space="preserve"> In case of </w:t>
      </w:r>
      <w:r w:rsidRPr="00BC5CDD">
        <w:rPr>
          <w:b/>
          <w:i/>
          <w:lang w:eastAsia="zh-CN"/>
        </w:rPr>
        <w:t>a DCI indicating BWP switching and PDCCH monitoring adaptation simultaneously,</w:t>
      </w:r>
      <w:r w:rsidRPr="00E46E22">
        <w:rPr>
          <w:b/>
          <w:i/>
          <w:lang w:eastAsia="zh-CN"/>
        </w:rPr>
        <w:t xml:space="preserve"> </w:t>
      </w:r>
      <w:r w:rsidRPr="00E46E22">
        <w:rPr>
          <w:b/>
          <w:i/>
        </w:rPr>
        <w:t>the UE applies the indicated PDCCH monitoring adaptation after the target BWP is active</w:t>
      </w:r>
      <w:r w:rsidRPr="00BC5CDD">
        <w:rPr>
          <w:b/>
          <w:i/>
          <w:lang w:eastAsia="zh-CN"/>
        </w:rPr>
        <w:t>.</w:t>
      </w:r>
    </w:p>
    <w:p w14:paraId="70276F7C" w14:textId="77777777" w:rsidR="00823DD4" w:rsidRPr="00823DD4" w:rsidRDefault="00823DD4" w:rsidP="002114D5">
      <w:pPr>
        <w:rPr>
          <w:lang w:eastAsia="zh-CN"/>
        </w:rPr>
      </w:pPr>
    </w:p>
    <w:p w14:paraId="4FB2C42C" w14:textId="77777777" w:rsidR="001D780E" w:rsidRPr="00B644EA" w:rsidRDefault="001D780E" w:rsidP="00AC7A27">
      <w:pPr>
        <w:pStyle w:val="1"/>
        <w:numPr>
          <w:ilvl w:val="0"/>
          <w:numId w:val="0"/>
        </w:numPr>
        <w:spacing w:before="240"/>
        <w:ind w:left="431" w:hanging="431"/>
      </w:pPr>
      <w:bookmarkStart w:id="26" w:name="_Ref124589665"/>
      <w:bookmarkStart w:id="27" w:name="_Ref71620620"/>
      <w:bookmarkStart w:id="28" w:name="_Ref124671424"/>
      <w:r w:rsidRPr="00B644EA">
        <w:t>References</w:t>
      </w:r>
    </w:p>
    <w:p w14:paraId="63BB8C8F" w14:textId="7FF20C4F" w:rsidR="00A77C46" w:rsidRDefault="00A77C46" w:rsidP="00A77C46">
      <w:pPr>
        <w:pStyle w:val="References"/>
        <w:rPr>
          <w:rFonts w:cs="Arial"/>
          <w:sz w:val="22"/>
          <w:szCs w:val="22"/>
        </w:rPr>
      </w:pPr>
      <w:bookmarkStart w:id="29" w:name="_Ref125815992"/>
      <w:bookmarkStart w:id="30" w:name="_Ref100586571"/>
      <w:bookmarkStart w:id="31" w:name="_Ref91230520"/>
      <w:bookmarkEnd w:id="5"/>
      <w:bookmarkEnd w:id="26"/>
      <w:bookmarkEnd w:id="27"/>
      <w:bookmarkEnd w:id="28"/>
      <w:r w:rsidRPr="00A77C46">
        <w:rPr>
          <w:rFonts w:cs="Arial"/>
          <w:sz w:val="22"/>
          <w:szCs w:val="22"/>
        </w:rPr>
        <w:t>R1-2213002, Summary#2 for maintenance</w:t>
      </w:r>
      <w:r>
        <w:rPr>
          <w:rFonts w:cs="Arial"/>
          <w:sz w:val="22"/>
          <w:szCs w:val="22"/>
        </w:rPr>
        <w:t xml:space="preserve"> on UE power saving </w:t>
      </w:r>
      <w:r w:rsidRPr="00A77C46">
        <w:rPr>
          <w:rFonts w:cs="Arial"/>
          <w:sz w:val="22"/>
          <w:szCs w:val="22"/>
        </w:rPr>
        <w:t>enhancements</w:t>
      </w:r>
      <w:r>
        <w:rPr>
          <w:rFonts w:cs="Arial"/>
          <w:sz w:val="22"/>
          <w:szCs w:val="22"/>
        </w:rPr>
        <w:t>, RAN1#111 meeting</w:t>
      </w:r>
      <w:bookmarkEnd w:id="29"/>
    </w:p>
    <w:p w14:paraId="270AF5D8" w14:textId="5493932C" w:rsidR="00F86A23" w:rsidRDefault="00F86A23" w:rsidP="00A77C46">
      <w:pPr>
        <w:pStyle w:val="References"/>
        <w:rPr>
          <w:rFonts w:cs="Arial"/>
          <w:sz w:val="22"/>
          <w:szCs w:val="22"/>
        </w:rPr>
      </w:pPr>
      <w:bookmarkStart w:id="32" w:name="_Ref125882866"/>
      <w:r>
        <w:rPr>
          <w:rFonts w:cs="Arial"/>
          <w:sz w:val="22"/>
          <w:szCs w:val="22"/>
        </w:rPr>
        <w:t>3GPP TS 38.213</w:t>
      </w:r>
      <w:bookmarkEnd w:id="32"/>
    </w:p>
    <w:p w14:paraId="0D4F0B99" w14:textId="38A72CAE" w:rsidR="00371437" w:rsidRPr="00A77C46" w:rsidRDefault="00CD03CC" w:rsidP="00371437">
      <w:pPr>
        <w:pStyle w:val="References"/>
        <w:rPr>
          <w:rFonts w:cs="Arial"/>
          <w:sz w:val="22"/>
          <w:szCs w:val="22"/>
        </w:rPr>
      </w:pPr>
      <w:bookmarkStart w:id="33" w:name="_Ref126050740"/>
      <w:r w:rsidRPr="00CD03CC">
        <w:rPr>
          <w:rFonts w:cs="Arial"/>
          <w:sz w:val="22"/>
          <w:szCs w:val="22"/>
        </w:rPr>
        <w:t>R1-2301748</w:t>
      </w:r>
      <w:r w:rsidR="00371437" w:rsidRPr="00CD03CC">
        <w:rPr>
          <w:rFonts w:cs="Arial"/>
          <w:sz w:val="22"/>
          <w:szCs w:val="22"/>
        </w:rPr>
        <w:t>, Correction on PDCCH monitoring adaptation and BWP switching, RAN1#112 meeting</w:t>
      </w:r>
      <w:bookmarkEnd w:id="33"/>
    </w:p>
    <w:bookmarkEnd w:id="30"/>
    <w:bookmarkEnd w:id="31"/>
    <w:bookmarkEnd w:id="0"/>
    <w:p w14:paraId="11573295" w14:textId="6B4F4C16" w:rsidR="00005877" w:rsidRPr="00B644EA" w:rsidRDefault="00005877" w:rsidP="000A226A">
      <w:pPr>
        <w:pStyle w:val="References"/>
        <w:numPr>
          <w:ilvl w:val="0"/>
          <w:numId w:val="0"/>
        </w:numPr>
        <w:rPr>
          <w:highlight w:val="yellow"/>
        </w:rPr>
      </w:pPr>
    </w:p>
    <w:sectPr w:rsidR="00005877" w:rsidRPr="00B644EA" w:rsidSect="00AB6F27">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F29C4" w16cex:dateUtc="2022-04-11T14:27:00Z"/>
  <w16cex:commentExtensible w16cex:durableId="25FF3E0C" w16cex:dateUtc="2022-04-11T15: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74764" w14:textId="77777777" w:rsidR="001B21AA" w:rsidRDefault="001B21AA">
      <w:r>
        <w:separator/>
      </w:r>
    </w:p>
  </w:endnote>
  <w:endnote w:type="continuationSeparator" w:id="0">
    <w:p w14:paraId="4B891C8B" w14:textId="77777777" w:rsidR="001B21AA" w:rsidRDefault="001B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0FDD1" w14:textId="77777777" w:rsidR="001B21AA" w:rsidRDefault="001B21AA">
      <w:r>
        <w:separator/>
      </w:r>
    </w:p>
  </w:footnote>
  <w:footnote w:type="continuationSeparator" w:id="0">
    <w:p w14:paraId="18018560" w14:textId="77777777" w:rsidR="001B21AA" w:rsidRDefault="001B2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860F1F"/>
    <w:multiLevelType w:val="multilevel"/>
    <w:tmpl w:val="10860F1F"/>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 w15:restartNumberingAfterBreak="0">
    <w:nsid w:val="10AD7F91"/>
    <w:multiLevelType w:val="multilevel"/>
    <w:tmpl w:val="10AD7F91"/>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BC44EF"/>
    <w:multiLevelType w:val="hybridMultilevel"/>
    <w:tmpl w:val="96C0E5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11155A"/>
    <w:multiLevelType w:val="hybridMultilevel"/>
    <w:tmpl w:val="810AE4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635647"/>
    <w:multiLevelType w:val="hybridMultilevel"/>
    <w:tmpl w:val="A4B41200"/>
    <w:lvl w:ilvl="0" w:tplc="A710C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0A2E66"/>
    <w:multiLevelType w:val="multilevel"/>
    <w:tmpl w:val="2C0A2E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A70BAB"/>
    <w:multiLevelType w:val="hybridMultilevel"/>
    <w:tmpl w:val="B046E86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A47AA0"/>
    <w:multiLevelType w:val="hybridMultilevel"/>
    <w:tmpl w:val="954AD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624CBF"/>
    <w:multiLevelType w:val="multilevel"/>
    <w:tmpl w:val="4A624CBF"/>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19"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58608F"/>
    <w:multiLevelType w:val="multilevel"/>
    <w:tmpl w:val="28CA24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E42F10"/>
    <w:multiLevelType w:val="hybridMultilevel"/>
    <w:tmpl w:val="E1A63D68"/>
    <w:lvl w:ilvl="0" w:tplc="8E420970">
      <w:numFmt w:val="bullet"/>
      <w:lvlText w:val=""/>
      <w:lvlJc w:val="left"/>
      <w:pPr>
        <w:ind w:left="420" w:hanging="420"/>
      </w:pPr>
      <w:rPr>
        <w:rFonts w:ascii="Symbol" w:eastAsia="Batang" w:hAnsi="Symbol"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9E60BE"/>
    <w:multiLevelType w:val="hybridMultilevel"/>
    <w:tmpl w:val="6416F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0F05EB"/>
    <w:multiLevelType w:val="hybridMultilevel"/>
    <w:tmpl w:val="525C1F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FE66E4"/>
    <w:multiLevelType w:val="hybridMultilevel"/>
    <w:tmpl w:val="D75220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28"/>
  </w:num>
  <w:num w:numId="4">
    <w:abstractNumId w:val="25"/>
  </w:num>
  <w:num w:numId="5">
    <w:abstractNumId w:val="29"/>
  </w:num>
  <w:num w:numId="6">
    <w:abstractNumId w:val="20"/>
  </w:num>
  <w:num w:numId="7">
    <w:abstractNumId w:val="8"/>
  </w:num>
  <w:num w:numId="8">
    <w:abstractNumId w:val="0"/>
  </w:num>
  <w:num w:numId="9">
    <w:abstractNumId w:val="22"/>
  </w:num>
  <w:num w:numId="10">
    <w:abstractNumId w:val="24"/>
  </w:num>
  <w:num w:numId="11">
    <w:abstractNumId w:val="31"/>
  </w:num>
  <w:num w:numId="12">
    <w:abstractNumId w:val="12"/>
  </w:num>
  <w:num w:numId="13">
    <w:abstractNumId w:val="18"/>
  </w:num>
  <w:num w:numId="14">
    <w:abstractNumId w:val="21"/>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5"/>
  </w:num>
  <w:num w:numId="23">
    <w:abstractNumId w:val="15"/>
  </w:num>
  <w:num w:numId="24">
    <w:abstractNumId w:val="30"/>
  </w:num>
  <w:num w:numId="25">
    <w:abstractNumId w:val="19"/>
  </w:num>
  <w:num w:numId="26">
    <w:abstractNumId w:val="4"/>
  </w:num>
  <w:num w:numId="27">
    <w:abstractNumId w:val="11"/>
  </w:num>
  <w:num w:numId="28">
    <w:abstractNumId w:val="3"/>
  </w:num>
  <w:num w:numId="29">
    <w:abstractNumId w:val="16"/>
  </w:num>
  <w:num w:numId="30">
    <w:abstractNumId w:val="27"/>
  </w:num>
  <w:num w:numId="31">
    <w:abstractNumId w:val="2"/>
  </w:num>
  <w:num w:numId="32">
    <w:abstractNumId w:val="26"/>
  </w:num>
  <w:num w:numId="33">
    <w:abstractNumId w:val="6"/>
  </w:num>
  <w:num w:numId="34">
    <w:abstractNumId w:val="11"/>
  </w:num>
  <w:num w:numId="35">
    <w:abstractNumId w:val="11"/>
  </w:num>
  <w:num w:numId="36">
    <w:abstractNumId w:val="11"/>
  </w:num>
  <w:num w:numId="37">
    <w:abstractNumId w:val="7"/>
  </w:num>
  <w:num w:numId="38">
    <w:abstractNumId w:val="17"/>
  </w:num>
  <w:num w:numId="39">
    <w:abstractNumId w:val="13"/>
  </w:num>
  <w:num w:numId="40">
    <w:abstractNumId w:val="1"/>
  </w:num>
  <w:num w:numId="41">
    <w:abstractNumId w:val="10"/>
  </w:num>
  <w:num w:numId="42">
    <w:abstractNumId w:val="23"/>
  </w:num>
  <w:num w:numId="4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28C"/>
    <w:rsid w:val="00001805"/>
    <w:rsid w:val="00001F27"/>
    <w:rsid w:val="0000201A"/>
    <w:rsid w:val="00002036"/>
    <w:rsid w:val="000020F6"/>
    <w:rsid w:val="00002893"/>
    <w:rsid w:val="000033A3"/>
    <w:rsid w:val="00003605"/>
    <w:rsid w:val="00003859"/>
    <w:rsid w:val="00003923"/>
    <w:rsid w:val="00003C56"/>
    <w:rsid w:val="00003EC2"/>
    <w:rsid w:val="000040A9"/>
    <w:rsid w:val="0000458E"/>
    <w:rsid w:val="00004B75"/>
    <w:rsid w:val="00004E4A"/>
    <w:rsid w:val="00004E70"/>
    <w:rsid w:val="00005877"/>
    <w:rsid w:val="00005B3E"/>
    <w:rsid w:val="000068D0"/>
    <w:rsid w:val="000072B6"/>
    <w:rsid w:val="00007813"/>
    <w:rsid w:val="00007872"/>
    <w:rsid w:val="0001070A"/>
    <w:rsid w:val="00010869"/>
    <w:rsid w:val="000109E6"/>
    <w:rsid w:val="00011056"/>
    <w:rsid w:val="00011532"/>
    <w:rsid w:val="00011F67"/>
    <w:rsid w:val="000127AD"/>
    <w:rsid w:val="000127FC"/>
    <w:rsid w:val="00012862"/>
    <w:rsid w:val="000128E6"/>
    <w:rsid w:val="00012B30"/>
    <w:rsid w:val="00012E3C"/>
    <w:rsid w:val="00013072"/>
    <w:rsid w:val="00013E31"/>
    <w:rsid w:val="0001402D"/>
    <w:rsid w:val="000140ED"/>
    <w:rsid w:val="0001429D"/>
    <w:rsid w:val="00014E23"/>
    <w:rsid w:val="0001501A"/>
    <w:rsid w:val="00015174"/>
    <w:rsid w:val="00015731"/>
    <w:rsid w:val="00015831"/>
    <w:rsid w:val="00015BBC"/>
    <w:rsid w:val="00015EFB"/>
    <w:rsid w:val="000161CC"/>
    <w:rsid w:val="0001628F"/>
    <w:rsid w:val="000165E2"/>
    <w:rsid w:val="00017148"/>
    <w:rsid w:val="000172BE"/>
    <w:rsid w:val="00017317"/>
    <w:rsid w:val="00017D18"/>
    <w:rsid w:val="00017D8A"/>
    <w:rsid w:val="000206F0"/>
    <w:rsid w:val="0002081E"/>
    <w:rsid w:val="00020971"/>
    <w:rsid w:val="000214B4"/>
    <w:rsid w:val="00021962"/>
    <w:rsid w:val="00022FDB"/>
    <w:rsid w:val="0002308D"/>
    <w:rsid w:val="00023174"/>
    <w:rsid w:val="00023388"/>
    <w:rsid w:val="00023425"/>
    <w:rsid w:val="000239D2"/>
    <w:rsid w:val="00023D89"/>
    <w:rsid w:val="000241BE"/>
    <w:rsid w:val="000242F2"/>
    <w:rsid w:val="000247ED"/>
    <w:rsid w:val="00024BB9"/>
    <w:rsid w:val="000257EC"/>
    <w:rsid w:val="00025D31"/>
    <w:rsid w:val="000261C1"/>
    <w:rsid w:val="0002695F"/>
    <w:rsid w:val="000269C2"/>
    <w:rsid w:val="00026D4B"/>
    <w:rsid w:val="000275C6"/>
    <w:rsid w:val="00027AD6"/>
    <w:rsid w:val="00027B34"/>
    <w:rsid w:val="00027EFD"/>
    <w:rsid w:val="0003024C"/>
    <w:rsid w:val="00030536"/>
    <w:rsid w:val="00031ADB"/>
    <w:rsid w:val="00031F60"/>
    <w:rsid w:val="0003200E"/>
    <w:rsid w:val="00032056"/>
    <w:rsid w:val="000323A4"/>
    <w:rsid w:val="00032896"/>
    <w:rsid w:val="000328CA"/>
    <w:rsid w:val="00032E0A"/>
    <w:rsid w:val="00032E40"/>
    <w:rsid w:val="0003376B"/>
    <w:rsid w:val="0003392E"/>
    <w:rsid w:val="000339AC"/>
    <w:rsid w:val="00034676"/>
    <w:rsid w:val="000346E6"/>
    <w:rsid w:val="00034E6A"/>
    <w:rsid w:val="000350B9"/>
    <w:rsid w:val="000352B3"/>
    <w:rsid w:val="00035837"/>
    <w:rsid w:val="00035919"/>
    <w:rsid w:val="00035B2F"/>
    <w:rsid w:val="00035D9A"/>
    <w:rsid w:val="000365C3"/>
    <w:rsid w:val="00036D98"/>
    <w:rsid w:val="00036DC9"/>
    <w:rsid w:val="000370F7"/>
    <w:rsid w:val="0003766F"/>
    <w:rsid w:val="00037675"/>
    <w:rsid w:val="0004023E"/>
    <w:rsid w:val="0004024B"/>
    <w:rsid w:val="00040357"/>
    <w:rsid w:val="00040903"/>
    <w:rsid w:val="000413F3"/>
    <w:rsid w:val="00041C57"/>
    <w:rsid w:val="000423A2"/>
    <w:rsid w:val="00042DAD"/>
    <w:rsid w:val="00043127"/>
    <w:rsid w:val="0004312F"/>
    <w:rsid w:val="00043465"/>
    <w:rsid w:val="000434B7"/>
    <w:rsid w:val="000435E4"/>
    <w:rsid w:val="00043B9E"/>
    <w:rsid w:val="000455BE"/>
    <w:rsid w:val="00045851"/>
    <w:rsid w:val="00045897"/>
    <w:rsid w:val="00045CDE"/>
    <w:rsid w:val="00045ED4"/>
    <w:rsid w:val="00046796"/>
    <w:rsid w:val="000467FD"/>
    <w:rsid w:val="0004687E"/>
    <w:rsid w:val="00046AAF"/>
    <w:rsid w:val="00046FF7"/>
    <w:rsid w:val="000471D0"/>
    <w:rsid w:val="00047225"/>
    <w:rsid w:val="00047E60"/>
    <w:rsid w:val="0005017D"/>
    <w:rsid w:val="0005052B"/>
    <w:rsid w:val="00050B2A"/>
    <w:rsid w:val="00050C61"/>
    <w:rsid w:val="00050CA2"/>
    <w:rsid w:val="000514A8"/>
    <w:rsid w:val="00051B56"/>
    <w:rsid w:val="00052308"/>
    <w:rsid w:val="0005273D"/>
    <w:rsid w:val="00052AD2"/>
    <w:rsid w:val="000530DF"/>
    <w:rsid w:val="00054484"/>
    <w:rsid w:val="000546B0"/>
    <w:rsid w:val="000547BE"/>
    <w:rsid w:val="0005487A"/>
    <w:rsid w:val="00054C61"/>
    <w:rsid w:val="00054E0C"/>
    <w:rsid w:val="0005510C"/>
    <w:rsid w:val="0005537E"/>
    <w:rsid w:val="0005541D"/>
    <w:rsid w:val="0005573D"/>
    <w:rsid w:val="00055D02"/>
    <w:rsid w:val="00055F63"/>
    <w:rsid w:val="000564E0"/>
    <w:rsid w:val="000565C8"/>
    <w:rsid w:val="00056D86"/>
    <w:rsid w:val="000573C6"/>
    <w:rsid w:val="00057DC8"/>
    <w:rsid w:val="00060363"/>
    <w:rsid w:val="00060D5D"/>
    <w:rsid w:val="00060FD7"/>
    <w:rsid w:val="0006110F"/>
    <w:rsid w:val="000612E1"/>
    <w:rsid w:val="000614FE"/>
    <w:rsid w:val="00062219"/>
    <w:rsid w:val="00062280"/>
    <w:rsid w:val="00062A49"/>
    <w:rsid w:val="00062C05"/>
    <w:rsid w:val="000640C4"/>
    <w:rsid w:val="00065D38"/>
    <w:rsid w:val="00066052"/>
    <w:rsid w:val="000661CD"/>
    <w:rsid w:val="00066287"/>
    <w:rsid w:val="00066442"/>
    <w:rsid w:val="00066680"/>
    <w:rsid w:val="00066923"/>
    <w:rsid w:val="00066F1B"/>
    <w:rsid w:val="00067266"/>
    <w:rsid w:val="00067BEF"/>
    <w:rsid w:val="00067DD1"/>
    <w:rsid w:val="00070447"/>
    <w:rsid w:val="000706E7"/>
    <w:rsid w:val="00070EF8"/>
    <w:rsid w:val="00071192"/>
    <w:rsid w:val="00071252"/>
    <w:rsid w:val="000713A7"/>
    <w:rsid w:val="00072069"/>
    <w:rsid w:val="000721CE"/>
    <w:rsid w:val="00072289"/>
    <w:rsid w:val="000723FA"/>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4BF"/>
    <w:rsid w:val="000776EB"/>
    <w:rsid w:val="0007771D"/>
    <w:rsid w:val="00077BC1"/>
    <w:rsid w:val="00077BC3"/>
    <w:rsid w:val="000800BB"/>
    <w:rsid w:val="00080729"/>
    <w:rsid w:val="00080A26"/>
    <w:rsid w:val="00081101"/>
    <w:rsid w:val="00081EF5"/>
    <w:rsid w:val="00082120"/>
    <w:rsid w:val="00082178"/>
    <w:rsid w:val="000823B0"/>
    <w:rsid w:val="00082525"/>
    <w:rsid w:val="0008292F"/>
    <w:rsid w:val="00083110"/>
    <w:rsid w:val="0008335B"/>
    <w:rsid w:val="00083379"/>
    <w:rsid w:val="00083587"/>
    <w:rsid w:val="00083838"/>
    <w:rsid w:val="00083B6A"/>
    <w:rsid w:val="00083F19"/>
    <w:rsid w:val="000847E7"/>
    <w:rsid w:val="00085A72"/>
    <w:rsid w:val="00085BFA"/>
    <w:rsid w:val="00085E04"/>
    <w:rsid w:val="0008638C"/>
    <w:rsid w:val="00086800"/>
    <w:rsid w:val="00086F01"/>
    <w:rsid w:val="000870F9"/>
    <w:rsid w:val="00087215"/>
    <w:rsid w:val="00087913"/>
    <w:rsid w:val="00087DAE"/>
    <w:rsid w:val="00087E0B"/>
    <w:rsid w:val="00087F94"/>
    <w:rsid w:val="000902DC"/>
    <w:rsid w:val="000910D7"/>
    <w:rsid w:val="00091192"/>
    <w:rsid w:val="000911AE"/>
    <w:rsid w:val="00091500"/>
    <w:rsid w:val="00091546"/>
    <w:rsid w:val="0009173C"/>
    <w:rsid w:val="00091D67"/>
    <w:rsid w:val="00092646"/>
    <w:rsid w:val="00092920"/>
    <w:rsid w:val="00093490"/>
    <w:rsid w:val="00093697"/>
    <w:rsid w:val="00093D42"/>
    <w:rsid w:val="00093DD0"/>
    <w:rsid w:val="00094662"/>
    <w:rsid w:val="000946F1"/>
    <w:rsid w:val="00094A16"/>
    <w:rsid w:val="00094DE6"/>
    <w:rsid w:val="0009544C"/>
    <w:rsid w:val="0009614E"/>
    <w:rsid w:val="00096356"/>
    <w:rsid w:val="00096643"/>
    <w:rsid w:val="0009712F"/>
    <w:rsid w:val="00097711"/>
    <w:rsid w:val="00097C99"/>
    <w:rsid w:val="000A0640"/>
    <w:rsid w:val="000A0F14"/>
    <w:rsid w:val="000A10E4"/>
    <w:rsid w:val="000A1389"/>
    <w:rsid w:val="000A1441"/>
    <w:rsid w:val="000A18D9"/>
    <w:rsid w:val="000A1A06"/>
    <w:rsid w:val="000A1B60"/>
    <w:rsid w:val="000A21B4"/>
    <w:rsid w:val="000A226A"/>
    <w:rsid w:val="000A22F6"/>
    <w:rsid w:val="000A2439"/>
    <w:rsid w:val="000A2CC7"/>
    <w:rsid w:val="000A2ED6"/>
    <w:rsid w:val="000A3762"/>
    <w:rsid w:val="000A381D"/>
    <w:rsid w:val="000A4198"/>
    <w:rsid w:val="000A4205"/>
    <w:rsid w:val="000A422B"/>
    <w:rsid w:val="000A4A19"/>
    <w:rsid w:val="000A610D"/>
    <w:rsid w:val="000A6351"/>
    <w:rsid w:val="000A63D6"/>
    <w:rsid w:val="000A6445"/>
    <w:rsid w:val="000A64FE"/>
    <w:rsid w:val="000A6923"/>
    <w:rsid w:val="000A72BA"/>
    <w:rsid w:val="000A7463"/>
    <w:rsid w:val="000A7B38"/>
    <w:rsid w:val="000A7C5E"/>
    <w:rsid w:val="000A7DFA"/>
    <w:rsid w:val="000B00EE"/>
    <w:rsid w:val="000B01B0"/>
    <w:rsid w:val="000B033A"/>
    <w:rsid w:val="000B0343"/>
    <w:rsid w:val="000B04A2"/>
    <w:rsid w:val="000B191A"/>
    <w:rsid w:val="000B1C7A"/>
    <w:rsid w:val="000B1F51"/>
    <w:rsid w:val="000B1FDF"/>
    <w:rsid w:val="000B20E7"/>
    <w:rsid w:val="000B228A"/>
    <w:rsid w:val="000B238D"/>
    <w:rsid w:val="000B27D9"/>
    <w:rsid w:val="000B2985"/>
    <w:rsid w:val="000B2C88"/>
    <w:rsid w:val="000B3342"/>
    <w:rsid w:val="000B35B9"/>
    <w:rsid w:val="000B37F3"/>
    <w:rsid w:val="000B3B18"/>
    <w:rsid w:val="000B3B27"/>
    <w:rsid w:val="000B3C5F"/>
    <w:rsid w:val="000B455A"/>
    <w:rsid w:val="000B4DCE"/>
    <w:rsid w:val="000B51FA"/>
    <w:rsid w:val="000B546C"/>
    <w:rsid w:val="000B57CA"/>
    <w:rsid w:val="000B5905"/>
    <w:rsid w:val="000B5975"/>
    <w:rsid w:val="000B5A54"/>
    <w:rsid w:val="000B6C42"/>
    <w:rsid w:val="000B6E2C"/>
    <w:rsid w:val="000B71A6"/>
    <w:rsid w:val="000B7338"/>
    <w:rsid w:val="000B76C5"/>
    <w:rsid w:val="000B7A10"/>
    <w:rsid w:val="000B7D3F"/>
    <w:rsid w:val="000B7FEB"/>
    <w:rsid w:val="000C0DE9"/>
    <w:rsid w:val="000C0E37"/>
    <w:rsid w:val="000C0ECE"/>
    <w:rsid w:val="000C115D"/>
    <w:rsid w:val="000C13E7"/>
    <w:rsid w:val="000C1535"/>
    <w:rsid w:val="000C15FB"/>
    <w:rsid w:val="000C1669"/>
    <w:rsid w:val="000C1727"/>
    <w:rsid w:val="000C2356"/>
    <w:rsid w:val="000C252B"/>
    <w:rsid w:val="000C2FBD"/>
    <w:rsid w:val="000C333C"/>
    <w:rsid w:val="000C3B0C"/>
    <w:rsid w:val="000C3C25"/>
    <w:rsid w:val="000C422D"/>
    <w:rsid w:val="000C4D41"/>
    <w:rsid w:val="000C4EB6"/>
    <w:rsid w:val="000C5011"/>
    <w:rsid w:val="000C5560"/>
    <w:rsid w:val="000C5CE1"/>
    <w:rsid w:val="000C5F91"/>
    <w:rsid w:val="000C6025"/>
    <w:rsid w:val="000C72EF"/>
    <w:rsid w:val="000C73A0"/>
    <w:rsid w:val="000D0113"/>
    <w:rsid w:val="000D0565"/>
    <w:rsid w:val="000D0771"/>
    <w:rsid w:val="000D0972"/>
    <w:rsid w:val="000D0C2E"/>
    <w:rsid w:val="000D0E4E"/>
    <w:rsid w:val="000D100C"/>
    <w:rsid w:val="000D113C"/>
    <w:rsid w:val="000D12D1"/>
    <w:rsid w:val="000D159A"/>
    <w:rsid w:val="000D1796"/>
    <w:rsid w:val="000D181D"/>
    <w:rsid w:val="000D18C6"/>
    <w:rsid w:val="000D1EBC"/>
    <w:rsid w:val="000D1F4A"/>
    <w:rsid w:val="000D22CC"/>
    <w:rsid w:val="000D3489"/>
    <w:rsid w:val="000D36AE"/>
    <w:rsid w:val="000D38A1"/>
    <w:rsid w:val="000D3ED3"/>
    <w:rsid w:val="000D3F94"/>
    <w:rsid w:val="000D4434"/>
    <w:rsid w:val="000D473B"/>
    <w:rsid w:val="000D49EE"/>
    <w:rsid w:val="000D4C4E"/>
    <w:rsid w:val="000D4D57"/>
    <w:rsid w:val="000D4E0C"/>
    <w:rsid w:val="000D5077"/>
    <w:rsid w:val="000D5336"/>
    <w:rsid w:val="000D5362"/>
    <w:rsid w:val="000D54F2"/>
    <w:rsid w:val="000D56EF"/>
    <w:rsid w:val="000D57F8"/>
    <w:rsid w:val="000D5851"/>
    <w:rsid w:val="000D5C60"/>
    <w:rsid w:val="000D659C"/>
    <w:rsid w:val="000D6E03"/>
    <w:rsid w:val="000D6F46"/>
    <w:rsid w:val="000D6F67"/>
    <w:rsid w:val="000D71E2"/>
    <w:rsid w:val="000D73A5"/>
    <w:rsid w:val="000D74B3"/>
    <w:rsid w:val="000D7B37"/>
    <w:rsid w:val="000D7DD3"/>
    <w:rsid w:val="000E07D6"/>
    <w:rsid w:val="000E0F94"/>
    <w:rsid w:val="000E1380"/>
    <w:rsid w:val="000E18DF"/>
    <w:rsid w:val="000E1C8E"/>
    <w:rsid w:val="000E1CE7"/>
    <w:rsid w:val="000E1EC4"/>
    <w:rsid w:val="000E36BD"/>
    <w:rsid w:val="000E3B44"/>
    <w:rsid w:val="000E3BDB"/>
    <w:rsid w:val="000E41FE"/>
    <w:rsid w:val="000E46DC"/>
    <w:rsid w:val="000E4BBB"/>
    <w:rsid w:val="000E53BD"/>
    <w:rsid w:val="000E57E8"/>
    <w:rsid w:val="000E59A0"/>
    <w:rsid w:val="000E5B01"/>
    <w:rsid w:val="000E68E7"/>
    <w:rsid w:val="000E70C1"/>
    <w:rsid w:val="000E7A84"/>
    <w:rsid w:val="000F0084"/>
    <w:rsid w:val="000F0246"/>
    <w:rsid w:val="000F0383"/>
    <w:rsid w:val="000F069E"/>
    <w:rsid w:val="000F15BC"/>
    <w:rsid w:val="000F1700"/>
    <w:rsid w:val="000F180A"/>
    <w:rsid w:val="000F19D6"/>
    <w:rsid w:val="000F1A29"/>
    <w:rsid w:val="000F1C92"/>
    <w:rsid w:val="000F1E83"/>
    <w:rsid w:val="000F2148"/>
    <w:rsid w:val="000F2236"/>
    <w:rsid w:val="000F2C6C"/>
    <w:rsid w:val="000F2DD7"/>
    <w:rsid w:val="000F2EEE"/>
    <w:rsid w:val="000F3697"/>
    <w:rsid w:val="000F4387"/>
    <w:rsid w:val="000F466D"/>
    <w:rsid w:val="000F4D58"/>
    <w:rsid w:val="000F5245"/>
    <w:rsid w:val="000F5BCE"/>
    <w:rsid w:val="000F6233"/>
    <w:rsid w:val="000F64E0"/>
    <w:rsid w:val="000F7A88"/>
    <w:rsid w:val="000F7BE5"/>
    <w:rsid w:val="000F7F58"/>
    <w:rsid w:val="00100128"/>
    <w:rsid w:val="001007FC"/>
    <w:rsid w:val="00100FF3"/>
    <w:rsid w:val="00101011"/>
    <w:rsid w:val="00101452"/>
    <w:rsid w:val="00101D9D"/>
    <w:rsid w:val="001026CA"/>
    <w:rsid w:val="0010385A"/>
    <w:rsid w:val="00103D6A"/>
    <w:rsid w:val="00103D9F"/>
    <w:rsid w:val="00103EA4"/>
    <w:rsid w:val="001040C4"/>
    <w:rsid w:val="001043C2"/>
    <w:rsid w:val="001043E1"/>
    <w:rsid w:val="00104DB8"/>
    <w:rsid w:val="0010505A"/>
    <w:rsid w:val="00105604"/>
    <w:rsid w:val="00105C68"/>
    <w:rsid w:val="00105CC7"/>
    <w:rsid w:val="00106415"/>
    <w:rsid w:val="00106683"/>
    <w:rsid w:val="001067CA"/>
    <w:rsid w:val="001067E2"/>
    <w:rsid w:val="0010685E"/>
    <w:rsid w:val="00106948"/>
    <w:rsid w:val="0010695F"/>
    <w:rsid w:val="00106D37"/>
    <w:rsid w:val="00107767"/>
    <w:rsid w:val="00107779"/>
    <w:rsid w:val="001078C2"/>
    <w:rsid w:val="00107C9B"/>
    <w:rsid w:val="00107E1C"/>
    <w:rsid w:val="00110243"/>
    <w:rsid w:val="00110679"/>
    <w:rsid w:val="0011094C"/>
    <w:rsid w:val="00110B27"/>
    <w:rsid w:val="00110B45"/>
    <w:rsid w:val="001112C4"/>
    <w:rsid w:val="0011131F"/>
    <w:rsid w:val="00111444"/>
    <w:rsid w:val="00111723"/>
    <w:rsid w:val="00112304"/>
    <w:rsid w:val="00112558"/>
    <w:rsid w:val="001127D0"/>
    <w:rsid w:val="001129B5"/>
    <w:rsid w:val="00112BE6"/>
    <w:rsid w:val="00112FA0"/>
    <w:rsid w:val="0011407A"/>
    <w:rsid w:val="001141E3"/>
    <w:rsid w:val="001144DF"/>
    <w:rsid w:val="001150B4"/>
    <w:rsid w:val="001152E9"/>
    <w:rsid w:val="0011557B"/>
    <w:rsid w:val="001159F3"/>
    <w:rsid w:val="00115F92"/>
    <w:rsid w:val="00115FC3"/>
    <w:rsid w:val="001166A8"/>
    <w:rsid w:val="00116BB2"/>
    <w:rsid w:val="00117058"/>
    <w:rsid w:val="00117147"/>
    <w:rsid w:val="00117586"/>
    <w:rsid w:val="00117C85"/>
    <w:rsid w:val="00120B13"/>
    <w:rsid w:val="00121333"/>
    <w:rsid w:val="0012141A"/>
    <w:rsid w:val="0012164B"/>
    <w:rsid w:val="00121CC6"/>
    <w:rsid w:val="00121F98"/>
    <w:rsid w:val="0012244C"/>
    <w:rsid w:val="00122518"/>
    <w:rsid w:val="00122954"/>
    <w:rsid w:val="001229C1"/>
    <w:rsid w:val="00122ABD"/>
    <w:rsid w:val="00123091"/>
    <w:rsid w:val="00123E52"/>
    <w:rsid w:val="0012422B"/>
    <w:rsid w:val="00124879"/>
    <w:rsid w:val="001249DD"/>
    <w:rsid w:val="00124C14"/>
    <w:rsid w:val="00124D84"/>
    <w:rsid w:val="001250DD"/>
    <w:rsid w:val="001255F4"/>
    <w:rsid w:val="00125733"/>
    <w:rsid w:val="0012579D"/>
    <w:rsid w:val="00125B2B"/>
    <w:rsid w:val="00125CD9"/>
    <w:rsid w:val="00126046"/>
    <w:rsid w:val="00126177"/>
    <w:rsid w:val="001263AA"/>
    <w:rsid w:val="00126736"/>
    <w:rsid w:val="00126AB1"/>
    <w:rsid w:val="00126CFF"/>
    <w:rsid w:val="00127099"/>
    <w:rsid w:val="0012781C"/>
    <w:rsid w:val="00127F33"/>
    <w:rsid w:val="00130779"/>
    <w:rsid w:val="001307A1"/>
    <w:rsid w:val="0013091F"/>
    <w:rsid w:val="00130DFE"/>
    <w:rsid w:val="00131976"/>
    <w:rsid w:val="001321D3"/>
    <w:rsid w:val="001334A2"/>
    <w:rsid w:val="00133599"/>
    <w:rsid w:val="00133987"/>
    <w:rsid w:val="00133A33"/>
    <w:rsid w:val="00133BF7"/>
    <w:rsid w:val="0013469B"/>
    <w:rsid w:val="0013491F"/>
    <w:rsid w:val="00134B88"/>
    <w:rsid w:val="00134C17"/>
    <w:rsid w:val="0013504F"/>
    <w:rsid w:val="00135780"/>
    <w:rsid w:val="00136027"/>
    <w:rsid w:val="00136393"/>
    <w:rsid w:val="001368E6"/>
    <w:rsid w:val="00136A23"/>
    <w:rsid w:val="00136B99"/>
    <w:rsid w:val="00136E22"/>
    <w:rsid w:val="001370E1"/>
    <w:rsid w:val="00137401"/>
    <w:rsid w:val="0014063E"/>
    <w:rsid w:val="0014087D"/>
    <w:rsid w:val="00140F74"/>
    <w:rsid w:val="00141191"/>
    <w:rsid w:val="001411B7"/>
    <w:rsid w:val="001413EB"/>
    <w:rsid w:val="0014159C"/>
    <w:rsid w:val="00141FE6"/>
    <w:rsid w:val="00142065"/>
    <w:rsid w:val="0014214C"/>
    <w:rsid w:val="00142665"/>
    <w:rsid w:val="0014384A"/>
    <w:rsid w:val="00144119"/>
    <w:rsid w:val="00144350"/>
    <w:rsid w:val="0014450F"/>
    <w:rsid w:val="00144D8F"/>
    <w:rsid w:val="00145017"/>
    <w:rsid w:val="00145C74"/>
    <w:rsid w:val="001462E9"/>
    <w:rsid w:val="001468D2"/>
    <w:rsid w:val="00146ABE"/>
    <w:rsid w:val="00146E32"/>
    <w:rsid w:val="001476BF"/>
    <w:rsid w:val="001479B0"/>
    <w:rsid w:val="00147ED9"/>
    <w:rsid w:val="00150668"/>
    <w:rsid w:val="0015071D"/>
    <w:rsid w:val="00150BFE"/>
    <w:rsid w:val="001510CF"/>
    <w:rsid w:val="00151562"/>
    <w:rsid w:val="00151619"/>
    <w:rsid w:val="00152376"/>
    <w:rsid w:val="00152835"/>
    <w:rsid w:val="00152840"/>
    <w:rsid w:val="00152C52"/>
    <w:rsid w:val="001531E8"/>
    <w:rsid w:val="0015335B"/>
    <w:rsid w:val="00154AA5"/>
    <w:rsid w:val="00154BF4"/>
    <w:rsid w:val="00154E20"/>
    <w:rsid w:val="001559FA"/>
    <w:rsid w:val="00156374"/>
    <w:rsid w:val="00156FE7"/>
    <w:rsid w:val="0015712F"/>
    <w:rsid w:val="00157292"/>
    <w:rsid w:val="00157665"/>
    <w:rsid w:val="001577D8"/>
    <w:rsid w:val="00157FC3"/>
    <w:rsid w:val="00160739"/>
    <w:rsid w:val="00160B1D"/>
    <w:rsid w:val="00160B51"/>
    <w:rsid w:val="00160C85"/>
    <w:rsid w:val="00160EC0"/>
    <w:rsid w:val="00161015"/>
    <w:rsid w:val="001616EC"/>
    <w:rsid w:val="001617BB"/>
    <w:rsid w:val="001625C3"/>
    <w:rsid w:val="0016271E"/>
    <w:rsid w:val="00162C8E"/>
    <w:rsid w:val="00162D7A"/>
    <w:rsid w:val="0016364B"/>
    <w:rsid w:val="00163C8B"/>
    <w:rsid w:val="0016425B"/>
    <w:rsid w:val="00164738"/>
    <w:rsid w:val="00164DAB"/>
    <w:rsid w:val="001652C5"/>
    <w:rsid w:val="00165A09"/>
    <w:rsid w:val="00165BBB"/>
    <w:rsid w:val="00165E99"/>
    <w:rsid w:val="00165E9F"/>
    <w:rsid w:val="00166036"/>
    <w:rsid w:val="0016613F"/>
    <w:rsid w:val="00166215"/>
    <w:rsid w:val="0016637F"/>
    <w:rsid w:val="00166591"/>
    <w:rsid w:val="00166BC4"/>
    <w:rsid w:val="00167732"/>
    <w:rsid w:val="00167EB8"/>
    <w:rsid w:val="00170F7E"/>
    <w:rsid w:val="00171143"/>
    <w:rsid w:val="0017161F"/>
    <w:rsid w:val="00171859"/>
    <w:rsid w:val="00171A99"/>
    <w:rsid w:val="00172864"/>
    <w:rsid w:val="00172B82"/>
    <w:rsid w:val="00172DDD"/>
    <w:rsid w:val="00172EFA"/>
    <w:rsid w:val="001730A5"/>
    <w:rsid w:val="00173308"/>
    <w:rsid w:val="00173608"/>
    <w:rsid w:val="00173D81"/>
    <w:rsid w:val="001745EC"/>
    <w:rsid w:val="001747B7"/>
    <w:rsid w:val="00174961"/>
    <w:rsid w:val="0017510A"/>
    <w:rsid w:val="00175C30"/>
    <w:rsid w:val="00175FE8"/>
    <w:rsid w:val="00177069"/>
    <w:rsid w:val="001772DD"/>
    <w:rsid w:val="0017782E"/>
    <w:rsid w:val="00177C8B"/>
    <w:rsid w:val="00177FC1"/>
    <w:rsid w:val="00180510"/>
    <w:rsid w:val="00180F63"/>
    <w:rsid w:val="00181092"/>
    <w:rsid w:val="00181265"/>
    <w:rsid w:val="001813E9"/>
    <w:rsid w:val="001815A2"/>
    <w:rsid w:val="00181E80"/>
    <w:rsid w:val="00181F07"/>
    <w:rsid w:val="00181FC1"/>
    <w:rsid w:val="00182473"/>
    <w:rsid w:val="001829CE"/>
    <w:rsid w:val="001829E0"/>
    <w:rsid w:val="00183034"/>
    <w:rsid w:val="001830F7"/>
    <w:rsid w:val="00183992"/>
    <w:rsid w:val="00183C3C"/>
    <w:rsid w:val="00183EE6"/>
    <w:rsid w:val="00183F04"/>
    <w:rsid w:val="001840DD"/>
    <w:rsid w:val="001844E2"/>
    <w:rsid w:val="001846BC"/>
    <w:rsid w:val="0018478D"/>
    <w:rsid w:val="00184BF5"/>
    <w:rsid w:val="00184F21"/>
    <w:rsid w:val="00184F8A"/>
    <w:rsid w:val="00185656"/>
    <w:rsid w:val="0018585D"/>
    <w:rsid w:val="0018588A"/>
    <w:rsid w:val="00185F12"/>
    <w:rsid w:val="00186018"/>
    <w:rsid w:val="001860E4"/>
    <w:rsid w:val="001862EF"/>
    <w:rsid w:val="00186332"/>
    <w:rsid w:val="001866C8"/>
    <w:rsid w:val="00187252"/>
    <w:rsid w:val="00187E5D"/>
    <w:rsid w:val="00187F3D"/>
    <w:rsid w:val="001900C9"/>
    <w:rsid w:val="001900D1"/>
    <w:rsid w:val="00190CDA"/>
    <w:rsid w:val="0019120D"/>
    <w:rsid w:val="0019179C"/>
    <w:rsid w:val="001917FA"/>
    <w:rsid w:val="00191C91"/>
    <w:rsid w:val="001924ED"/>
    <w:rsid w:val="001925BE"/>
    <w:rsid w:val="00192DD9"/>
    <w:rsid w:val="00193166"/>
    <w:rsid w:val="001932CC"/>
    <w:rsid w:val="001932F8"/>
    <w:rsid w:val="0019421F"/>
    <w:rsid w:val="00194339"/>
    <w:rsid w:val="001946E0"/>
    <w:rsid w:val="00194848"/>
    <w:rsid w:val="00194981"/>
    <w:rsid w:val="00195115"/>
    <w:rsid w:val="0019566F"/>
    <w:rsid w:val="001958EA"/>
    <w:rsid w:val="00195CB4"/>
    <w:rsid w:val="00195E0E"/>
    <w:rsid w:val="001963E4"/>
    <w:rsid w:val="00196AFA"/>
    <w:rsid w:val="0019741F"/>
    <w:rsid w:val="001A0203"/>
    <w:rsid w:val="001A10FB"/>
    <w:rsid w:val="001A16D6"/>
    <w:rsid w:val="001A17A8"/>
    <w:rsid w:val="001A180D"/>
    <w:rsid w:val="001A1BAC"/>
    <w:rsid w:val="001A1E5A"/>
    <w:rsid w:val="001A22A3"/>
    <w:rsid w:val="001A23CE"/>
    <w:rsid w:val="001A271C"/>
    <w:rsid w:val="001A2C89"/>
    <w:rsid w:val="001A35D6"/>
    <w:rsid w:val="001A36DD"/>
    <w:rsid w:val="001A379F"/>
    <w:rsid w:val="001A383C"/>
    <w:rsid w:val="001A3B63"/>
    <w:rsid w:val="001A432D"/>
    <w:rsid w:val="001A48E4"/>
    <w:rsid w:val="001A496C"/>
    <w:rsid w:val="001A6040"/>
    <w:rsid w:val="001A673E"/>
    <w:rsid w:val="001A69C3"/>
    <w:rsid w:val="001A6EB8"/>
    <w:rsid w:val="001A7763"/>
    <w:rsid w:val="001A7943"/>
    <w:rsid w:val="001A7ADA"/>
    <w:rsid w:val="001A7D89"/>
    <w:rsid w:val="001A7E09"/>
    <w:rsid w:val="001A7E8F"/>
    <w:rsid w:val="001A7EE2"/>
    <w:rsid w:val="001B023E"/>
    <w:rsid w:val="001B0401"/>
    <w:rsid w:val="001B0426"/>
    <w:rsid w:val="001B0704"/>
    <w:rsid w:val="001B082B"/>
    <w:rsid w:val="001B0E71"/>
    <w:rsid w:val="001B115F"/>
    <w:rsid w:val="001B1289"/>
    <w:rsid w:val="001B1F79"/>
    <w:rsid w:val="001B21AA"/>
    <w:rsid w:val="001B24B8"/>
    <w:rsid w:val="001B2A68"/>
    <w:rsid w:val="001B2F13"/>
    <w:rsid w:val="001B3350"/>
    <w:rsid w:val="001B3964"/>
    <w:rsid w:val="001B3C69"/>
    <w:rsid w:val="001B4452"/>
    <w:rsid w:val="001B466C"/>
    <w:rsid w:val="001B4A60"/>
    <w:rsid w:val="001B4F34"/>
    <w:rsid w:val="001B52EC"/>
    <w:rsid w:val="001B554A"/>
    <w:rsid w:val="001B6300"/>
    <w:rsid w:val="001B6564"/>
    <w:rsid w:val="001B691A"/>
    <w:rsid w:val="001B6A61"/>
    <w:rsid w:val="001B6BDD"/>
    <w:rsid w:val="001B734F"/>
    <w:rsid w:val="001B7E50"/>
    <w:rsid w:val="001C02D8"/>
    <w:rsid w:val="001C04E3"/>
    <w:rsid w:val="001C0B03"/>
    <w:rsid w:val="001C0B41"/>
    <w:rsid w:val="001C1DDF"/>
    <w:rsid w:val="001C2378"/>
    <w:rsid w:val="001C238D"/>
    <w:rsid w:val="001C2CD6"/>
    <w:rsid w:val="001C2E83"/>
    <w:rsid w:val="001C3EC5"/>
    <w:rsid w:val="001C3EE9"/>
    <w:rsid w:val="001C3FA4"/>
    <w:rsid w:val="001C40F9"/>
    <w:rsid w:val="001C458B"/>
    <w:rsid w:val="001C4B4C"/>
    <w:rsid w:val="001C5D4F"/>
    <w:rsid w:val="001C64C0"/>
    <w:rsid w:val="001C69DA"/>
    <w:rsid w:val="001C6B22"/>
    <w:rsid w:val="001C6CB1"/>
    <w:rsid w:val="001C6F06"/>
    <w:rsid w:val="001C7A96"/>
    <w:rsid w:val="001C7BB2"/>
    <w:rsid w:val="001D00D4"/>
    <w:rsid w:val="001D0D4E"/>
    <w:rsid w:val="001D0EED"/>
    <w:rsid w:val="001D1164"/>
    <w:rsid w:val="001D1477"/>
    <w:rsid w:val="001D14CF"/>
    <w:rsid w:val="001D1861"/>
    <w:rsid w:val="001D1887"/>
    <w:rsid w:val="001D2360"/>
    <w:rsid w:val="001D2A65"/>
    <w:rsid w:val="001D3109"/>
    <w:rsid w:val="001D332E"/>
    <w:rsid w:val="001D3C18"/>
    <w:rsid w:val="001D40D1"/>
    <w:rsid w:val="001D42B9"/>
    <w:rsid w:val="001D48B3"/>
    <w:rsid w:val="001D5033"/>
    <w:rsid w:val="001D513E"/>
    <w:rsid w:val="001D553B"/>
    <w:rsid w:val="001D580E"/>
    <w:rsid w:val="001D5863"/>
    <w:rsid w:val="001D5C6E"/>
    <w:rsid w:val="001D5C88"/>
    <w:rsid w:val="001D5DEA"/>
    <w:rsid w:val="001D644B"/>
    <w:rsid w:val="001D6567"/>
    <w:rsid w:val="001D65EC"/>
    <w:rsid w:val="001D695C"/>
    <w:rsid w:val="001D6FD9"/>
    <w:rsid w:val="001D780E"/>
    <w:rsid w:val="001D7852"/>
    <w:rsid w:val="001E05C3"/>
    <w:rsid w:val="001E0AD3"/>
    <w:rsid w:val="001E0B3D"/>
    <w:rsid w:val="001E19B8"/>
    <w:rsid w:val="001E21A8"/>
    <w:rsid w:val="001E254D"/>
    <w:rsid w:val="001E263C"/>
    <w:rsid w:val="001E28E2"/>
    <w:rsid w:val="001E2BC8"/>
    <w:rsid w:val="001E36E4"/>
    <w:rsid w:val="001E379D"/>
    <w:rsid w:val="001E3A3C"/>
    <w:rsid w:val="001E3A94"/>
    <w:rsid w:val="001E3B55"/>
    <w:rsid w:val="001E4561"/>
    <w:rsid w:val="001E48C7"/>
    <w:rsid w:val="001E4AEC"/>
    <w:rsid w:val="001E4DD2"/>
    <w:rsid w:val="001E4EA1"/>
    <w:rsid w:val="001E5538"/>
    <w:rsid w:val="001E5C23"/>
    <w:rsid w:val="001E671B"/>
    <w:rsid w:val="001E6964"/>
    <w:rsid w:val="001E69C0"/>
    <w:rsid w:val="001E6A6D"/>
    <w:rsid w:val="001E6EE7"/>
    <w:rsid w:val="001E7195"/>
    <w:rsid w:val="001E7280"/>
    <w:rsid w:val="001E7504"/>
    <w:rsid w:val="001E76DF"/>
    <w:rsid w:val="001F014D"/>
    <w:rsid w:val="001F0443"/>
    <w:rsid w:val="001F0E94"/>
    <w:rsid w:val="001F128B"/>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71A"/>
    <w:rsid w:val="001F4A38"/>
    <w:rsid w:val="001F4C68"/>
    <w:rsid w:val="001F4CBD"/>
    <w:rsid w:val="001F54BA"/>
    <w:rsid w:val="001F5545"/>
    <w:rsid w:val="001F5693"/>
    <w:rsid w:val="001F5777"/>
    <w:rsid w:val="001F5937"/>
    <w:rsid w:val="001F5970"/>
    <w:rsid w:val="001F59E3"/>
    <w:rsid w:val="001F59ED"/>
    <w:rsid w:val="001F5AC9"/>
    <w:rsid w:val="001F5CB7"/>
    <w:rsid w:val="001F5D93"/>
    <w:rsid w:val="001F5E98"/>
    <w:rsid w:val="001F6078"/>
    <w:rsid w:val="001F6129"/>
    <w:rsid w:val="001F7121"/>
    <w:rsid w:val="002002F7"/>
    <w:rsid w:val="002004F4"/>
    <w:rsid w:val="00200856"/>
    <w:rsid w:val="002008BF"/>
    <w:rsid w:val="00200AE2"/>
    <w:rsid w:val="00200D2C"/>
    <w:rsid w:val="002019D8"/>
    <w:rsid w:val="00201E88"/>
    <w:rsid w:val="00201EC7"/>
    <w:rsid w:val="00202659"/>
    <w:rsid w:val="002027ED"/>
    <w:rsid w:val="0020293E"/>
    <w:rsid w:val="0020349A"/>
    <w:rsid w:val="002034B4"/>
    <w:rsid w:val="00203807"/>
    <w:rsid w:val="00204032"/>
    <w:rsid w:val="002044A2"/>
    <w:rsid w:val="00204BAD"/>
    <w:rsid w:val="00204D60"/>
    <w:rsid w:val="00204E3D"/>
    <w:rsid w:val="00205627"/>
    <w:rsid w:val="002056D0"/>
    <w:rsid w:val="002056DC"/>
    <w:rsid w:val="00205A65"/>
    <w:rsid w:val="00205C68"/>
    <w:rsid w:val="00205F8F"/>
    <w:rsid w:val="00206D2E"/>
    <w:rsid w:val="0021006F"/>
    <w:rsid w:val="00210404"/>
    <w:rsid w:val="002105D5"/>
    <w:rsid w:val="00210860"/>
    <w:rsid w:val="00210B6A"/>
    <w:rsid w:val="00210EBB"/>
    <w:rsid w:val="002114D5"/>
    <w:rsid w:val="002119FA"/>
    <w:rsid w:val="00212356"/>
    <w:rsid w:val="00212AD3"/>
    <w:rsid w:val="00212B0B"/>
    <w:rsid w:val="00212CB6"/>
    <w:rsid w:val="00212D8B"/>
    <w:rsid w:val="00212E37"/>
    <w:rsid w:val="00213089"/>
    <w:rsid w:val="002132E8"/>
    <w:rsid w:val="0021346E"/>
    <w:rsid w:val="00213690"/>
    <w:rsid w:val="0021376D"/>
    <w:rsid w:val="002140FF"/>
    <w:rsid w:val="002146C2"/>
    <w:rsid w:val="00215711"/>
    <w:rsid w:val="00215CFD"/>
    <w:rsid w:val="00215D56"/>
    <w:rsid w:val="00215EB1"/>
    <w:rsid w:val="00217160"/>
    <w:rsid w:val="00217466"/>
    <w:rsid w:val="002176FF"/>
    <w:rsid w:val="00217A7B"/>
    <w:rsid w:val="00217B67"/>
    <w:rsid w:val="0022017D"/>
    <w:rsid w:val="002207DC"/>
    <w:rsid w:val="00220894"/>
    <w:rsid w:val="002214B2"/>
    <w:rsid w:val="0022207C"/>
    <w:rsid w:val="00222B35"/>
    <w:rsid w:val="00223118"/>
    <w:rsid w:val="002236A5"/>
    <w:rsid w:val="0022413A"/>
    <w:rsid w:val="0022462F"/>
    <w:rsid w:val="00224952"/>
    <w:rsid w:val="00224DD2"/>
    <w:rsid w:val="00225207"/>
    <w:rsid w:val="00225A6A"/>
    <w:rsid w:val="00225AC7"/>
    <w:rsid w:val="00225ACC"/>
    <w:rsid w:val="00225B77"/>
    <w:rsid w:val="0022608B"/>
    <w:rsid w:val="0022662D"/>
    <w:rsid w:val="0022679E"/>
    <w:rsid w:val="002274B3"/>
    <w:rsid w:val="0023008F"/>
    <w:rsid w:val="00230955"/>
    <w:rsid w:val="00231C25"/>
    <w:rsid w:val="00231C6F"/>
    <w:rsid w:val="002322B9"/>
    <w:rsid w:val="00232A90"/>
    <w:rsid w:val="00232C61"/>
    <w:rsid w:val="00232F64"/>
    <w:rsid w:val="002334FB"/>
    <w:rsid w:val="0023356E"/>
    <w:rsid w:val="00233B16"/>
    <w:rsid w:val="00233FBA"/>
    <w:rsid w:val="00234151"/>
    <w:rsid w:val="00234223"/>
    <w:rsid w:val="00234F8C"/>
    <w:rsid w:val="00235542"/>
    <w:rsid w:val="00235901"/>
    <w:rsid w:val="00235DBA"/>
    <w:rsid w:val="0023634D"/>
    <w:rsid w:val="002367D4"/>
    <w:rsid w:val="002369B0"/>
    <w:rsid w:val="00236AD8"/>
    <w:rsid w:val="00236D3E"/>
    <w:rsid w:val="00236F93"/>
    <w:rsid w:val="00237A44"/>
    <w:rsid w:val="00237A8D"/>
    <w:rsid w:val="002400F4"/>
    <w:rsid w:val="002401F5"/>
    <w:rsid w:val="0024024A"/>
    <w:rsid w:val="00240282"/>
    <w:rsid w:val="00240E54"/>
    <w:rsid w:val="00241591"/>
    <w:rsid w:val="0024166B"/>
    <w:rsid w:val="002416B4"/>
    <w:rsid w:val="00241712"/>
    <w:rsid w:val="00241A3C"/>
    <w:rsid w:val="00241CEC"/>
    <w:rsid w:val="0024209B"/>
    <w:rsid w:val="00242338"/>
    <w:rsid w:val="00242854"/>
    <w:rsid w:val="00242E8A"/>
    <w:rsid w:val="00242FDF"/>
    <w:rsid w:val="0024303F"/>
    <w:rsid w:val="0024384F"/>
    <w:rsid w:val="00243C5F"/>
    <w:rsid w:val="00243CF6"/>
    <w:rsid w:val="00244542"/>
    <w:rsid w:val="002445DE"/>
    <w:rsid w:val="00244B3A"/>
    <w:rsid w:val="00244E89"/>
    <w:rsid w:val="002451C5"/>
    <w:rsid w:val="00245571"/>
    <w:rsid w:val="002459AB"/>
    <w:rsid w:val="00245B0D"/>
    <w:rsid w:val="00245F1F"/>
    <w:rsid w:val="00246396"/>
    <w:rsid w:val="002465AD"/>
    <w:rsid w:val="0024663B"/>
    <w:rsid w:val="00246664"/>
    <w:rsid w:val="0024693F"/>
    <w:rsid w:val="00247103"/>
    <w:rsid w:val="00247114"/>
    <w:rsid w:val="0024780B"/>
    <w:rsid w:val="00247B42"/>
    <w:rsid w:val="00247E65"/>
    <w:rsid w:val="00250067"/>
    <w:rsid w:val="002500DE"/>
    <w:rsid w:val="002506E9"/>
    <w:rsid w:val="00250D16"/>
    <w:rsid w:val="002516DE"/>
    <w:rsid w:val="002518FC"/>
    <w:rsid w:val="00251A1E"/>
    <w:rsid w:val="00251F81"/>
    <w:rsid w:val="0025243B"/>
    <w:rsid w:val="002525E0"/>
    <w:rsid w:val="00252800"/>
    <w:rsid w:val="00252BE0"/>
    <w:rsid w:val="00252D89"/>
    <w:rsid w:val="00253259"/>
    <w:rsid w:val="00253588"/>
    <w:rsid w:val="002544D4"/>
    <w:rsid w:val="002546F4"/>
    <w:rsid w:val="00254F8B"/>
    <w:rsid w:val="002551B2"/>
    <w:rsid w:val="002551D0"/>
    <w:rsid w:val="00255339"/>
    <w:rsid w:val="00255374"/>
    <w:rsid w:val="002554CC"/>
    <w:rsid w:val="00256109"/>
    <w:rsid w:val="0025655F"/>
    <w:rsid w:val="00256B8E"/>
    <w:rsid w:val="00257384"/>
    <w:rsid w:val="00257BF4"/>
    <w:rsid w:val="00260003"/>
    <w:rsid w:val="0026035D"/>
    <w:rsid w:val="002606D6"/>
    <w:rsid w:val="00260DE5"/>
    <w:rsid w:val="00260E3F"/>
    <w:rsid w:val="00261102"/>
    <w:rsid w:val="002614A9"/>
    <w:rsid w:val="0026155A"/>
    <w:rsid w:val="00261A93"/>
    <w:rsid w:val="00261C98"/>
    <w:rsid w:val="00261CB3"/>
    <w:rsid w:val="00261D3B"/>
    <w:rsid w:val="0026227D"/>
    <w:rsid w:val="0026248E"/>
    <w:rsid w:val="00262914"/>
    <w:rsid w:val="002636B6"/>
    <w:rsid w:val="00263951"/>
    <w:rsid w:val="00263A76"/>
    <w:rsid w:val="002644E7"/>
    <w:rsid w:val="002645A7"/>
    <w:rsid w:val="002647BF"/>
    <w:rsid w:val="002647D5"/>
    <w:rsid w:val="00265032"/>
    <w:rsid w:val="002651FB"/>
    <w:rsid w:val="0026538C"/>
    <w:rsid w:val="00265685"/>
    <w:rsid w:val="00265781"/>
    <w:rsid w:val="00265A1C"/>
    <w:rsid w:val="00266010"/>
    <w:rsid w:val="0026679F"/>
    <w:rsid w:val="00266AD0"/>
    <w:rsid w:val="00266AE6"/>
    <w:rsid w:val="00266B13"/>
    <w:rsid w:val="00266C76"/>
    <w:rsid w:val="002670DD"/>
    <w:rsid w:val="0026766D"/>
    <w:rsid w:val="00267B0F"/>
    <w:rsid w:val="00270649"/>
    <w:rsid w:val="00270728"/>
    <w:rsid w:val="0027074F"/>
    <w:rsid w:val="0027088B"/>
    <w:rsid w:val="00270D42"/>
    <w:rsid w:val="0027195D"/>
    <w:rsid w:val="002721AC"/>
    <w:rsid w:val="002723A8"/>
    <w:rsid w:val="00272B03"/>
    <w:rsid w:val="00272F36"/>
    <w:rsid w:val="00273179"/>
    <w:rsid w:val="002733E2"/>
    <w:rsid w:val="0027354B"/>
    <w:rsid w:val="00273AED"/>
    <w:rsid w:val="00273C81"/>
    <w:rsid w:val="00273DB1"/>
    <w:rsid w:val="00273FF9"/>
    <w:rsid w:val="002740EB"/>
    <w:rsid w:val="0027423B"/>
    <w:rsid w:val="002745AF"/>
    <w:rsid w:val="002749E6"/>
    <w:rsid w:val="00274A66"/>
    <w:rsid w:val="002750B1"/>
    <w:rsid w:val="002754C5"/>
    <w:rsid w:val="0027571B"/>
    <w:rsid w:val="002757E4"/>
    <w:rsid w:val="002758A4"/>
    <w:rsid w:val="00276A35"/>
    <w:rsid w:val="00276AF9"/>
    <w:rsid w:val="002772C6"/>
    <w:rsid w:val="002775CC"/>
    <w:rsid w:val="00277835"/>
    <w:rsid w:val="00277F52"/>
    <w:rsid w:val="0028095D"/>
    <w:rsid w:val="00280984"/>
    <w:rsid w:val="00280AB1"/>
    <w:rsid w:val="00280B06"/>
    <w:rsid w:val="00280B0B"/>
    <w:rsid w:val="00280B80"/>
    <w:rsid w:val="00280F81"/>
    <w:rsid w:val="00281584"/>
    <w:rsid w:val="00281D0F"/>
    <w:rsid w:val="00281F26"/>
    <w:rsid w:val="00282304"/>
    <w:rsid w:val="002828FB"/>
    <w:rsid w:val="00282D8E"/>
    <w:rsid w:val="00283390"/>
    <w:rsid w:val="00283D93"/>
    <w:rsid w:val="002843B9"/>
    <w:rsid w:val="0028464D"/>
    <w:rsid w:val="00284BAE"/>
    <w:rsid w:val="0028516D"/>
    <w:rsid w:val="00285419"/>
    <w:rsid w:val="00285489"/>
    <w:rsid w:val="002854D7"/>
    <w:rsid w:val="002859AF"/>
    <w:rsid w:val="00286979"/>
    <w:rsid w:val="00286AE7"/>
    <w:rsid w:val="0028704E"/>
    <w:rsid w:val="00287243"/>
    <w:rsid w:val="0028728E"/>
    <w:rsid w:val="00287741"/>
    <w:rsid w:val="0028797A"/>
    <w:rsid w:val="00287A91"/>
    <w:rsid w:val="002901A4"/>
    <w:rsid w:val="002901A9"/>
    <w:rsid w:val="00290647"/>
    <w:rsid w:val="00290745"/>
    <w:rsid w:val="00290872"/>
    <w:rsid w:val="00291385"/>
    <w:rsid w:val="00291413"/>
    <w:rsid w:val="00291422"/>
    <w:rsid w:val="00291482"/>
    <w:rsid w:val="00291A09"/>
    <w:rsid w:val="0029237F"/>
    <w:rsid w:val="00292575"/>
    <w:rsid w:val="002926E1"/>
    <w:rsid w:val="00292715"/>
    <w:rsid w:val="00292E38"/>
    <w:rsid w:val="00292F9D"/>
    <w:rsid w:val="002933EC"/>
    <w:rsid w:val="00293840"/>
    <w:rsid w:val="00293E57"/>
    <w:rsid w:val="00294116"/>
    <w:rsid w:val="002947D1"/>
    <w:rsid w:val="002948B3"/>
    <w:rsid w:val="002948DF"/>
    <w:rsid w:val="00294D3F"/>
    <w:rsid w:val="00294D90"/>
    <w:rsid w:val="00295018"/>
    <w:rsid w:val="00295208"/>
    <w:rsid w:val="0029526E"/>
    <w:rsid w:val="0029582E"/>
    <w:rsid w:val="00296123"/>
    <w:rsid w:val="0029662F"/>
    <w:rsid w:val="00296966"/>
    <w:rsid w:val="00296B35"/>
    <w:rsid w:val="00296B54"/>
    <w:rsid w:val="00296C56"/>
    <w:rsid w:val="00296C85"/>
    <w:rsid w:val="00296F40"/>
    <w:rsid w:val="0029715E"/>
    <w:rsid w:val="002971E7"/>
    <w:rsid w:val="002978A0"/>
    <w:rsid w:val="00297ACD"/>
    <w:rsid w:val="00297ED2"/>
    <w:rsid w:val="002A0045"/>
    <w:rsid w:val="002A0DFC"/>
    <w:rsid w:val="002A1421"/>
    <w:rsid w:val="002A1E92"/>
    <w:rsid w:val="002A204D"/>
    <w:rsid w:val="002A20B8"/>
    <w:rsid w:val="002A249C"/>
    <w:rsid w:val="002A2616"/>
    <w:rsid w:val="002A26E1"/>
    <w:rsid w:val="002A294F"/>
    <w:rsid w:val="002A2DA2"/>
    <w:rsid w:val="002A3122"/>
    <w:rsid w:val="002A368A"/>
    <w:rsid w:val="002A4065"/>
    <w:rsid w:val="002A4993"/>
    <w:rsid w:val="002A4D2C"/>
    <w:rsid w:val="002A50B1"/>
    <w:rsid w:val="002A59F0"/>
    <w:rsid w:val="002A5A0C"/>
    <w:rsid w:val="002A6152"/>
    <w:rsid w:val="002A62F3"/>
    <w:rsid w:val="002A6412"/>
    <w:rsid w:val="002A6432"/>
    <w:rsid w:val="002A6866"/>
    <w:rsid w:val="002A69A8"/>
    <w:rsid w:val="002A6EF1"/>
    <w:rsid w:val="002A6F25"/>
    <w:rsid w:val="002A6FD3"/>
    <w:rsid w:val="002A7625"/>
    <w:rsid w:val="002A789F"/>
    <w:rsid w:val="002A7C11"/>
    <w:rsid w:val="002B01AA"/>
    <w:rsid w:val="002B04E9"/>
    <w:rsid w:val="002B0A7D"/>
    <w:rsid w:val="002B0BD1"/>
    <w:rsid w:val="002B117E"/>
    <w:rsid w:val="002B127D"/>
    <w:rsid w:val="002B1A69"/>
    <w:rsid w:val="002B1D52"/>
    <w:rsid w:val="002B2723"/>
    <w:rsid w:val="002B2A4D"/>
    <w:rsid w:val="002B2DB3"/>
    <w:rsid w:val="002B303A"/>
    <w:rsid w:val="002B3920"/>
    <w:rsid w:val="002B3B46"/>
    <w:rsid w:val="002B4526"/>
    <w:rsid w:val="002B4588"/>
    <w:rsid w:val="002B4CE3"/>
    <w:rsid w:val="002B4E37"/>
    <w:rsid w:val="002B538E"/>
    <w:rsid w:val="002B54C5"/>
    <w:rsid w:val="002B573A"/>
    <w:rsid w:val="002B5DCA"/>
    <w:rsid w:val="002B5DE8"/>
    <w:rsid w:val="002B60BB"/>
    <w:rsid w:val="002B64AE"/>
    <w:rsid w:val="002B6BDC"/>
    <w:rsid w:val="002B724E"/>
    <w:rsid w:val="002B7348"/>
    <w:rsid w:val="002B738C"/>
    <w:rsid w:val="002B74C6"/>
    <w:rsid w:val="002B75B0"/>
    <w:rsid w:val="002B7E8A"/>
    <w:rsid w:val="002B7EAF"/>
    <w:rsid w:val="002C01B1"/>
    <w:rsid w:val="002C06D5"/>
    <w:rsid w:val="002C072C"/>
    <w:rsid w:val="002C091A"/>
    <w:rsid w:val="002C099C"/>
    <w:rsid w:val="002C0B74"/>
    <w:rsid w:val="002C0C8B"/>
    <w:rsid w:val="002C0CBB"/>
    <w:rsid w:val="002C1194"/>
    <w:rsid w:val="002C1201"/>
    <w:rsid w:val="002C1460"/>
    <w:rsid w:val="002C17D9"/>
    <w:rsid w:val="002C1856"/>
    <w:rsid w:val="002C196B"/>
    <w:rsid w:val="002C1977"/>
    <w:rsid w:val="002C20F2"/>
    <w:rsid w:val="002C2842"/>
    <w:rsid w:val="002C2DE8"/>
    <w:rsid w:val="002C2E4C"/>
    <w:rsid w:val="002C2F67"/>
    <w:rsid w:val="002C3271"/>
    <w:rsid w:val="002C38B2"/>
    <w:rsid w:val="002C3933"/>
    <w:rsid w:val="002C3D44"/>
    <w:rsid w:val="002C3F9C"/>
    <w:rsid w:val="002C429E"/>
    <w:rsid w:val="002C4BA0"/>
    <w:rsid w:val="002C4CDE"/>
    <w:rsid w:val="002C4D5D"/>
    <w:rsid w:val="002C4FCB"/>
    <w:rsid w:val="002C5AFA"/>
    <w:rsid w:val="002C5E8D"/>
    <w:rsid w:val="002C6496"/>
    <w:rsid w:val="002C6E8B"/>
    <w:rsid w:val="002C7193"/>
    <w:rsid w:val="002C778B"/>
    <w:rsid w:val="002C799B"/>
    <w:rsid w:val="002C79E9"/>
    <w:rsid w:val="002C7A94"/>
    <w:rsid w:val="002C7B06"/>
    <w:rsid w:val="002C7C73"/>
    <w:rsid w:val="002C7CCE"/>
    <w:rsid w:val="002D0439"/>
    <w:rsid w:val="002D0696"/>
    <w:rsid w:val="002D0F7B"/>
    <w:rsid w:val="002D11B7"/>
    <w:rsid w:val="002D156F"/>
    <w:rsid w:val="002D223F"/>
    <w:rsid w:val="002D285B"/>
    <w:rsid w:val="002D2A03"/>
    <w:rsid w:val="002D37A3"/>
    <w:rsid w:val="002D3BBC"/>
    <w:rsid w:val="002D438A"/>
    <w:rsid w:val="002D47CF"/>
    <w:rsid w:val="002D4DA0"/>
    <w:rsid w:val="002D4EF9"/>
    <w:rsid w:val="002D51A5"/>
    <w:rsid w:val="002D52BE"/>
    <w:rsid w:val="002D52CA"/>
    <w:rsid w:val="002D5738"/>
    <w:rsid w:val="002D58AC"/>
    <w:rsid w:val="002D5E53"/>
    <w:rsid w:val="002D615F"/>
    <w:rsid w:val="002D687B"/>
    <w:rsid w:val="002D6D95"/>
    <w:rsid w:val="002D7B72"/>
    <w:rsid w:val="002E0319"/>
    <w:rsid w:val="002E0435"/>
    <w:rsid w:val="002E0E0E"/>
    <w:rsid w:val="002E13A2"/>
    <w:rsid w:val="002E146A"/>
    <w:rsid w:val="002E179B"/>
    <w:rsid w:val="002E1A72"/>
    <w:rsid w:val="002E1C15"/>
    <w:rsid w:val="002E1C9E"/>
    <w:rsid w:val="002E1D35"/>
    <w:rsid w:val="002E205A"/>
    <w:rsid w:val="002E2185"/>
    <w:rsid w:val="002E257B"/>
    <w:rsid w:val="002E27E6"/>
    <w:rsid w:val="002E35D8"/>
    <w:rsid w:val="002E3C65"/>
    <w:rsid w:val="002E3F5B"/>
    <w:rsid w:val="002E4362"/>
    <w:rsid w:val="002E48D3"/>
    <w:rsid w:val="002E4C45"/>
    <w:rsid w:val="002E527F"/>
    <w:rsid w:val="002E5776"/>
    <w:rsid w:val="002E588A"/>
    <w:rsid w:val="002E59D9"/>
    <w:rsid w:val="002E63D9"/>
    <w:rsid w:val="002E640E"/>
    <w:rsid w:val="002E64F9"/>
    <w:rsid w:val="002E6644"/>
    <w:rsid w:val="002E69F7"/>
    <w:rsid w:val="002E6C84"/>
    <w:rsid w:val="002E6E7B"/>
    <w:rsid w:val="002E707C"/>
    <w:rsid w:val="002E70CC"/>
    <w:rsid w:val="002E7A3E"/>
    <w:rsid w:val="002E7AC7"/>
    <w:rsid w:val="002F063E"/>
    <w:rsid w:val="002F0C28"/>
    <w:rsid w:val="002F0FCF"/>
    <w:rsid w:val="002F16D2"/>
    <w:rsid w:val="002F1E0F"/>
    <w:rsid w:val="002F1F19"/>
    <w:rsid w:val="002F2A96"/>
    <w:rsid w:val="002F3364"/>
    <w:rsid w:val="002F35CD"/>
    <w:rsid w:val="002F3CDE"/>
    <w:rsid w:val="002F50F3"/>
    <w:rsid w:val="002F51FC"/>
    <w:rsid w:val="002F560B"/>
    <w:rsid w:val="002F5DD6"/>
    <w:rsid w:val="002F5FEA"/>
    <w:rsid w:val="002F63E7"/>
    <w:rsid w:val="002F66D9"/>
    <w:rsid w:val="002F7630"/>
    <w:rsid w:val="002F779E"/>
    <w:rsid w:val="002F788B"/>
    <w:rsid w:val="002F7914"/>
    <w:rsid w:val="002F7BE3"/>
    <w:rsid w:val="002F7E6A"/>
    <w:rsid w:val="00300165"/>
    <w:rsid w:val="00300BBE"/>
    <w:rsid w:val="003010CF"/>
    <w:rsid w:val="0030150B"/>
    <w:rsid w:val="0030172D"/>
    <w:rsid w:val="00302F68"/>
    <w:rsid w:val="00303440"/>
    <w:rsid w:val="00303476"/>
    <w:rsid w:val="00303C9D"/>
    <w:rsid w:val="00303F1D"/>
    <w:rsid w:val="00304D00"/>
    <w:rsid w:val="00304D9B"/>
    <w:rsid w:val="00305016"/>
    <w:rsid w:val="00305E12"/>
    <w:rsid w:val="00305FF9"/>
    <w:rsid w:val="0030695A"/>
    <w:rsid w:val="00306E6B"/>
    <w:rsid w:val="003076C7"/>
    <w:rsid w:val="0031005E"/>
    <w:rsid w:val="003100C8"/>
    <w:rsid w:val="003104C7"/>
    <w:rsid w:val="00310679"/>
    <w:rsid w:val="00311161"/>
    <w:rsid w:val="003113F8"/>
    <w:rsid w:val="0031156A"/>
    <w:rsid w:val="00312400"/>
    <w:rsid w:val="00312498"/>
    <w:rsid w:val="00312739"/>
    <w:rsid w:val="00312D10"/>
    <w:rsid w:val="003134CA"/>
    <w:rsid w:val="003137A9"/>
    <w:rsid w:val="003138AE"/>
    <w:rsid w:val="00315E9B"/>
    <w:rsid w:val="00315F3B"/>
    <w:rsid w:val="00316360"/>
    <w:rsid w:val="003169E2"/>
    <w:rsid w:val="0031725A"/>
    <w:rsid w:val="003178DA"/>
    <w:rsid w:val="00317D64"/>
    <w:rsid w:val="00317DB8"/>
    <w:rsid w:val="00317EA9"/>
    <w:rsid w:val="00320345"/>
    <w:rsid w:val="003203BC"/>
    <w:rsid w:val="00320618"/>
    <w:rsid w:val="003208D6"/>
    <w:rsid w:val="00320B60"/>
    <w:rsid w:val="0032100B"/>
    <w:rsid w:val="003210E3"/>
    <w:rsid w:val="0032172E"/>
    <w:rsid w:val="00321BD7"/>
    <w:rsid w:val="0032260F"/>
    <w:rsid w:val="003228DA"/>
    <w:rsid w:val="003230E6"/>
    <w:rsid w:val="00323239"/>
    <w:rsid w:val="00323558"/>
    <w:rsid w:val="00323793"/>
    <w:rsid w:val="00323D6B"/>
    <w:rsid w:val="00323D73"/>
    <w:rsid w:val="003242A9"/>
    <w:rsid w:val="00324881"/>
    <w:rsid w:val="003255FA"/>
    <w:rsid w:val="00325A4E"/>
    <w:rsid w:val="00326957"/>
    <w:rsid w:val="0032695D"/>
    <w:rsid w:val="00326AE2"/>
    <w:rsid w:val="00327346"/>
    <w:rsid w:val="00327841"/>
    <w:rsid w:val="003278F8"/>
    <w:rsid w:val="00327B9D"/>
    <w:rsid w:val="00330331"/>
    <w:rsid w:val="003309D4"/>
    <w:rsid w:val="00330ABB"/>
    <w:rsid w:val="00330E8B"/>
    <w:rsid w:val="00331073"/>
    <w:rsid w:val="00331426"/>
    <w:rsid w:val="00331486"/>
    <w:rsid w:val="0033169C"/>
    <w:rsid w:val="0033171D"/>
    <w:rsid w:val="0033178C"/>
    <w:rsid w:val="00331BEB"/>
    <w:rsid w:val="00331CD6"/>
    <w:rsid w:val="00331FC3"/>
    <w:rsid w:val="003325CE"/>
    <w:rsid w:val="00332B5F"/>
    <w:rsid w:val="00332FFB"/>
    <w:rsid w:val="00333656"/>
    <w:rsid w:val="0033368D"/>
    <w:rsid w:val="003336B3"/>
    <w:rsid w:val="00334136"/>
    <w:rsid w:val="0033436C"/>
    <w:rsid w:val="003346EE"/>
    <w:rsid w:val="00334E80"/>
    <w:rsid w:val="0033514F"/>
    <w:rsid w:val="003353C1"/>
    <w:rsid w:val="003355F9"/>
    <w:rsid w:val="00335826"/>
    <w:rsid w:val="00335920"/>
    <w:rsid w:val="00335B75"/>
    <w:rsid w:val="00335D8C"/>
    <w:rsid w:val="00335D9A"/>
    <w:rsid w:val="00336072"/>
    <w:rsid w:val="003363A1"/>
    <w:rsid w:val="00336C8C"/>
    <w:rsid w:val="00336D6B"/>
    <w:rsid w:val="00336F3A"/>
    <w:rsid w:val="00337601"/>
    <w:rsid w:val="00337D17"/>
    <w:rsid w:val="0034027C"/>
    <w:rsid w:val="00340D55"/>
    <w:rsid w:val="003417F4"/>
    <w:rsid w:val="00342235"/>
    <w:rsid w:val="0034226D"/>
    <w:rsid w:val="00342294"/>
    <w:rsid w:val="00342421"/>
    <w:rsid w:val="003427BF"/>
    <w:rsid w:val="00342949"/>
    <w:rsid w:val="00342972"/>
    <w:rsid w:val="00342B26"/>
    <w:rsid w:val="00342FDD"/>
    <w:rsid w:val="00343249"/>
    <w:rsid w:val="00343669"/>
    <w:rsid w:val="00343C50"/>
    <w:rsid w:val="00343EB7"/>
    <w:rsid w:val="0034429B"/>
    <w:rsid w:val="003447D7"/>
    <w:rsid w:val="00344866"/>
    <w:rsid w:val="00344E90"/>
    <w:rsid w:val="00344F07"/>
    <w:rsid w:val="00344F8C"/>
    <w:rsid w:val="0034502B"/>
    <w:rsid w:val="00345436"/>
    <w:rsid w:val="003455F1"/>
    <w:rsid w:val="00345924"/>
    <w:rsid w:val="00345968"/>
    <w:rsid w:val="00345BA2"/>
    <w:rsid w:val="00345BE5"/>
    <w:rsid w:val="0034638C"/>
    <w:rsid w:val="003463F8"/>
    <w:rsid w:val="00346852"/>
    <w:rsid w:val="00346B41"/>
    <w:rsid w:val="00346F7F"/>
    <w:rsid w:val="00347232"/>
    <w:rsid w:val="00350108"/>
    <w:rsid w:val="0035060C"/>
    <w:rsid w:val="00350762"/>
    <w:rsid w:val="003507C4"/>
    <w:rsid w:val="00351087"/>
    <w:rsid w:val="003511DB"/>
    <w:rsid w:val="003519A1"/>
    <w:rsid w:val="00352259"/>
    <w:rsid w:val="00352284"/>
    <w:rsid w:val="00352480"/>
    <w:rsid w:val="0035297D"/>
    <w:rsid w:val="00352F11"/>
    <w:rsid w:val="003530D2"/>
    <w:rsid w:val="00353106"/>
    <w:rsid w:val="0035331A"/>
    <w:rsid w:val="003534E1"/>
    <w:rsid w:val="0035440F"/>
    <w:rsid w:val="003548D8"/>
    <w:rsid w:val="003550C1"/>
    <w:rsid w:val="003554CA"/>
    <w:rsid w:val="00355B8A"/>
    <w:rsid w:val="00356455"/>
    <w:rsid w:val="00356C04"/>
    <w:rsid w:val="00356F93"/>
    <w:rsid w:val="00357350"/>
    <w:rsid w:val="0035772D"/>
    <w:rsid w:val="00357751"/>
    <w:rsid w:val="00357B03"/>
    <w:rsid w:val="00360232"/>
    <w:rsid w:val="003602E0"/>
    <w:rsid w:val="003604B7"/>
    <w:rsid w:val="003606BF"/>
    <w:rsid w:val="0036093A"/>
    <w:rsid w:val="00360D01"/>
    <w:rsid w:val="00360E36"/>
    <w:rsid w:val="00360F28"/>
    <w:rsid w:val="00361092"/>
    <w:rsid w:val="00361277"/>
    <w:rsid w:val="003614F3"/>
    <w:rsid w:val="00361E63"/>
    <w:rsid w:val="00362569"/>
    <w:rsid w:val="003629A8"/>
    <w:rsid w:val="003636CD"/>
    <w:rsid w:val="00363C16"/>
    <w:rsid w:val="00363F8E"/>
    <w:rsid w:val="0036453A"/>
    <w:rsid w:val="0036487C"/>
    <w:rsid w:val="00364BE8"/>
    <w:rsid w:val="00364FFA"/>
    <w:rsid w:val="003651AB"/>
    <w:rsid w:val="003651E1"/>
    <w:rsid w:val="00365411"/>
    <w:rsid w:val="00365467"/>
    <w:rsid w:val="00365763"/>
    <w:rsid w:val="00365FA2"/>
    <w:rsid w:val="00365FEE"/>
    <w:rsid w:val="0036620D"/>
    <w:rsid w:val="00366228"/>
    <w:rsid w:val="00366C69"/>
    <w:rsid w:val="00367384"/>
    <w:rsid w:val="00367441"/>
    <w:rsid w:val="00367925"/>
    <w:rsid w:val="003679CA"/>
    <w:rsid w:val="00367B1D"/>
    <w:rsid w:val="00370449"/>
    <w:rsid w:val="00370E4F"/>
    <w:rsid w:val="00371215"/>
    <w:rsid w:val="00371406"/>
    <w:rsid w:val="00371437"/>
    <w:rsid w:val="00371804"/>
    <w:rsid w:val="00372B96"/>
    <w:rsid w:val="00372F0D"/>
    <w:rsid w:val="00373E50"/>
    <w:rsid w:val="00374059"/>
    <w:rsid w:val="003740F6"/>
    <w:rsid w:val="003743CB"/>
    <w:rsid w:val="0037443B"/>
    <w:rsid w:val="003749AB"/>
    <w:rsid w:val="00374F0C"/>
    <w:rsid w:val="0037535B"/>
    <w:rsid w:val="00375446"/>
    <w:rsid w:val="00375448"/>
    <w:rsid w:val="0037552D"/>
    <w:rsid w:val="00375594"/>
    <w:rsid w:val="003755AC"/>
    <w:rsid w:val="003756DB"/>
    <w:rsid w:val="003768E6"/>
    <w:rsid w:val="00376C6E"/>
    <w:rsid w:val="00377043"/>
    <w:rsid w:val="003770BB"/>
    <w:rsid w:val="003771EE"/>
    <w:rsid w:val="0037771A"/>
    <w:rsid w:val="00377755"/>
    <w:rsid w:val="00377935"/>
    <w:rsid w:val="0038013B"/>
    <w:rsid w:val="003802DC"/>
    <w:rsid w:val="003809C3"/>
    <w:rsid w:val="00380E4E"/>
    <w:rsid w:val="00380EC2"/>
    <w:rsid w:val="00380FBF"/>
    <w:rsid w:val="00381992"/>
    <w:rsid w:val="00381B44"/>
    <w:rsid w:val="003822CE"/>
    <w:rsid w:val="003829A3"/>
    <w:rsid w:val="00382A43"/>
    <w:rsid w:val="00382D60"/>
    <w:rsid w:val="00382E74"/>
    <w:rsid w:val="00382F29"/>
    <w:rsid w:val="00383C8D"/>
    <w:rsid w:val="00383CB9"/>
    <w:rsid w:val="003848DE"/>
    <w:rsid w:val="00385002"/>
    <w:rsid w:val="003852FB"/>
    <w:rsid w:val="00385429"/>
    <w:rsid w:val="00385B05"/>
    <w:rsid w:val="00386382"/>
    <w:rsid w:val="003865EF"/>
    <w:rsid w:val="00386BA9"/>
    <w:rsid w:val="003871B0"/>
    <w:rsid w:val="00387309"/>
    <w:rsid w:val="003873DC"/>
    <w:rsid w:val="00387CC6"/>
    <w:rsid w:val="00390017"/>
    <w:rsid w:val="003901A3"/>
    <w:rsid w:val="003902E4"/>
    <w:rsid w:val="00390669"/>
    <w:rsid w:val="0039072F"/>
    <w:rsid w:val="00390D06"/>
    <w:rsid w:val="003910BF"/>
    <w:rsid w:val="00391D1B"/>
    <w:rsid w:val="00391F7C"/>
    <w:rsid w:val="00392C36"/>
    <w:rsid w:val="00393579"/>
    <w:rsid w:val="00394078"/>
    <w:rsid w:val="003940CE"/>
    <w:rsid w:val="00394309"/>
    <w:rsid w:val="00394953"/>
    <w:rsid w:val="00395A4A"/>
    <w:rsid w:val="00395ADA"/>
    <w:rsid w:val="00395DDA"/>
    <w:rsid w:val="00395EAE"/>
    <w:rsid w:val="00396006"/>
    <w:rsid w:val="0039655C"/>
    <w:rsid w:val="0039680C"/>
    <w:rsid w:val="00397C1D"/>
    <w:rsid w:val="003A0651"/>
    <w:rsid w:val="003A0DF2"/>
    <w:rsid w:val="003A180F"/>
    <w:rsid w:val="003A18DD"/>
    <w:rsid w:val="003A1CE3"/>
    <w:rsid w:val="003A1E32"/>
    <w:rsid w:val="003A1ED2"/>
    <w:rsid w:val="003A20C8"/>
    <w:rsid w:val="003A2C29"/>
    <w:rsid w:val="003A2E72"/>
    <w:rsid w:val="003A2EC3"/>
    <w:rsid w:val="003A36F2"/>
    <w:rsid w:val="003A3D39"/>
    <w:rsid w:val="003A3EC7"/>
    <w:rsid w:val="003A40B4"/>
    <w:rsid w:val="003A41C8"/>
    <w:rsid w:val="003A4684"/>
    <w:rsid w:val="003A49CD"/>
    <w:rsid w:val="003A5D12"/>
    <w:rsid w:val="003A5EF1"/>
    <w:rsid w:val="003A5F56"/>
    <w:rsid w:val="003A5FEB"/>
    <w:rsid w:val="003A6441"/>
    <w:rsid w:val="003A6D30"/>
    <w:rsid w:val="003A6DFE"/>
    <w:rsid w:val="003A720A"/>
    <w:rsid w:val="003A7834"/>
    <w:rsid w:val="003A7C21"/>
    <w:rsid w:val="003B0606"/>
    <w:rsid w:val="003B075E"/>
    <w:rsid w:val="003B0B5B"/>
    <w:rsid w:val="003B0E79"/>
    <w:rsid w:val="003B164C"/>
    <w:rsid w:val="003B1783"/>
    <w:rsid w:val="003B19A2"/>
    <w:rsid w:val="003B224C"/>
    <w:rsid w:val="003B2527"/>
    <w:rsid w:val="003B2D46"/>
    <w:rsid w:val="003B3349"/>
    <w:rsid w:val="003B3575"/>
    <w:rsid w:val="003B3E89"/>
    <w:rsid w:val="003B4AA2"/>
    <w:rsid w:val="003B4F2B"/>
    <w:rsid w:val="003B50BC"/>
    <w:rsid w:val="003B5122"/>
    <w:rsid w:val="003B5197"/>
    <w:rsid w:val="003B56B0"/>
    <w:rsid w:val="003B5D20"/>
    <w:rsid w:val="003B5D84"/>
    <w:rsid w:val="003B5D97"/>
    <w:rsid w:val="003B5F83"/>
    <w:rsid w:val="003B63A4"/>
    <w:rsid w:val="003B675C"/>
    <w:rsid w:val="003B68FE"/>
    <w:rsid w:val="003B6A61"/>
    <w:rsid w:val="003B6D7D"/>
    <w:rsid w:val="003B789B"/>
    <w:rsid w:val="003B7D7E"/>
    <w:rsid w:val="003B7E0A"/>
    <w:rsid w:val="003C0652"/>
    <w:rsid w:val="003C0740"/>
    <w:rsid w:val="003C08CF"/>
    <w:rsid w:val="003C1012"/>
    <w:rsid w:val="003C112F"/>
    <w:rsid w:val="003C113C"/>
    <w:rsid w:val="003C11C9"/>
    <w:rsid w:val="003C1229"/>
    <w:rsid w:val="003C13FA"/>
    <w:rsid w:val="003C1FD4"/>
    <w:rsid w:val="003C213D"/>
    <w:rsid w:val="003C2574"/>
    <w:rsid w:val="003C25AD"/>
    <w:rsid w:val="003C2D21"/>
    <w:rsid w:val="003C3BE6"/>
    <w:rsid w:val="003C3FE9"/>
    <w:rsid w:val="003C403D"/>
    <w:rsid w:val="003C57B6"/>
    <w:rsid w:val="003C5C77"/>
    <w:rsid w:val="003C5E6B"/>
    <w:rsid w:val="003C63B9"/>
    <w:rsid w:val="003C6458"/>
    <w:rsid w:val="003C7345"/>
    <w:rsid w:val="003C73FB"/>
    <w:rsid w:val="003C77F6"/>
    <w:rsid w:val="003C7A21"/>
    <w:rsid w:val="003C7AD7"/>
    <w:rsid w:val="003C7DDA"/>
    <w:rsid w:val="003C7DEE"/>
    <w:rsid w:val="003D0989"/>
    <w:rsid w:val="003D0FC3"/>
    <w:rsid w:val="003D10F5"/>
    <w:rsid w:val="003D12C8"/>
    <w:rsid w:val="003D1696"/>
    <w:rsid w:val="003D16C5"/>
    <w:rsid w:val="003D226B"/>
    <w:rsid w:val="003D2C1D"/>
    <w:rsid w:val="003D2C34"/>
    <w:rsid w:val="003D32AB"/>
    <w:rsid w:val="003D3538"/>
    <w:rsid w:val="003D3B3B"/>
    <w:rsid w:val="003D3D82"/>
    <w:rsid w:val="003D3DDD"/>
    <w:rsid w:val="003D4034"/>
    <w:rsid w:val="003D4811"/>
    <w:rsid w:val="003D4C46"/>
    <w:rsid w:val="003D4F4A"/>
    <w:rsid w:val="003D50A8"/>
    <w:rsid w:val="003D5291"/>
    <w:rsid w:val="003D52E0"/>
    <w:rsid w:val="003D556A"/>
    <w:rsid w:val="003D59DC"/>
    <w:rsid w:val="003D5BC9"/>
    <w:rsid w:val="003D5CBF"/>
    <w:rsid w:val="003D66D2"/>
    <w:rsid w:val="003D6915"/>
    <w:rsid w:val="003D6A44"/>
    <w:rsid w:val="003D6BC4"/>
    <w:rsid w:val="003D7048"/>
    <w:rsid w:val="003D777E"/>
    <w:rsid w:val="003D7A7C"/>
    <w:rsid w:val="003E0251"/>
    <w:rsid w:val="003E046C"/>
    <w:rsid w:val="003E0615"/>
    <w:rsid w:val="003E07AE"/>
    <w:rsid w:val="003E0F0E"/>
    <w:rsid w:val="003E0F7C"/>
    <w:rsid w:val="003E1093"/>
    <w:rsid w:val="003E1324"/>
    <w:rsid w:val="003E1384"/>
    <w:rsid w:val="003E14FC"/>
    <w:rsid w:val="003E18BB"/>
    <w:rsid w:val="003E1ADE"/>
    <w:rsid w:val="003E20B5"/>
    <w:rsid w:val="003E25C7"/>
    <w:rsid w:val="003E2976"/>
    <w:rsid w:val="003E3281"/>
    <w:rsid w:val="003E39F4"/>
    <w:rsid w:val="003E3A00"/>
    <w:rsid w:val="003E3A89"/>
    <w:rsid w:val="003E3EAC"/>
    <w:rsid w:val="003E43E9"/>
    <w:rsid w:val="003E46B0"/>
    <w:rsid w:val="003E4858"/>
    <w:rsid w:val="003E56F8"/>
    <w:rsid w:val="003E57A4"/>
    <w:rsid w:val="003E6316"/>
    <w:rsid w:val="003E6325"/>
    <w:rsid w:val="003E65C0"/>
    <w:rsid w:val="003E6884"/>
    <w:rsid w:val="003E6AC5"/>
    <w:rsid w:val="003E778F"/>
    <w:rsid w:val="003E7C1F"/>
    <w:rsid w:val="003F0096"/>
    <w:rsid w:val="003F0850"/>
    <w:rsid w:val="003F0930"/>
    <w:rsid w:val="003F0AF6"/>
    <w:rsid w:val="003F0C57"/>
    <w:rsid w:val="003F0D12"/>
    <w:rsid w:val="003F0D5C"/>
    <w:rsid w:val="003F1394"/>
    <w:rsid w:val="003F160C"/>
    <w:rsid w:val="003F1683"/>
    <w:rsid w:val="003F172D"/>
    <w:rsid w:val="003F1EE4"/>
    <w:rsid w:val="003F20D1"/>
    <w:rsid w:val="003F24CD"/>
    <w:rsid w:val="003F2B8E"/>
    <w:rsid w:val="003F324F"/>
    <w:rsid w:val="003F33BC"/>
    <w:rsid w:val="003F3815"/>
    <w:rsid w:val="003F3D4E"/>
    <w:rsid w:val="003F3ED5"/>
    <w:rsid w:val="003F477E"/>
    <w:rsid w:val="003F49B1"/>
    <w:rsid w:val="003F509A"/>
    <w:rsid w:val="003F5D1D"/>
    <w:rsid w:val="003F5D1F"/>
    <w:rsid w:val="003F67DD"/>
    <w:rsid w:val="003F6CD2"/>
    <w:rsid w:val="003F6EE7"/>
    <w:rsid w:val="003F788D"/>
    <w:rsid w:val="003F7A82"/>
    <w:rsid w:val="003F7E52"/>
    <w:rsid w:val="003F7F6A"/>
    <w:rsid w:val="00400935"/>
    <w:rsid w:val="00400CCC"/>
    <w:rsid w:val="0040126E"/>
    <w:rsid w:val="004020D4"/>
    <w:rsid w:val="004021B6"/>
    <w:rsid w:val="0040294C"/>
    <w:rsid w:val="00402DF3"/>
    <w:rsid w:val="00403334"/>
    <w:rsid w:val="004037EC"/>
    <w:rsid w:val="004037F0"/>
    <w:rsid w:val="00403858"/>
    <w:rsid w:val="00404263"/>
    <w:rsid w:val="0040451C"/>
    <w:rsid w:val="004047C4"/>
    <w:rsid w:val="004049C8"/>
    <w:rsid w:val="0040513E"/>
    <w:rsid w:val="0040570B"/>
    <w:rsid w:val="00405EDB"/>
    <w:rsid w:val="00405FB1"/>
    <w:rsid w:val="0040626B"/>
    <w:rsid w:val="004062AE"/>
    <w:rsid w:val="00406460"/>
    <w:rsid w:val="00406954"/>
    <w:rsid w:val="00406C68"/>
    <w:rsid w:val="00407589"/>
    <w:rsid w:val="00407DAF"/>
    <w:rsid w:val="004111DE"/>
    <w:rsid w:val="00411393"/>
    <w:rsid w:val="0041164F"/>
    <w:rsid w:val="00411D80"/>
    <w:rsid w:val="00412461"/>
    <w:rsid w:val="00412544"/>
    <w:rsid w:val="00412546"/>
    <w:rsid w:val="00412E5D"/>
    <w:rsid w:val="00412E9D"/>
    <w:rsid w:val="00413053"/>
    <w:rsid w:val="004130C6"/>
    <w:rsid w:val="0041319C"/>
    <w:rsid w:val="0041328C"/>
    <w:rsid w:val="004136D4"/>
    <w:rsid w:val="004137B6"/>
    <w:rsid w:val="00413A24"/>
    <w:rsid w:val="00413A54"/>
    <w:rsid w:val="00413C10"/>
    <w:rsid w:val="00413CD9"/>
    <w:rsid w:val="00413F9A"/>
    <w:rsid w:val="004140C1"/>
    <w:rsid w:val="004140CA"/>
    <w:rsid w:val="004146EE"/>
    <w:rsid w:val="00414755"/>
    <w:rsid w:val="00414C0C"/>
    <w:rsid w:val="00414C65"/>
    <w:rsid w:val="00415314"/>
    <w:rsid w:val="0041542C"/>
    <w:rsid w:val="00415537"/>
    <w:rsid w:val="004158EE"/>
    <w:rsid w:val="00415D76"/>
    <w:rsid w:val="00415EF5"/>
    <w:rsid w:val="00416665"/>
    <w:rsid w:val="00416705"/>
    <w:rsid w:val="00416856"/>
    <w:rsid w:val="004168D4"/>
    <w:rsid w:val="00416A67"/>
    <w:rsid w:val="00416ACB"/>
    <w:rsid w:val="004172C5"/>
    <w:rsid w:val="004174B6"/>
    <w:rsid w:val="00420850"/>
    <w:rsid w:val="00421561"/>
    <w:rsid w:val="00421C27"/>
    <w:rsid w:val="00421D5A"/>
    <w:rsid w:val="00421DCF"/>
    <w:rsid w:val="00422341"/>
    <w:rsid w:val="004223DE"/>
    <w:rsid w:val="00422E21"/>
    <w:rsid w:val="00422F06"/>
    <w:rsid w:val="00423641"/>
    <w:rsid w:val="004238B1"/>
    <w:rsid w:val="0042391E"/>
    <w:rsid w:val="00424011"/>
    <w:rsid w:val="00424019"/>
    <w:rsid w:val="004240D8"/>
    <w:rsid w:val="0042483D"/>
    <w:rsid w:val="00425465"/>
    <w:rsid w:val="00425DF9"/>
    <w:rsid w:val="00426266"/>
    <w:rsid w:val="0042633D"/>
    <w:rsid w:val="00426A06"/>
    <w:rsid w:val="00426C7D"/>
    <w:rsid w:val="0042744E"/>
    <w:rsid w:val="00427576"/>
    <w:rsid w:val="004275A9"/>
    <w:rsid w:val="00430514"/>
    <w:rsid w:val="00430A2D"/>
    <w:rsid w:val="004311F6"/>
    <w:rsid w:val="0043125E"/>
    <w:rsid w:val="00431505"/>
    <w:rsid w:val="00431AF0"/>
    <w:rsid w:val="0043213A"/>
    <w:rsid w:val="004330F4"/>
    <w:rsid w:val="00433480"/>
    <w:rsid w:val="00433590"/>
    <w:rsid w:val="004335C5"/>
    <w:rsid w:val="0043393D"/>
    <w:rsid w:val="004339DD"/>
    <w:rsid w:val="00433A8D"/>
    <w:rsid w:val="00434450"/>
    <w:rsid w:val="004344C7"/>
    <w:rsid w:val="00434BBA"/>
    <w:rsid w:val="00435274"/>
    <w:rsid w:val="004352AD"/>
    <w:rsid w:val="0043545D"/>
    <w:rsid w:val="0043557A"/>
    <w:rsid w:val="00435AE6"/>
    <w:rsid w:val="00435B7C"/>
    <w:rsid w:val="00435FE2"/>
    <w:rsid w:val="00436926"/>
    <w:rsid w:val="0043699B"/>
    <w:rsid w:val="00436CA9"/>
    <w:rsid w:val="00436E2F"/>
    <w:rsid w:val="00436EAB"/>
    <w:rsid w:val="00437014"/>
    <w:rsid w:val="00437068"/>
    <w:rsid w:val="0043782B"/>
    <w:rsid w:val="004402A9"/>
    <w:rsid w:val="00440449"/>
    <w:rsid w:val="00440D29"/>
    <w:rsid w:val="0044100A"/>
    <w:rsid w:val="00442858"/>
    <w:rsid w:val="00442932"/>
    <w:rsid w:val="004440EB"/>
    <w:rsid w:val="00444656"/>
    <w:rsid w:val="00444679"/>
    <w:rsid w:val="0044483D"/>
    <w:rsid w:val="00444969"/>
    <w:rsid w:val="00444B1B"/>
    <w:rsid w:val="004451B3"/>
    <w:rsid w:val="00445635"/>
    <w:rsid w:val="00445D37"/>
    <w:rsid w:val="004461D9"/>
    <w:rsid w:val="00446AC6"/>
    <w:rsid w:val="00446F90"/>
    <w:rsid w:val="0044757F"/>
    <w:rsid w:val="0044759B"/>
    <w:rsid w:val="00447A9B"/>
    <w:rsid w:val="00447F54"/>
    <w:rsid w:val="00447F6D"/>
    <w:rsid w:val="00450125"/>
    <w:rsid w:val="0045053D"/>
    <w:rsid w:val="0045078F"/>
    <w:rsid w:val="00450857"/>
    <w:rsid w:val="00450B30"/>
    <w:rsid w:val="00450B7E"/>
    <w:rsid w:val="00450FF0"/>
    <w:rsid w:val="0045136B"/>
    <w:rsid w:val="00451C7E"/>
    <w:rsid w:val="00451E5D"/>
    <w:rsid w:val="004523A4"/>
    <w:rsid w:val="0045285C"/>
    <w:rsid w:val="004529DC"/>
    <w:rsid w:val="004534E7"/>
    <w:rsid w:val="004536C3"/>
    <w:rsid w:val="00453B24"/>
    <w:rsid w:val="00453B54"/>
    <w:rsid w:val="00453BB6"/>
    <w:rsid w:val="00453BDC"/>
    <w:rsid w:val="00453CAA"/>
    <w:rsid w:val="00453F67"/>
    <w:rsid w:val="00455113"/>
    <w:rsid w:val="004551B1"/>
    <w:rsid w:val="00456421"/>
    <w:rsid w:val="00456974"/>
    <w:rsid w:val="00456DAB"/>
    <w:rsid w:val="004606F1"/>
    <w:rsid w:val="00460AE9"/>
    <w:rsid w:val="00460CC3"/>
    <w:rsid w:val="00460E86"/>
    <w:rsid w:val="00461DB7"/>
    <w:rsid w:val="00462320"/>
    <w:rsid w:val="004626DB"/>
    <w:rsid w:val="00462913"/>
    <w:rsid w:val="00462C0B"/>
    <w:rsid w:val="00462FBC"/>
    <w:rsid w:val="0046320A"/>
    <w:rsid w:val="0046341B"/>
    <w:rsid w:val="00463F5D"/>
    <w:rsid w:val="00463FA6"/>
    <w:rsid w:val="004641C7"/>
    <w:rsid w:val="004646B4"/>
    <w:rsid w:val="00464A88"/>
    <w:rsid w:val="00464CF7"/>
    <w:rsid w:val="004651A0"/>
    <w:rsid w:val="00466532"/>
    <w:rsid w:val="0046733D"/>
    <w:rsid w:val="00467488"/>
    <w:rsid w:val="004675C1"/>
    <w:rsid w:val="0047083E"/>
    <w:rsid w:val="00470EB5"/>
    <w:rsid w:val="004715C4"/>
    <w:rsid w:val="004722A4"/>
    <w:rsid w:val="0047286B"/>
    <w:rsid w:val="00472E27"/>
    <w:rsid w:val="004738D3"/>
    <w:rsid w:val="004738E5"/>
    <w:rsid w:val="00473D30"/>
    <w:rsid w:val="0047421A"/>
    <w:rsid w:val="00474220"/>
    <w:rsid w:val="004752D3"/>
    <w:rsid w:val="0047530F"/>
    <w:rsid w:val="004754E1"/>
    <w:rsid w:val="004757AE"/>
    <w:rsid w:val="00475CE0"/>
    <w:rsid w:val="00475FD1"/>
    <w:rsid w:val="004760EA"/>
    <w:rsid w:val="004761A9"/>
    <w:rsid w:val="00476827"/>
    <w:rsid w:val="00476AA8"/>
    <w:rsid w:val="00476BD4"/>
    <w:rsid w:val="00476E42"/>
    <w:rsid w:val="00477880"/>
    <w:rsid w:val="0047792F"/>
    <w:rsid w:val="00477C2C"/>
    <w:rsid w:val="00477C35"/>
    <w:rsid w:val="004803BB"/>
    <w:rsid w:val="004805F8"/>
    <w:rsid w:val="004805FB"/>
    <w:rsid w:val="00480705"/>
    <w:rsid w:val="00480988"/>
    <w:rsid w:val="00480E05"/>
    <w:rsid w:val="00482140"/>
    <w:rsid w:val="00482343"/>
    <w:rsid w:val="00482BBE"/>
    <w:rsid w:val="00482BC7"/>
    <w:rsid w:val="00482FD1"/>
    <w:rsid w:val="004833D0"/>
    <w:rsid w:val="00483A12"/>
    <w:rsid w:val="00483C05"/>
    <w:rsid w:val="00484363"/>
    <w:rsid w:val="004846A6"/>
    <w:rsid w:val="00484A77"/>
    <w:rsid w:val="00484D71"/>
    <w:rsid w:val="004850FA"/>
    <w:rsid w:val="0048540F"/>
    <w:rsid w:val="00485784"/>
    <w:rsid w:val="00485970"/>
    <w:rsid w:val="00485C0D"/>
    <w:rsid w:val="004861F1"/>
    <w:rsid w:val="00486575"/>
    <w:rsid w:val="004866D0"/>
    <w:rsid w:val="004867E8"/>
    <w:rsid w:val="00486936"/>
    <w:rsid w:val="00486C26"/>
    <w:rsid w:val="00490CCC"/>
    <w:rsid w:val="00490F4C"/>
    <w:rsid w:val="00491E60"/>
    <w:rsid w:val="00492361"/>
    <w:rsid w:val="0049303B"/>
    <w:rsid w:val="00493D1E"/>
    <w:rsid w:val="00494055"/>
    <w:rsid w:val="004940EF"/>
    <w:rsid w:val="00494242"/>
    <w:rsid w:val="00494324"/>
    <w:rsid w:val="00494981"/>
    <w:rsid w:val="004949F2"/>
    <w:rsid w:val="00494C70"/>
    <w:rsid w:val="00494E8E"/>
    <w:rsid w:val="004950A0"/>
    <w:rsid w:val="00495128"/>
    <w:rsid w:val="00495571"/>
    <w:rsid w:val="004955BC"/>
    <w:rsid w:val="00495642"/>
    <w:rsid w:val="00495D63"/>
    <w:rsid w:val="0049648F"/>
    <w:rsid w:val="00496606"/>
    <w:rsid w:val="00496774"/>
    <w:rsid w:val="00496C3F"/>
    <w:rsid w:val="00496C79"/>
    <w:rsid w:val="00496F05"/>
    <w:rsid w:val="00497370"/>
    <w:rsid w:val="004A0F39"/>
    <w:rsid w:val="004A1784"/>
    <w:rsid w:val="004A251F"/>
    <w:rsid w:val="004A2C40"/>
    <w:rsid w:val="004A2D79"/>
    <w:rsid w:val="004A3983"/>
    <w:rsid w:val="004A3BF1"/>
    <w:rsid w:val="004A3C3F"/>
    <w:rsid w:val="004A3CCC"/>
    <w:rsid w:val="004A3E42"/>
    <w:rsid w:val="004A3EC5"/>
    <w:rsid w:val="004A4715"/>
    <w:rsid w:val="004A4858"/>
    <w:rsid w:val="004A5046"/>
    <w:rsid w:val="004A5642"/>
    <w:rsid w:val="004A565E"/>
    <w:rsid w:val="004A5D11"/>
    <w:rsid w:val="004A5DF3"/>
    <w:rsid w:val="004A6134"/>
    <w:rsid w:val="004A6E02"/>
    <w:rsid w:val="004A7092"/>
    <w:rsid w:val="004B0B38"/>
    <w:rsid w:val="004B1954"/>
    <w:rsid w:val="004B259D"/>
    <w:rsid w:val="004B2CD4"/>
    <w:rsid w:val="004B2FE2"/>
    <w:rsid w:val="004B32A3"/>
    <w:rsid w:val="004B3972"/>
    <w:rsid w:val="004B4208"/>
    <w:rsid w:val="004B4779"/>
    <w:rsid w:val="004B49E6"/>
    <w:rsid w:val="004B4D69"/>
    <w:rsid w:val="004B4EEC"/>
    <w:rsid w:val="004B576A"/>
    <w:rsid w:val="004B5870"/>
    <w:rsid w:val="004B5B6F"/>
    <w:rsid w:val="004B5F9D"/>
    <w:rsid w:val="004B64FF"/>
    <w:rsid w:val="004B6B32"/>
    <w:rsid w:val="004B6DE3"/>
    <w:rsid w:val="004B7262"/>
    <w:rsid w:val="004B73E7"/>
    <w:rsid w:val="004B74B6"/>
    <w:rsid w:val="004B7701"/>
    <w:rsid w:val="004C0105"/>
    <w:rsid w:val="004C01A8"/>
    <w:rsid w:val="004C05C9"/>
    <w:rsid w:val="004C1174"/>
    <w:rsid w:val="004C1727"/>
    <w:rsid w:val="004C1840"/>
    <w:rsid w:val="004C1ABF"/>
    <w:rsid w:val="004C24C9"/>
    <w:rsid w:val="004C2654"/>
    <w:rsid w:val="004C2785"/>
    <w:rsid w:val="004C29F9"/>
    <w:rsid w:val="004C2FBA"/>
    <w:rsid w:val="004C31B6"/>
    <w:rsid w:val="004C48DE"/>
    <w:rsid w:val="004C4A00"/>
    <w:rsid w:val="004C4E3A"/>
    <w:rsid w:val="004C4F73"/>
    <w:rsid w:val="004C5319"/>
    <w:rsid w:val="004C621F"/>
    <w:rsid w:val="004C6545"/>
    <w:rsid w:val="004C68C7"/>
    <w:rsid w:val="004C77D9"/>
    <w:rsid w:val="004C7948"/>
    <w:rsid w:val="004C7B8B"/>
    <w:rsid w:val="004C7BB8"/>
    <w:rsid w:val="004C7C56"/>
    <w:rsid w:val="004C7C60"/>
    <w:rsid w:val="004D058E"/>
    <w:rsid w:val="004D087F"/>
    <w:rsid w:val="004D0DFE"/>
    <w:rsid w:val="004D10E4"/>
    <w:rsid w:val="004D1C20"/>
    <w:rsid w:val="004D1CDD"/>
    <w:rsid w:val="004D1D91"/>
    <w:rsid w:val="004D22C3"/>
    <w:rsid w:val="004D29F9"/>
    <w:rsid w:val="004D3F49"/>
    <w:rsid w:val="004D4894"/>
    <w:rsid w:val="004D5168"/>
    <w:rsid w:val="004D5B8B"/>
    <w:rsid w:val="004D6B64"/>
    <w:rsid w:val="004D6BBB"/>
    <w:rsid w:val="004D6F4D"/>
    <w:rsid w:val="004D6F95"/>
    <w:rsid w:val="004D70BD"/>
    <w:rsid w:val="004D72FE"/>
    <w:rsid w:val="004D74C7"/>
    <w:rsid w:val="004D7E91"/>
    <w:rsid w:val="004E003A"/>
    <w:rsid w:val="004E0141"/>
    <w:rsid w:val="004E06ED"/>
    <w:rsid w:val="004E0768"/>
    <w:rsid w:val="004E0FBE"/>
    <w:rsid w:val="004E19F5"/>
    <w:rsid w:val="004E1A31"/>
    <w:rsid w:val="004E1D34"/>
    <w:rsid w:val="004E1D5B"/>
    <w:rsid w:val="004E2899"/>
    <w:rsid w:val="004E2DE0"/>
    <w:rsid w:val="004E328D"/>
    <w:rsid w:val="004E3474"/>
    <w:rsid w:val="004E36F2"/>
    <w:rsid w:val="004E3C1F"/>
    <w:rsid w:val="004E3CB3"/>
    <w:rsid w:val="004E3D73"/>
    <w:rsid w:val="004E4060"/>
    <w:rsid w:val="004E409A"/>
    <w:rsid w:val="004E4356"/>
    <w:rsid w:val="004E438A"/>
    <w:rsid w:val="004E4697"/>
    <w:rsid w:val="004E4A79"/>
    <w:rsid w:val="004E4B8B"/>
    <w:rsid w:val="004E5277"/>
    <w:rsid w:val="004E53E3"/>
    <w:rsid w:val="004E5F33"/>
    <w:rsid w:val="004E62D7"/>
    <w:rsid w:val="004E652C"/>
    <w:rsid w:val="004E6742"/>
    <w:rsid w:val="004E73D7"/>
    <w:rsid w:val="004E79D9"/>
    <w:rsid w:val="004E7EF7"/>
    <w:rsid w:val="004F022C"/>
    <w:rsid w:val="004F0258"/>
    <w:rsid w:val="004F0FB9"/>
    <w:rsid w:val="004F1545"/>
    <w:rsid w:val="004F19E3"/>
    <w:rsid w:val="004F2097"/>
    <w:rsid w:val="004F2F7E"/>
    <w:rsid w:val="004F310E"/>
    <w:rsid w:val="004F32B5"/>
    <w:rsid w:val="004F3A05"/>
    <w:rsid w:val="004F3C2C"/>
    <w:rsid w:val="004F3EFA"/>
    <w:rsid w:val="004F407E"/>
    <w:rsid w:val="004F5479"/>
    <w:rsid w:val="004F562F"/>
    <w:rsid w:val="004F6541"/>
    <w:rsid w:val="004F6AC6"/>
    <w:rsid w:val="004F7528"/>
    <w:rsid w:val="004F75ED"/>
    <w:rsid w:val="004F75F7"/>
    <w:rsid w:val="004F7B0D"/>
    <w:rsid w:val="004F7BCA"/>
    <w:rsid w:val="004F7D0E"/>
    <w:rsid w:val="004F7D89"/>
    <w:rsid w:val="005002E4"/>
    <w:rsid w:val="00500720"/>
    <w:rsid w:val="00500B49"/>
    <w:rsid w:val="00500B90"/>
    <w:rsid w:val="00500E38"/>
    <w:rsid w:val="00501968"/>
    <w:rsid w:val="00501981"/>
    <w:rsid w:val="00501A85"/>
    <w:rsid w:val="00501BB3"/>
    <w:rsid w:val="00501FDD"/>
    <w:rsid w:val="005021DD"/>
    <w:rsid w:val="00502485"/>
    <w:rsid w:val="005026CA"/>
    <w:rsid w:val="00502B72"/>
    <w:rsid w:val="00503596"/>
    <w:rsid w:val="00503F99"/>
    <w:rsid w:val="00504202"/>
    <w:rsid w:val="00504460"/>
    <w:rsid w:val="00504B95"/>
    <w:rsid w:val="00504BC1"/>
    <w:rsid w:val="0050502B"/>
    <w:rsid w:val="00505134"/>
    <w:rsid w:val="00505C04"/>
    <w:rsid w:val="005063F7"/>
    <w:rsid w:val="0050707C"/>
    <w:rsid w:val="00507471"/>
    <w:rsid w:val="0051082C"/>
    <w:rsid w:val="0051086F"/>
    <w:rsid w:val="00510BFF"/>
    <w:rsid w:val="00511F15"/>
    <w:rsid w:val="00511F4F"/>
    <w:rsid w:val="00512143"/>
    <w:rsid w:val="00512545"/>
    <w:rsid w:val="005127C7"/>
    <w:rsid w:val="005130B9"/>
    <w:rsid w:val="0051318C"/>
    <w:rsid w:val="005134E9"/>
    <w:rsid w:val="00513AE4"/>
    <w:rsid w:val="00513E18"/>
    <w:rsid w:val="0051407B"/>
    <w:rsid w:val="00514184"/>
    <w:rsid w:val="005142CD"/>
    <w:rsid w:val="005143C9"/>
    <w:rsid w:val="00514465"/>
    <w:rsid w:val="00514946"/>
    <w:rsid w:val="0051549B"/>
    <w:rsid w:val="005155BA"/>
    <w:rsid w:val="00515642"/>
    <w:rsid w:val="00515748"/>
    <w:rsid w:val="005157A9"/>
    <w:rsid w:val="0051590A"/>
    <w:rsid w:val="00515BE6"/>
    <w:rsid w:val="00515EAA"/>
    <w:rsid w:val="005166DF"/>
    <w:rsid w:val="0051686B"/>
    <w:rsid w:val="00516A22"/>
    <w:rsid w:val="00516C9D"/>
    <w:rsid w:val="00516DB8"/>
    <w:rsid w:val="005173A7"/>
    <w:rsid w:val="005177E1"/>
    <w:rsid w:val="0052022D"/>
    <w:rsid w:val="00520B77"/>
    <w:rsid w:val="00520BD5"/>
    <w:rsid w:val="00520C0A"/>
    <w:rsid w:val="005214B5"/>
    <w:rsid w:val="0052171B"/>
    <w:rsid w:val="005218B6"/>
    <w:rsid w:val="005218D6"/>
    <w:rsid w:val="00521BE4"/>
    <w:rsid w:val="00522589"/>
    <w:rsid w:val="00522626"/>
    <w:rsid w:val="00522F77"/>
    <w:rsid w:val="0052409E"/>
    <w:rsid w:val="00524545"/>
    <w:rsid w:val="0052559C"/>
    <w:rsid w:val="005255BF"/>
    <w:rsid w:val="005257DE"/>
    <w:rsid w:val="0052630F"/>
    <w:rsid w:val="0052715E"/>
    <w:rsid w:val="00527200"/>
    <w:rsid w:val="0052735D"/>
    <w:rsid w:val="00527919"/>
    <w:rsid w:val="00527D1E"/>
    <w:rsid w:val="00530157"/>
    <w:rsid w:val="005305A7"/>
    <w:rsid w:val="005305AF"/>
    <w:rsid w:val="005308B6"/>
    <w:rsid w:val="00530B9C"/>
    <w:rsid w:val="00530F3C"/>
    <w:rsid w:val="0053145A"/>
    <w:rsid w:val="00531765"/>
    <w:rsid w:val="00531A0A"/>
    <w:rsid w:val="00531C39"/>
    <w:rsid w:val="00531EBE"/>
    <w:rsid w:val="00532200"/>
    <w:rsid w:val="005324A4"/>
    <w:rsid w:val="0053270E"/>
    <w:rsid w:val="00532F1D"/>
    <w:rsid w:val="00532F8B"/>
    <w:rsid w:val="00533737"/>
    <w:rsid w:val="005337FA"/>
    <w:rsid w:val="00533838"/>
    <w:rsid w:val="005339CC"/>
    <w:rsid w:val="00533FD1"/>
    <w:rsid w:val="00534D4E"/>
    <w:rsid w:val="00534FDE"/>
    <w:rsid w:val="00535030"/>
    <w:rsid w:val="005352E7"/>
    <w:rsid w:val="00535550"/>
    <w:rsid w:val="0053556F"/>
    <w:rsid w:val="00535936"/>
    <w:rsid w:val="00535B79"/>
    <w:rsid w:val="00535D7C"/>
    <w:rsid w:val="00536561"/>
    <w:rsid w:val="00536579"/>
    <w:rsid w:val="00536C1E"/>
    <w:rsid w:val="00537049"/>
    <w:rsid w:val="005372DA"/>
    <w:rsid w:val="005375D6"/>
    <w:rsid w:val="005379DD"/>
    <w:rsid w:val="00537BD2"/>
    <w:rsid w:val="00537D9B"/>
    <w:rsid w:val="00537E2A"/>
    <w:rsid w:val="00537F69"/>
    <w:rsid w:val="00540C13"/>
    <w:rsid w:val="00540CDF"/>
    <w:rsid w:val="005412FA"/>
    <w:rsid w:val="00541480"/>
    <w:rsid w:val="005419F5"/>
    <w:rsid w:val="00541D0C"/>
    <w:rsid w:val="00542398"/>
    <w:rsid w:val="0054330D"/>
    <w:rsid w:val="00543320"/>
    <w:rsid w:val="0054343A"/>
    <w:rsid w:val="00543974"/>
    <w:rsid w:val="00543EBF"/>
    <w:rsid w:val="00544570"/>
    <w:rsid w:val="00544ABA"/>
    <w:rsid w:val="00544D89"/>
    <w:rsid w:val="00544FE5"/>
    <w:rsid w:val="00545284"/>
    <w:rsid w:val="0054593A"/>
    <w:rsid w:val="00545D85"/>
    <w:rsid w:val="00545E88"/>
    <w:rsid w:val="005467FB"/>
    <w:rsid w:val="00546AE9"/>
    <w:rsid w:val="00546FA9"/>
    <w:rsid w:val="00547395"/>
    <w:rsid w:val="00547649"/>
    <w:rsid w:val="0054780D"/>
    <w:rsid w:val="00547989"/>
    <w:rsid w:val="00547DD1"/>
    <w:rsid w:val="00550940"/>
    <w:rsid w:val="00551320"/>
    <w:rsid w:val="005518A4"/>
    <w:rsid w:val="00551DD8"/>
    <w:rsid w:val="00551E62"/>
    <w:rsid w:val="00551F1B"/>
    <w:rsid w:val="00552768"/>
    <w:rsid w:val="00552896"/>
    <w:rsid w:val="00552935"/>
    <w:rsid w:val="00552D8C"/>
    <w:rsid w:val="00553127"/>
    <w:rsid w:val="005532E1"/>
    <w:rsid w:val="0055379F"/>
    <w:rsid w:val="005537D5"/>
    <w:rsid w:val="00553A42"/>
    <w:rsid w:val="00554BE7"/>
    <w:rsid w:val="005554FD"/>
    <w:rsid w:val="005556FF"/>
    <w:rsid w:val="0055576E"/>
    <w:rsid w:val="005559A3"/>
    <w:rsid w:val="00555A1B"/>
    <w:rsid w:val="00555F23"/>
    <w:rsid w:val="00556094"/>
    <w:rsid w:val="00556922"/>
    <w:rsid w:val="00556D68"/>
    <w:rsid w:val="00557173"/>
    <w:rsid w:val="00557636"/>
    <w:rsid w:val="005576A1"/>
    <w:rsid w:val="00557978"/>
    <w:rsid w:val="00557985"/>
    <w:rsid w:val="00557A64"/>
    <w:rsid w:val="005605C0"/>
    <w:rsid w:val="00560755"/>
    <w:rsid w:val="00560D23"/>
    <w:rsid w:val="005613B6"/>
    <w:rsid w:val="005615D8"/>
    <w:rsid w:val="00561B38"/>
    <w:rsid w:val="005623CF"/>
    <w:rsid w:val="005626D6"/>
    <w:rsid w:val="00563189"/>
    <w:rsid w:val="00563331"/>
    <w:rsid w:val="005638AD"/>
    <w:rsid w:val="005638D4"/>
    <w:rsid w:val="005639A8"/>
    <w:rsid w:val="00563D1D"/>
    <w:rsid w:val="00563DB7"/>
    <w:rsid w:val="00564092"/>
    <w:rsid w:val="00564471"/>
    <w:rsid w:val="00564F56"/>
    <w:rsid w:val="00564F58"/>
    <w:rsid w:val="0056526D"/>
    <w:rsid w:val="00565392"/>
    <w:rsid w:val="005656ED"/>
    <w:rsid w:val="00565A5C"/>
    <w:rsid w:val="00565F74"/>
    <w:rsid w:val="00566544"/>
    <w:rsid w:val="00566608"/>
    <w:rsid w:val="005668E4"/>
    <w:rsid w:val="005669E8"/>
    <w:rsid w:val="00566C83"/>
    <w:rsid w:val="005700FE"/>
    <w:rsid w:val="0057064D"/>
    <w:rsid w:val="0057088B"/>
    <w:rsid w:val="00570A72"/>
    <w:rsid w:val="00570B68"/>
    <w:rsid w:val="00570E24"/>
    <w:rsid w:val="0057168A"/>
    <w:rsid w:val="00571797"/>
    <w:rsid w:val="00571AB4"/>
    <w:rsid w:val="00572491"/>
    <w:rsid w:val="00572760"/>
    <w:rsid w:val="00572D52"/>
    <w:rsid w:val="00573417"/>
    <w:rsid w:val="00573644"/>
    <w:rsid w:val="00573AFC"/>
    <w:rsid w:val="00573CB0"/>
    <w:rsid w:val="00573CC8"/>
    <w:rsid w:val="005743DE"/>
    <w:rsid w:val="005749A8"/>
    <w:rsid w:val="00574C23"/>
    <w:rsid w:val="00574D59"/>
    <w:rsid w:val="00574F3F"/>
    <w:rsid w:val="005753C2"/>
    <w:rsid w:val="0057562C"/>
    <w:rsid w:val="005759F6"/>
    <w:rsid w:val="00575E3E"/>
    <w:rsid w:val="00576234"/>
    <w:rsid w:val="005765F5"/>
    <w:rsid w:val="005769FB"/>
    <w:rsid w:val="00576CD6"/>
    <w:rsid w:val="00576D6C"/>
    <w:rsid w:val="00577301"/>
    <w:rsid w:val="00577365"/>
    <w:rsid w:val="005773AA"/>
    <w:rsid w:val="00577404"/>
    <w:rsid w:val="00577A2E"/>
    <w:rsid w:val="00577BCA"/>
    <w:rsid w:val="00580403"/>
    <w:rsid w:val="00580470"/>
    <w:rsid w:val="0058048B"/>
    <w:rsid w:val="00580A2A"/>
    <w:rsid w:val="00580E48"/>
    <w:rsid w:val="00580F0A"/>
    <w:rsid w:val="0058120A"/>
    <w:rsid w:val="00581246"/>
    <w:rsid w:val="005813E7"/>
    <w:rsid w:val="00582041"/>
    <w:rsid w:val="00582953"/>
    <w:rsid w:val="00582C29"/>
    <w:rsid w:val="00582C3A"/>
    <w:rsid w:val="00582CDD"/>
    <w:rsid w:val="00582DBC"/>
    <w:rsid w:val="00582E1A"/>
    <w:rsid w:val="00583078"/>
    <w:rsid w:val="00583113"/>
    <w:rsid w:val="00583133"/>
    <w:rsid w:val="00583147"/>
    <w:rsid w:val="00583505"/>
    <w:rsid w:val="005837AB"/>
    <w:rsid w:val="00583A9B"/>
    <w:rsid w:val="00583B4E"/>
    <w:rsid w:val="00584159"/>
    <w:rsid w:val="00584416"/>
    <w:rsid w:val="00584B39"/>
    <w:rsid w:val="00584F3F"/>
    <w:rsid w:val="00585028"/>
    <w:rsid w:val="0058516C"/>
    <w:rsid w:val="005854D1"/>
    <w:rsid w:val="0058554B"/>
    <w:rsid w:val="0058581D"/>
    <w:rsid w:val="00585F5B"/>
    <w:rsid w:val="00586097"/>
    <w:rsid w:val="0058619F"/>
    <w:rsid w:val="0058620A"/>
    <w:rsid w:val="00586D13"/>
    <w:rsid w:val="00587052"/>
    <w:rsid w:val="005876A1"/>
    <w:rsid w:val="00587771"/>
    <w:rsid w:val="005878B9"/>
    <w:rsid w:val="00587FC0"/>
    <w:rsid w:val="005906AD"/>
    <w:rsid w:val="00590B9A"/>
    <w:rsid w:val="00590DA6"/>
    <w:rsid w:val="005913F0"/>
    <w:rsid w:val="00591655"/>
    <w:rsid w:val="005917EF"/>
    <w:rsid w:val="00591A1A"/>
    <w:rsid w:val="00591C7D"/>
    <w:rsid w:val="00591F98"/>
    <w:rsid w:val="00592522"/>
    <w:rsid w:val="005925DA"/>
    <w:rsid w:val="0059260B"/>
    <w:rsid w:val="0059281B"/>
    <w:rsid w:val="00592B03"/>
    <w:rsid w:val="00592E6B"/>
    <w:rsid w:val="0059315B"/>
    <w:rsid w:val="0059322E"/>
    <w:rsid w:val="005934F5"/>
    <w:rsid w:val="005937F0"/>
    <w:rsid w:val="00593AB9"/>
    <w:rsid w:val="00593BC8"/>
    <w:rsid w:val="00593D30"/>
    <w:rsid w:val="0059489C"/>
    <w:rsid w:val="00594ABB"/>
    <w:rsid w:val="00594D1C"/>
    <w:rsid w:val="00594D4E"/>
    <w:rsid w:val="00594E36"/>
    <w:rsid w:val="00594F0A"/>
    <w:rsid w:val="0059525E"/>
    <w:rsid w:val="00595351"/>
    <w:rsid w:val="0059551C"/>
    <w:rsid w:val="00595529"/>
    <w:rsid w:val="005955FC"/>
    <w:rsid w:val="00595887"/>
    <w:rsid w:val="00595E03"/>
    <w:rsid w:val="005960BC"/>
    <w:rsid w:val="005961F7"/>
    <w:rsid w:val="00596713"/>
    <w:rsid w:val="00596B9C"/>
    <w:rsid w:val="00596C17"/>
    <w:rsid w:val="00597064"/>
    <w:rsid w:val="0059736B"/>
    <w:rsid w:val="005973C2"/>
    <w:rsid w:val="005976C6"/>
    <w:rsid w:val="00597DF3"/>
    <w:rsid w:val="005A0091"/>
    <w:rsid w:val="005A01BA"/>
    <w:rsid w:val="005A022B"/>
    <w:rsid w:val="005A04FE"/>
    <w:rsid w:val="005A054D"/>
    <w:rsid w:val="005A0978"/>
    <w:rsid w:val="005A0A46"/>
    <w:rsid w:val="005A0AD9"/>
    <w:rsid w:val="005A0C92"/>
    <w:rsid w:val="005A0F02"/>
    <w:rsid w:val="005A10B9"/>
    <w:rsid w:val="005A11EA"/>
    <w:rsid w:val="005A1926"/>
    <w:rsid w:val="005A1E90"/>
    <w:rsid w:val="005A262D"/>
    <w:rsid w:val="005A269F"/>
    <w:rsid w:val="005A2AC4"/>
    <w:rsid w:val="005A2E9D"/>
    <w:rsid w:val="005A305E"/>
    <w:rsid w:val="005A30BB"/>
    <w:rsid w:val="005A3439"/>
    <w:rsid w:val="005A363C"/>
    <w:rsid w:val="005A3887"/>
    <w:rsid w:val="005A4941"/>
    <w:rsid w:val="005A49BC"/>
    <w:rsid w:val="005A5485"/>
    <w:rsid w:val="005A5551"/>
    <w:rsid w:val="005A59E3"/>
    <w:rsid w:val="005A5C16"/>
    <w:rsid w:val="005A5EDC"/>
    <w:rsid w:val="005A6651"/>
    <w:rsid w:val="005A66EE"/>
    <w:rsid w:val="005A688D"/>
    <w:rsid w:val="005A693F"/>
    <w:rsid w:val="005A69A7"/>
    <w:rsid w:val="005A751B"/>
    <w:rsid w:val="005A766D"/>
    <w:rsid w:val="005A7701"/>
    <w:rsid w:val="005A7927"/>
    <w:rsid w:val="005A7DAE"/>
    <w:rsid w:val="005A7DD0"/>
    <w:rsid w:val="005B0542"/>
    <w:rsid w:val="005B06F5"/>
    <w:rsid w:val="005B0982"/>
    <w:rsid w:val="005B1346"/>
    <w:rsid w:val="005B13A3"/>
    <w:rsid w:val="005B1AA6"/>
    <w:rsid w:val="005B1BF3"/>
    <w:rsid w:val="005B2212"/>
    <w:rsid w:val="005B2225"/>
    <w:rsid w:val="005B24AF"/>
    <w:rsid w:val="005B2713"/>
    <w:rsid w:val="005B2799"/>
    <w:rsid w:val="005B2B77"/>
    <w:rsid w:val="005B340E"/>
    <w:rsid w:val="005B3593"/>
    <w:rsid w:val="005B36B8"/>
    <w:rsid w:val="005B39AC"/>
    <w:rsid w:val="005B3D4A"/>
    <w:rsid w:val="005B4056"/>
    <w:rsid w:val="005B458F"/>
    <w:rsid w:val="005B48A3"/>
    <w:rsid w:val="005B4B6B"/>
    <w:rsid w:val="005B4D87"/>
    <w:rsid w:val="005B4FEA"/>
    <w:rsid w:val="005B6119"/>
    <w:rsid w:val="005B690B"/>
    <w:rsid w:val="005B73CA"/>
    <w:rsid w:val="005B742E"/>
    <w:rsid w:val="005B78F0"/>
    <w:rsid w:val="005B7DD1"/>
    <w:rsid w:val="005B7F16"/>
    <w:rsid w:val="005B7FCC"/>
    <w:rsid w:val="005C00A0"/>
    <w:rsid w:val="005C00D8"/>
    <w:rsid w:val="005C0100"/>
    <w:rsid w:val="005C28FA"/>
    <w:rsid w:val="005C2BEA"/>
    <w:rsid w:val="005C390F"/>
    <w:rsid w:val="005C40F4"/>
    <w:rsid w:val="005C4201"/>
    <w:rsid w:val="005C43BE"/>
    <w:rsid w:val="005C44F3"/>
    <w:rsid w:val="005C4946"/>
    <w:rsid w:val="005C4A2C"/>
    <w:rsid w:val="005C4B87"/>
    <w:rsid w:val="005C52AF"/>
    <w:rsid w:val="005C5777"/>
    <w:rsid w:val="005C5944"/>
    <w:rsid w:val="005C59CE"/>
    <w:rsid w:val="005C6BD2"/>
    <w:rsid w:val="005C6E0D"/>
    <w:rsid w:val="005C7051"/>
    <w:rsid w:val="005C712D"/>
    <w:rsid w:val="005C75DB"/>
    <w:rsid w:val="005C7A7C"/>
    <w:rsid w:val="005C7C75"/>
    <w:rsid w:val="005D010D"/>
    <w:rsid w:val="005D0117"/>
    <w:rsid w:val="005D0CBF"/>
    <w:rsid w:val="005D0E4F"/>
    <w:rsid w:val="005D1E32"/>
    <w:rsid w:val="005D206B"/>
    <w:rsid w:val="005D22B7"/>
    <w:rsid w:val="005D263C"/>
    <w:rsid w:val="005D2BCF"/>
    <w:rsid w:val="005D2BDE"/>
    <w:rsid w:val="005D2D1F"/>
    <w:rsid w:val="005D37DE"/>
    <w:rsid w:val="005D38A5"/>
    <w:rsid w:val="005D3D76"/>
    <w:rsid w:val="005D3F4F"/>
    <w:rsid w:val="005D4578"/>
    <w:rsid w:val="005D4BF4"/>
    <w:rsid w:val="005D4EFA"/>
    <w:rsid w:val="005D4FEA"/>
    <w:rsid w:val="005D55BA"/>
    <w:rsid w:val="005D577C"/>
    <w:rsid w:val="005D598A"/>
    <w:rsid w:val="005D5ADB"/>
    <w:rsid w:val="005D5DD0"/>
    <w:rsid w:val="005D648A"/>
    <w:rsid w:val="005D670D"/>
    <w:rsid w:val="005D6A84"/>
    <w:rsid w:val="005D7088"/>
    <w:rsid w:val="005D7416"/>
    <w:rsid w:val="005D7E0D"/>
    <w:rsid w:val="005E0795"/>
    <w:rsid w:val="005E133B"/>
    <w:rsid w:val="005E167E"/>
    <w:rsid w:val="005E1A4D"/>
    <w:rsid w:val="005E1A50"/>
    <w:rsid w:val="005E1DBD"/>
    <w:rsid w:val="005E234A"/>
    <w:rsid w:val="005E2619"/>
    <w:rsid w:val="005E2AA3"/>
    <w:rsid w:val="005E35CC"/>
    <w:rsid w:val="005E371E"/>
    <w:rsid w:val="005E382A"/>
    <w:rsid w:val="005E4308"/>
    <w:rsid w:val="005E49AC"/>
    <w:rsid w:val="005E4E18"/>
    <w:rsid w:val="005E5349"/>
    <w:rsid w:val="005E53F9"/>
    <w:rsid w:val="005E55BF"/>
    <w:rsid w:val="005E5F24"/>
    <w:rsid w:val="005E5F90"/>
    <w:rsid w:val="005E6148"/>
    <w:rsid w:val="005E659B"/>
    <w:rsid w:val="005E664F"/>
    <w:rsid w:val="005E68D6"/>
    <w:rsid w:val="005E6BE7"/>
    <w:rsid w:val="005E7129"/>
    <w:rsid w:val="005E7228"/>
    <w:rsid w:val="005E7402"/>
    <w:rsid w:val="005E775D"/>
    <w:rsid w:val="005E77B8"/>
    <w:rsid w:val="005E799A"/>
    <w:rsid w:val="005E7FC0"/>
    <w:rsid w:val="005F0315"/>
    <w:rsid w:val="005F0413"/>
    <w:rsid w:val="005F0A43"/>
    <w:rsid w:val="005F0D9E"/>
    <w:rsid w:val="005F0DAD"/>
    <w:rsid w:val="005F0EDC"/>
    <w:rsid w:val="005F1AB5"/>
    <w:rsid w:val="005F1B30"/>
    <w:rsid w:val="005F1EA0"/>
    <w:rsid w:val="005F2363"/>
    <w:rsid w:val="005F27BF"/>
    <w:rsid w:val="005F2FC5"/>
    <w:rsid w:val="005F3483"/>
    <w:rsid w:val="005F38EF"/>
    <w:rsid w:val="005F4171"/>
    <w:rsid w:val="005F4513"/>
    <w:rsid w:val="005F46D3"/>
    <w:rsid w:val="005F46D6"/>
    <w:rsid w:val="005F4862"/>
    <w:rsid w:val="005F492B"/>
    <w:rsid w:val="005F4B8A"/>
    <w:rsid w:val="005F4DD6"/>
    <w:rsid w:val="005F50D8"/>
    <w:rsid w:val="005F53A1"/>
    <w:rsid w:val="005F53FE"/>
    <w:rsid w:val="005F5792"/>
    <w:rsid w:val="005F5ABF"/>
    <w:rsid w:val="005F5EC6"/>
    <w:rsid w:val="005F60AD"/>
    <w:rsid w:val="005F6605"/>
    <w:rsid w:val="005F6B05"/>
    <w:rsid w:val="005F6B77"/>
    <w:rsid w:val="005F7487"/>
    <w:rsid w:val="005F7496"/>
    <w:rsid w:val="005F752F"/>
    <w:rsid w:val="005F7534"/>
    <w:rsid w:val="005F7AF9"/>
    <w:rsid w:val="006002C7"/>
    <w:rsid w:val="006006C1"/>
    <w:rsid w:val="0060099E"/>
    <w:rsid w:val="00600D4A"/>
    <w:rsid w:val="00600F95"/>
    <w:rsid w:val="00601303"/>
    <w:rsid w:val="00601839"/>
    <w:rsid w:val="00601DB4"/>
    <w:rsid w:val="00601DC0"/>
    <w:rsid w:val="00602521"/>
    <w:rsid w:val="00602759"/>
    <w:rsid w:val="0060277A"/>
    <w:rsid w:val="00602B7C"/>
    <w:rsid w:val="00603312"/>
    <w:rsid w:val="006039C0"/>
    <w:rsid w:val="00603BC8"/>
    <w:rsid w:val="00604DC7"/>
    <w:rsid w:val="00604E47"/>
    <w:rsid w:val="00605234"/>
    <w:rsid w:val="00605441"/>
    <w:rsid w:val="00605FE6"/>
    <w:rsid w:val="00606970"/>
    <w:rsid w:val="00606A20"/>
    <w:rsid w:val="00606F34"/>
    <w:rsid w:val="006071D6"/>
    <w:rsid w:val="006072C6"/>
    <w:rsid w:val="00607A2E"/>
    <w:rsid w:val="00607F45"/>
    <w:rsid w:val="00610AB5"/>
    <w:rsid w:val="00610D66"/>
    <w:rsid w:val="006112ED"/>
    <w:rsid w:val="00611D15"/>
    <w:rsid w:val="006130F7"/>
    <w:rsid w:val="00613AA4"/>
    <w:rsid w:val="00613AF8"/>
    <w:rsid w:val="00613D8E"/>
    <w:rsid w:val="0061412B"/>
    <w:rsid w:val="006142E0"/>
    <w:rsid w:val="0061476C"/>
    <w:rsid w:val="00614A97"/>
    <w:rsid w:val="00615995"/>
    <w:rsid w:val="00615B57"/>
    <w:rsid w:val="00615CBB"/>
    <w:rsid w:val="00616112"/>
    <w:rsid w:val="006161D3"/>
    <w:rsid w:val="006162AF"/>
    <w:rsid w:val="00616319"/>
    <w:rsid w:val="00616457"/>
    <w:rsid w:val="00616531"/>
    <w:rsid w:val="00616638"/>
    <w:rsid w:val="00616E9E"/>
    <w:rsid w:val="006171CF"/>
    <w:rsid w:val="00617F1D"/>
    <w:rsid w:val="00620193"/>
    <w:rsid w:val="006205CA"/>
    <w:rsid w:val="00620B31"/>
    <w:rsid w:val="006217A8"/>
    <w:rsid w:val="006219C1"/>
    <w:rsid w:val="00621D80"/>
    <w:rsid w:val="00621F53"/>
    <w:rsid w:val="00621F74"/>
    <w:rsid w:val="006226BA"/>
    <w:rsid w:val="00622E2A"/>
    <w:rsid w:val="00623089"/>
    <w:rsid w:val="0062308E"/>
    <w:rsid w:val="0062318E"/>
    <w:rsid w:val="006234A2"/>
    <w:rsid w:val="006234C4"/>
    <w:rsid w:val="00623B3E"/>
    <w:rsid w:val="006244C9"/>
    <w:rsid w:val="006245F6"/>
    <w:rsid w:val="0062475D"/>
    <w:rsid w:val="0062495F"/>
    <w:rsid w:val="00624A7F"/>
    <w:rsid w:val="00625A1B"/>
    <w:rsid w:val="00625BF0"/>
    <w:rsid w:val="00626339"/>
    <w:rsid w:val="006263E8"/>
    <w:rsid w:val="0062644C"/>
    <w:rsid w:val="0062660B"/>
    <w:rsid w:val="00626AD1"/>
    <w:rsid w:val="00626CE2"/>
    <w:rsid w:val="00626E66"/>
    <w:rsid w:val="00627073"/>
    <w:rsid w:val="0062776B"/>
    <w:rsid w:val="00627E93"/>
    <w:rsid w:val="0063047E"/>
    <w:rsid w:val="006304BC"/>
    <w:rsid w:val="006306E3"/>
    <w:rsid w:val="00630A85"/>
    <w:rsid w:val="00630DCE"/>
    <w:rsid w:val="00630E5E"/>
    <w:rsid w:val="00630E95"/>
    <w:rsid w:val="00630ECD"/>
    <w:rsid w:val="006311D5"/>
    <w:rsid w:val="0063120A"/>
    <w:rsid w:val="00631392"/>
    <w:rsid w:val="0063150B"/>
    <w:rsid w:val="0063156D"/>
    <w:rsid w:val="00631585"/>
    <w:rsid w:val="00631672"/>
    <w:rsid w:val="0063175E"/>
    <w:rsid w:val="00631AC0"/>
    <w:rsid w:val="00631C65"/>
    <w:rsid w:val="00631FF3"/>
    <w:rsid w:val="00632008"/>
    <w:rsid w:val="00632E74"/>
    <w:rsid w:val="006334AC"/>
    <w:rsid w:val="00634ACF"/>
    <w:rsid w:val="00635035"/>
    <w:rsid w:val="00635766"/>
    <w:rsid w:val="0063580D"/>
    <w:rsid w:val="00635CAE"/>
    <w:rsid w:val="00635ECC"/>
    <w:rsid w:val="00635EEE"/>
    <w:rsid w:val="006360BB"/>
    <w:rsid w:val="006360C7"/>
    <w:rsid w:val="0063630B"/>
    <w:rsid w:val="0063721A"/>
    <w:rsid w:val="00637240"/>
    <w:rsid w:val="00637512"/>
    <w:rsid w:val="0063777B"/>
    <w:rsid w:val="00637A03"/>
    <w:rsid w:val="00637CC4"/>
    <w:rsid w:val="00640097"/>
    <w:rsid w:val="00640BFB"/>
    <w:rsid w:val="00641B03"/>
    <w:rsid w:val="00641C71"/>
    <w:rsid w:val="00642D8A"/>
    <w:rsid w:val="00642FDB"/>
    <w:rsid w:val="0064309A"/>
    <w:rsid w:val="00643483"/>
    <w:rsid w:val="00643660"/>
    <w:rsid w:val="00644D46"/>
    <w:rsid w:val="00644F7C"/>
    <w:rsid w:val="006451F2"/>
    <w:rsid w:val="006452CD"/>
    <w:rsid w:val="00645C31"/>
    <w:rsid w:val="00645C37"/>
    <w:rsid w:val="00646BD5"/>
    <w:rsid w:val="0064769C"/>
    <w:rsid w:val="006500B0"/>
    <w:rsid w:val="00650139"/>
    <w:rsid w:val="006512DC"/>
    <w:rsid w:val="0065159C"/>
    <w:rsid w:val="00652061"/>
    <w:rsid w:val="0065250A"/>
    <w:rsid w:val="00652756"/>
    <w:rsid w:val="00652AD8"/>
    <w:rsid w:val="00652B79"/>
    <w:rsid w:val="006530C0"/>
    <w:rsid w:val="006533C3"/>
    <w:rsid w:val="00654068"/>
    <w:rsid w:val="006541F8"/>
    <w:rsid w:val="00654648"/>
    <w:rsid w:val="00654B38"/>
    <w:rsid w:val="00654B83"/>
    <w:rsid w:val="00655061"/>
    <w:rsid w:val="0065510C"/>
    <w:rsid w:val="0065562C"/>
    <w:rsid w:val="00655B63"/>
    <w:rsid w:val="006571F6"/>
    <w:rsid w:val="00660DED"/>
    <w:rsid w:val="00661214"/>
    <w:rsid w:val="00661727"/>
    <w:rsid w:val="006618CC"/>
    <w:rsid w:val="00661C68"/>
    <w:rsid w:val="00662111"/>
    <w:rsid w:val="00662118"/>
    <w:rsid w:val="00662A77"/>
    <w:rsid w:val="00662B3A"/>
    <w:rsid w:val="00663398"/>
    <w:rsid w:val="00663418"/>
    <w:rsid w:val="006638AD"/>
    <w:rsid w:val="00664EB1"/>
    <w:rsid w:val="006651C1"/>
    <w:rsid w:val="00665DFB"/>
    <w:rsid w:val="0066732C"/>
    <w:rsid w:val="0066772C"/>
    <w:rsid w:val="0066792A"/>
    <w:rsid w:val="006679F5"/>
    <w:rsid w:val="00667A55"/>
    <w:rsid w:val="00667B77"/>
    <w:rsid w:val="00670116"/>
    <w:rsid w:val="0067028B"/>
    <w:rsid w:val="006702E3"/>
    <w:rsid w:val="006703BC"/>
    <w:rsid w:val="006716DA"/>
    <w:rsid w:val="00671847"/>
    <w:rsid w:val="00671A57"/>
    <w:rsid w:val="00671B56"/>
    <w:rsid w:val="0067209A"/>
    <w:rsid w:val="006720D8"/>
    <w:rsid w:val="00672354"/>
    <w:rsid w:val="0067268D"/>
    <w:rsid w:val="006728ED"/>
    <w:rsid w:val="006732B1"/>
    <w:rsid w:val="00673301"/>
    <w:rsid w:val="0067349E"/>
    <w:rsid w:val="00673AC8"/>
    <w:rsid w:val="00673C14"/>
    <w:rsid w:val="00674220"/>
    <w:rsid w:val="0067446F"/>
    <w:rsid w:val="006746A4"/>
    <w:rsid w:val="00674C8B"/>
    <w:rsid w:val="00674D05"/>
    <w:rsid w:val="00674E07"/>
    <w:rsid w:val="00674FE0"/>
    <w:rsid w:val="006750FF"/>
    <w:rsid w:val="00675558"/>
    <w:rsid w:val="00675611"/>
    <w:rsid w:val="00675A60"/>
    <w:rsid w:val="00675AA0"/>
    <w:rsid w:val="0067697E"/>
    <w:rsid w:val="00677192"/>
    <w:rsid w:val="00677443"/>
    <w:rsid w:val="0067769A"/>
    <w:rsid w:val="0067792D"/>
    <w:rsid w:val="006806A3"/>
    <w:rsid w:val="006806A6"/>
    <w:rsid w:val="006807D6"/>
    <w:rsid w:val="00680E97"/>
    <w:rsid w:val="00681211"/>
    <w:rsid w:val="006812ED"/>
    <w:rsid w:val="00681583"/>
    <w:rsid w:val="00681795"/>
    <w:rsid w:val="006818AC"/>
    <w:rsid w:val="00681A15"/>
    <w:rsid w:val="00681B36"/>
    <w:rsid w:val="006827E4"/>
    <w:rsid w:val="00682A35"/>
    <w:rsid w:val="00682E14"/>
    <w:rsid w:val="00683441"/>
    <w:rsid w:val="00683932"/>
    <w:rsid w:val="00683C1D"/>
    <w:rsid w:val="00683D17"/>
    <w:rsid w:val="00683D51"/>
    <w:rsid w:val="0068436C"/>
    <w:rsid w:val="00684743"/>
    <w:rsid w:val="00685162"/>
    <w:rsid w:val="0068521C"/>
    <w:rsid w:val="0068545E"/>
    <w:rsid w:val="00685FD4"/>
    <w:rsid w:val="00686612"/>
    <w:rsid w:val="0068661E"/>
    <w:rsid w:val="00687349"/>
    <w:rsid w:val="006874E8"/>
    <w:rsid w:val="00687B28"/>
    <w:rsid w:val="00687F7B"/>
    <w:rsid w:val="00690A49"/>
    <w:rsid w:val="00690BB6"/>
    <w:rsid w:val="006910EE"/>
    <w:rsid w:val="006912FC"/>
    <w:rsid w:val="00691378"/>
    <w:rsid w:val="006919F7"/>
    <w:rsid w:val="00691B30"/>
    <w:rsid w:val="006921D5"/>
    <w:rsid w:val="0069223C"/>
    <w:rsid w:val="006929B2"/>
    <w:rsid w:val="00692F76"/>
    <w:rsid w:val="00692F7D"/>
    <w:rsid w:val="00693010"/>
    <w:rsid w:val="0069340C"/>
    <w:rsid w:val="00693E1F"/>
    <w:rsid w:val="00693ECB"/>
    <w:rsid w:val="00693F80"/>
    <w:rsid w:val="0069425A"/>
    <w:rsid w:val="00694797"/>
    <w:rsid w:val="00694972"/>
    <w:rsid w:val="00694FD1"/>
    <w:rsid w:val="00695357"/>
    <w:rsid w:val="00695887"/>
    <w:rsid w:val="00695A3F"/>
    <w:rsid w:val="00695C37"/>
    <w:rsid w:val="006965AC"/>
    <w:rsid w:val="00696604"/>
    <w:rsid w:val="0069672D"/>
    <w:rsid w:val="00696BCD"/>
    <w:rsid w:val="00697208"/>
    <w:rsid w:val="00697212"/>
    <w:rsid w:val="0069725A"/>
    <w:rsid w:val="0069731E"/>
    <w:rsid w:val="00697692"/>
    <w:rsid w:val="00697725"/>
    <w:rsid w:val="00697733"/>
    <w:rsid w:val="006A0141"/>
    <w:rsid w:val="006A0593"/>
    <w:rsid w:val="006A0721"/>
    <w:rsid w:val="006A0CE8"/>
    <w:rsid w:val="006A203E"/>
    <w:rsid w:val="006A254E"/>
    <w:rsid w:val="006A26BA"/>
    <w:rsid w:val="006A2C30"/>
    <w:rsid w:val="006A301C"/>
    <w:rsid w:val="006A36BA"/>
    <w:rsid w:val="006A3E2B"/>
    <w:rsid w:val="006A450B"/>
    <w:rsid w:val="006A4FD8"/>
    <w:rsid w:val="006A52DE"/>
    <w:rsid w:val="006A5CA3"/>
    <w:rsid w:val="006A5DCE"/>
    <w:rsid w:val="006A5E8B"/>
    <w:rsid w:val="006A60DD"/>
    <w:rsid w:val="006A640D"/>
    <w:rsid w:val="006A6D95"/>
    <w:rsid w:val="006A6E17"/>
    <w:rsid w:val="006A6EE3"/>
    <w:rsid w:val="006A72A8"/>
    <w:rsid w:val="006A7371"/>
    <w:rsid w:val="006A7DF2"/>
    <w:rsid w:val="006A7FBA"/>
    <w:rsid w:val="006B0E5C"/>
    <w:rsid w:val="006B120D"/>
    <w:rsid w:val="006B1291"/>
    <w:rsid w:val="006B17E7"/>
    <w:rsid w:val="006B19E8"/>
    <w:rsid w:val="006B1A8A"/>
    <w:rsid w:val="006B1FD5"/>
    <w:rsid w:val="006B20E0"/>
    <w:rsid w:val="006B2EE9"/>
    <w:rsid w:val="006B3C44"/>
    <w:rsid w:val="006B3F41"/>
    <w:rsid w:val="006B4116"/>
    <w:rsid w:val="006B44D2"/>
    <w:rsid w:val="006B488C"/>
    <w:rsid w:val="006B4EB5"/>
    <w:rsid w:val="006B505E"/>
    <w:rsid w:val="006B555A"/>
    <w:rsid w:val="006B5C22"/>
    <w:rsid w:val="006B5CDF"/>
    <w:rsid w:val="006B600A"/>
    <w:rsid w:val="006B60E0"/>
    <w:rsid w:val="006B629C"/>
    <w:rsid w:val="006B6635"/>
    <w:rsid w:val="006B6C2A"/>
    <w:rsid w:val="006B7829"/>
    <w:rsid w:val="006B7D22"/>
    <w:rsid w:val="006B7D2C"/>
    <w:rsid w:val="006C01AD"/>
    <w:rsid w:val="006C062B"/>
    <w:rsid w:val="006C1019"/>
    <w:rsid w:val="006C12BE"/>
    <w:rsid w:val="006C14A6"/>
    <w:rsid w:val="006C160E"/>
    <w:rsid w:val="006C191B"/>
    <w:rsid w:val="006C2671"/>
    <w:rsid w:val="006C2BB5"/>
    <w:rsid w:val="006C2BEE"/>
    <w:rsid w:val="006C2D22"/>
    <w:rsid w:val="006C326F"/>
    <w:rsid w:val="006C3AD8"/>
    <w:rsid w:val="006C3C71"/>
    <w:rsid w:val="006C3F46"/>
    <w:rsid w:val="006C4516"/>
    <w:rsid w:val="006C455E"/>
    <w:rsid w:val="006C4FB2"/>
    <w:rsid w:val="006C5001"/>
    <w:rsid w:val="006C5958"/>
    <w:rsid w:val="006C5B44"/>
    <w:rsid w:val="006C5B4F"/>
    <w:rsid w:val="006C61DF"/>
    <w:rsid w:val="006C643C"/>
    <w:rsid w:val="006C65CB"/>
    <w:rsid w:val="006C6754"/>
    <w:rsid w:val="006C6A0B"/>
    <w:rsid w:val="006C6C8B"/>
    <w:rsid w:val="006C6E3A"/>
    <w:rsid w:val="006C6EBC"/>
    <w:rsid w:val="006C6FD7"/>
    <w:rsid w:val="006C727A"/>
    <w:rsid w:val="006C75E2"/>
    <w:rsid w:val="006C7695"/>
    <w:rsid w:val="006C77A1"/>
    <w:rsid w:val="006D00DB"/>
    <w:rsid w:val="006D0361"/>
    <w:rsid w:val="006D1460"/>
    <w:rsid w:val="006D16B0"/>
    <w:rsid w:val="006D1EE7"/>
    <w:rsid w:val="006D1F54"/>
    <w:rsid w:val="006D2182"/>
    <w:rsid w:val="006D2444"/>
    <w:rsid w:val="006D254B"/>
    <w:rsid w:val="006D289B"/>
    <w:rsid w:val="006D336E"/>
    <w:rsid w:val="006D33C6"/>
    <w:rsid w:val="006D3816"/>
    <w:rsid w:val="006D39D9"/>
    <w:rsid w:val="006D3BE1"/>
    <w:rsid w:val="006D3C2C"/>
    <w:rsid w:val="006D4073"/>
    <w:rsid w:val="006D414A"/>
    <w:rsid w:val="006D424A"/>
    <w:rsid w:val="006D42A0"/>
    <w:rsid w:val="006D442B"/>
    <w:rsid w:val="006D48FC"/>
    <w:rsid w:val="006D5241"/>
    <w:rsid w:val="006D5768"/>
    <w:rsid w:val="006D5B60"/>
    <w:rsid w:val="006D5E78"/>
    <w:rsid w:val="006D5FBE"/>
    <w:rsid w:val="006D62BC"/>
    <w:rsid w:val="006D6450"/>
    <w:rsid w:val="006D6939"/>
    <w:rsid w:val="006D696C"/>
    <w:rsid w:val="006D6F23"/>
    <w:rsid w:val="006D7267"/>
    <w:rsid w:val="006D7BF4"/>
    <w:rsid w:val="006D7EB0"/>
    <w:rsid w:val="006E0138"/>
    <w:rsid w:val="006E0ABF"/>
    <w:rsid w:val="006E0BB0"/>
    <w:rsid w:val="006E12BC"/>
    <w:rsid w:val="006E12C3"/>
    <w:rsid w:val="006E1450"/>
    <w:rsid w:val="006E2529"/>
    <w:rsid w:val="006E290A"/>
    <w:rsid w:val="006E2C57"/>
    <w:rsid w:val="006E316C"/>
    <w:rsid w:val="006E3DB2"/>
    <w:rsid w:val="006E409C"/>
    <w:rsid w:val="006E45F3"/>
    <w:rsid w:val="006E4A2F"/>
    <w:rsid w:val="006E4AE4"/>
    <w:rsid w:val="006E4ED4"/>
    <w:rsid w:val="006E4F79"/>
    <w:rsid w:val="006E5760"/>
    <w:rsid w:val="006E58A6"/>
    <w:rsid w:val="006E591A"/>
    <w:rsid w:val="006E5E19"/>
    <w:rsid w:val="006E61B7"/>
    <w:rsid w:val="006E61C3"/>
    <w:rsid w:val="006E6BC2"/>
    <w:rsid w:val="006E799D"/>
    <w:rsid w:val="006E7ABD"/>
    <w:rsid w:val="006F0593"/>
    <w:rsid w:val="006F0C0B"/>
    <w:rsid w:val="006F0CB1"/>
    <w:rsid w:val="006F1064"/>
    <w:rsid w:val="006F14A6"/>
    <w:rsid w:val="006F1EB7"/>
    <w:rsid w:val="006F2093"/>
    <w:rsid w:val="006F228E"/>
    <w:rsid w:val="006F2C2E"/>
    <w:rsid w:val="006F2C76"/>
    <w:rsid w:val="006F3283"/>
    <w:rsid w:val="006F34B2"/>
    <w:rsid w:val="006F35DE"/>
    <w:rsid w:val="006F4510"/>
    <w:rsid w:val="006F4954"/>
    <w:rsid w:val="006F4B43"/>
    <w:rsid w:val="006F52E5"/>
    <w:rsid w:val="006F53F6"/>
    <w:rsid w:val="006F5454"/>
    <w:rsid w:val="006F5673"/>
    <w:rsid w:val="006F6066"/>
    <w:rsid w:val="006F60A7"/>
    <w:rsid w:val="006F6701"/>
    <w:rsid w:val="006F6850"/>
    <w:rsid w:val="006F68E6"/>
    <w:rsid w:val="006F707E"/>
    <w:rsid w:val="006F7571"/>
    <w:rsid w:val="006F762E"/>
    <w:rsid w:val="006F77F8"/>
    <w:rsid w:val="007001DC"/>
    <w:rsid w:val="00701200"/>
    <w:rsid w:val="0070228C"/>
    <w:rsid w:val="007025CB"/>
    <w:rsid w:val="00702CEC"/>
    <w:rsid w:val="00702D80"/>
    <w:rsid w:val="00702E73"/>
    <w:rsid w:val="007034AA"/>
    <w:rsid w:val="00703C9D"/>
    <w:rsid w:val="00703FF3"/>
    <w:rsid w:val="00704117"/>
    <w:rsid w:val="007044E3"/>
    <w:rsid w:val="007045AA"/>
    <w:rsid w:val="0070490C"/>
    <w:rsid w:val="00704C8B"/>
    <w:rsid w:val="00705486"/>
    <w:rsid w:val="007056A7"/>
    <w:rsid w:val="00705792"/>
    <w:rsid w:val="00705C38"/>
    <w:rsid w:val="00705CAB"/>
    <w:rsid w:val="00706465"/>
    <w:rsid w:val="00706564"/>
    <w:rsid w:val="0070695A"/>
    <w:rsid w:val="00706E3A"/>
    <w:rsid w:val="00706EA9"/>
    <w:rsid w:val="0070778B"/>
    <w:rsid w:val="007077C4"/>
    <w:rsid w:val="0070782D"/>
    <w:rsid w:val="00707A51"/>
    <w:rsid w:val="0071016B"/>
    <w:rsid w:val="007103DE"/>
    <w:rsid w:val="00710803"/>
    <w:rsid w:val="007109C2"/>
    <w:rsid w:val="00710CF0"/>
    <w:rsid w:val="007110E1"/>
    <w:rsid w:val="007112FE"/>
    <w:rsid w:val="00711340"/>
    <w:rsid w:val="00712C42"/>
    <w:rsid w:val="00713580"/>
    <w:rsid w:val="00713B8E"/>
    <w:rsid w:val="00713DE4"/>
    <w:rsid w:val="00713F02"/>
    <w:rsid w:val="007141FB"/>
    <w:rsid w:val="0071477D"/>
    <w:rsid w:val="00714BEC"/>
    <w:rsid w:val="00714C47"/>
    <w:rsid w:val="00715956"/>
    <w:rsid w:val="00715C3D"/>
    <w:rsid w:val="00716462"/>
    <w:rsid w:val="00716686"/>
    <w:rsid w:val="0071685C"/>
    <w:rsid w:val="0071690E"/>
    <w:rsid w:val="00716F60"/>
    <w:rsid w:val="00717277"/>
    <w:rsid w:val="007173FA"/>
    <w:rsid w:val="00720354"/>
    <w:rsid w:val="007208A6"/>
    <w:rsid w:val="00720C6E"/>
    <w:rsid w:val="00720ECD"/>
    <w:rsid w:val="0072105B"/>
    <w:rsid w:val="00721084"/>
    <w:rsid w:val="00721262"/>
    <w:rsid w:val="00721654"/>
    <w:rsid w:val="007216BA"/>
    <w:rsid w:val="00721D80"/>
    <w:rsid w:val="00721D9B"/>
    <w:rsid w:val="0072201F"/>
    <w:rsid w:val="00722121"/>
    <w:rsid w:val="0072234D"/>
    <w:rsid w:val="0072237C"/>
    <w:rsid w:val="007224B9"/>
    <w:rsid w:val="007226ED"/>
    <w:rsid w:val="00722C6A"/>
    <w:rsid w:val="00722F94"/>
    <w:rsid w:val="007237BA"/>
    <w:rsid w:val="00723AA7"/>
    <w:rsid w:val="00723D02"/>
    <w:rsid w:val="00723E09"/>
    <w:rsid w:val="0072432E"/>
    <w:rsid w:val="0072485C"/>
    <w:rsid w:val="00724EF6"/>
    <w:rsid w:val="00725340"/>
    <w:rsid w:val="00726036"/>
    <w:rsid w:val="00726279"/>
    <w:rsid w:val="007266DC"/>
    <w:rsid w:val="00726A9B"/>
    <w:rsid w:val="00727530"/>
    <w:rsid w:val="007304D7"/>
    <w:rsid w:val="0073091E"/>
    <w:rsid w:val="00731D93"/>
    <w:rsid w:val="00731E7C"/>
    <w:rsid w:val="007322C6"/>
    <w:rsid w:val="007326E9"/>
    <w:rsid w:val="007329EF"/>
    <w:rsid w:val="00732A1E"/>
    <w:rsid w:val="0073307C"/>
    <w:rsid w:val="0073310B"/>
    <w:rsid w:val="00733123"/>
    <w:rsid w:val="0073327A"/>
    <w:rsid w:val="00733B7E"/>
    <w:rsid w:val="007341E4"/>
    <w:rsid w:val="007343DE"/>
    <w:rsid w:val="00734B20"/>
    <w:rsid w:val="00734CBE"/>
    <w:rsid w:val="00734EBE"/>
    <w:rsid w:val="00735377"/>
    <w:rsid w:val="00736BF5"/>
    <w:rsid w:val="00736D99"/>
    <w:rsid w:val="00736DD8"/>
    <w:rsid w:val="0073722D"/>
    <w:rsid w:val="00737822"/>
    <w:rsid w:val="0074076A"/>
    <w:rsid w:val="007409A3"/>
    <w:rsid w:val="007410CA"/>
    <w:rsid w:val="007410F7"/>
    <w:rsid w:val="00741AE3"/>
    <w:rsid w:val="00741AF4"/>
    <w:rsid w:val="00741DCC"/>
    <w:rsid w:val="00741EB8"/>
    <w:rsid w:val="00741ED8"/>
    <w:rsid w:val="0074203A"/>
    <w:rsid w:val="007427B5"/>
    <w:rsid w:val="00742865"/>
    <w:rsid w:val="0074296C"/>
    <w:rsid w:val="00742A7F"/>
    <w:rsid w:val="00742C83"/>
    <w:rsid w:val="007434DB"/>
    <w:rsid w:val="0074360F"/>
    <w:rsid w:val="007439F3"/>
    <w:rsid w:val="00744235"/>
    <w:rsid w:val="00744474"/>
    <w:rsid w:val="0074462F"/>
    <w:rsid w:val="00744A64"/>
    <w:rsid w:val="00744D47"/>
    <w:rsid w:val="00744EA0"/>
    <w:rsid w:val="00745EE8"/>
    <w:rsid w:val="0074638D"/>
    <w:rsid w:val="00746484"/>
    <w:rsid w:val="00746591"/>
    <w:rsid w:val="00747015"/>
    <w:rsid w:val="0074704F"/>
    <w:rsid w:val="0074737A"/>
    <w:rsid w:val="00747B03"/>
    <w:rsid w:val="00747DF8"/>
    <w:rsid w:val="00747F48"/>
    <w:rsid w:val="00747F4C"/>
    <w:rsid w:val="00750039"/>
    <w:rsid w:val="00750495"/>
    <w:rsid w:val="00750754"/>
    <w:rsid w:val="00750A7C"/>
    <w:rsid w:val="00751091"/>
    <w:rsid w:val="0075164F"/>
    <w:rsid w:val="00751B83"/>
    <w:rsid w:val="00751E75"/>
    <w:rsid w:val="007522C8"/>
    <w:rsid w:val="0075272B"/>
    <w:rsid w:val="0075353A"/>
    <w:rsid w:val="00753748"/>
    <w:rsid w:val="00753A50"/>
    <w:rsid w:val="00753D4E"/>
    <w:rsid w:val="00754359"/>
    <w:rsid w:val="00754411"/>
    <w:rsid w:val="007544AC"/>
    <w:rsid w:val="007546A7"/>
    <w:rsid w:val="00754BD9"/>
    <w:rsid w:val="00754E7A"/>
    <w:rsid w:val="0075540C"/>
    <w:rsid w:val="00755546"/>
    <w:rsid w:val="00755877"/>
    <w:rsid w:val="007559DD"/>
    <w:rsid w:val="00755AC1"/>
    <w:rsid w:val="00755DB1"/>
    <w:rsid w:val="007560AF"/>
    <w:rsid w:val="00756127"/>
    <w:rsid w:val="007574FC"/>
    <w:rsid w:val="00757718"/>
    <w:rsid w:val="00757753"/>
    <w:rsid w:val="00757F88"/>
    <w:rsid w:val="0076038E"/>
    <w:rsid w:val="00760434"/>
    <w:rsid w:val="00760975"/>
    <w:rsid w:val="00760AC5"/>
    <w:rsid w:val="00760B82"/>
    <w:rsid w:val="00760F76"/>
    <w:rsid w:val="007612B6"/>
    <w:rsid w:val="00761541"/>
    <w:rsid w:val="00761770"/>
    <w:rsid w:val="00761F66"/>
    <w:rsid w:val="00761FDA"/>
    <w:rsid w:val="007621FF"/>
    <w:rsid w:val="00762450"/>
    <w:rsid w:val="00762544"/>
    <w:rsid w:val="007625E8"/>
    <w:rsid w:val="007634E3"/>
    <w:rsid w:val="00763B31"/>
    <w:rsid w:val="00763C7A"/>
    <w:rsid w:val="00764194"/>
    <w:rsid w:val="00764B74"/>
    <w:rsid w:val="00765576"/>
    <w:rsid w:val="00765D9F"/>
    <w:rsid w:val="00765ED3"/>
    <w:rsid w:val="00766540"/>
    <w:rsid w:val="0076681D"/>
    <w:rsid w:val="0076690B"/>
    <w:rsid w:val="00766A36"/>
    <w:rsid w:val="00766A65"/>
    <w:rsid w:val="00766C76"/>
    <w:rsid w:val="00766E17"/>
    <w:rsid w:val="007671F5"/>
    <w:rsid w:val="007676B8"/>
    <w:rsid w:val="00767AF5"/>
    <w:rsid w:val="00767E90"/>
    <w:rsid w:val="00770405"/>
    <w:rsid w:val="0077051F"/>
    <w:rsid w:val="00770C4E"/>
    <w:rsid w:val="00770C89"/>
    <w:rsid w:val="00770F1B"/>
    <w:rsid w:val="0077175C"/>
    <w:rsid w:val="00771870"/>
    <w:rsid w:val="00771BF9"/>
    <w:rsid w:val="00771F88"/>
    <w:rsid w:val="007720FC"/>
    <w:rsid w:val="00772F8A"/>
    <w:rsid w:val="0077304A"/>
    <w:rsid w:val="0077347F"/>
    <w:rsid w:val="00773494"/>
    <w:rsid w:val="007739C6"/>
    <w:rsid w:val="00773A11"/>
    <w:rsid w:val="0077482A"/>
    <w:rsid w:val="00774889"/>
    <w:rsid w:val="007749B7"/>
    <w:rsid w:val="00774B29"/>
    <w:rsid w:val="00774F42"/>
    <w:rsid w:val="00774FF5"/>
    <w:rsid w:val="007750B3"/>
    <w:rsid w:val="00775313"/>
    <w:rsid w:val="00775F76"/>
    <w:rsid w:val="0077630F"/>
    <w:rsid w:val="007765D4"/>
    <w:rsid w:val="00776AEA"/>
    <w:rsid w:val="007770C5"/>
    <w:rsid w:val="00777507"/>
    <w:rsid w:val="00777BA0"/>
    <w:rsid w:val="00777C02"/>
    <w:rsid w:val="00777F87"/>
    <w:rsid w:val="00780032"/>
    <w:rsid w:val="007800EE"/>
    <w:rsid w:val="007801BE"/>
    <w:rsid w:val="007803BD"/>
    <w:rsid w:val="00780BE0"/>
    <w:rsid w:val="007811DC"/>
    <w:rsid w:val="00781263"/>
    <w:rsid w:val="00781546"/>
    <w:rsid w:val="007815C7"/>
    <w:rsid w:val="007820FA"/>
    <w:rsid w:val="00782510"/>
    <w:rsid w:val="007826E1"/>
    <w:rsid w:val="0078285F"/>
    <w:rsid w:val="00782C2A"/>
    <w:rsid w:val="00782FF6"/>
    <w:rsid w:val="00783096"/>
    <w:rsid w:val="007831DA"/>
    <w:rsid w:val="00783207"/>
    <w:rsid w:val="00783891"/>
    <w:rsid w:val="00783E1D"/>
    <w:rsid w:val="007841DA"/>
    <w:rsid w:val="00784269"/>
    <w:rsid w:val="007844E3"/>
    <w:rsid w:val="0078483B"/>
    <w:rsid w:val="00784880"/>
    <w:rsid w:val="00784A35"/>
    <w:rsid w:val="00784CAA"/>
    <w:rsid w:val="00784EED"/>
    <w:rsid w:val="00785900"/>
    <w:rsid w:val="00785D86"/>
    <w:rsid w:val="00786255"/>
    <w:rsid w:val="00786759"/>
    <w:rsid w:val="00786958"/>
    <w:rsid w:val="00786A6C"/>
    <w:rsid w:val="00786E71"/>
    <w:rsid w:val="0078727A"/>
    <w:rsid w:val="0078757B"/>
    <w:rsid w:val="007877F7"/>
    <w:rsid w:val="0078781C"/>
    <w:rsid w:val="007878CE"/>
    <w:rsid w:val="0078795D"/>
    <w:rsid w:val="00787FB5"/>
    <w:rsid w:val="00790345"/>
    <w:rsid w:val="0079136D"/>
    <w:rsid w:val="0079151F"/>
    <w:rsid w:val="0079162F"/>
    <w:rsid w:val="00791904"/>
    <w:rsid w:val="00791E18"/>
    <w:rsid w:val="00791FB3"/>
    <w:rsid w:val="00792845"/>
    <w:rsid w:val="00793212"/>
    <w:rsid w:val="0079370A"/>
    <w:rsid w:val="00794557"/>
    <w:rsid w:val="00794924"/>
    <w:rsid w:val="00794FC8"/>
    <w:rsid w:val="007952F3"/>
    <w:rsid w:val="007953C9"/>
    <w:rsid w:val="00795AD0"/>
    <w:rsid w:val="00795B6C"/>
    <w:rsid w:val="007968F8"/>
    <w:rsid w:val="00796F6B"/>
    <w:rsid w:val="007973A3"/>
    <w:rsid w:val="007973F7"/>
    <w:rsid w:val="00797C8E"/>
    <w:rsid w:val="00797D8D"/>
    <w:rsid w:val="007A0A1F"/>
    <w:rsid w:val="007A0ACD"/>
    <w:rsid w:val="007A0BC2"/>
    <w:rsid w:val="007A0DD1"/>
    <w:rsid w:val="007A0E7B"/>
    <w:rsid w:val="007A169E"/>
    <w:rsid w:val="007A1882"/>
    <w:rsid w:val="007A1F44"/>
    <w:rsid w:val="007A23FF"/>
    <w:rsid w:val="007A295B"/>
    <w:rsid w:val="007A2A40"/>
    <w:rsid w:val="007A2EDC"/>
    <w:rsid w:val="007A30DC"/>
    <w:rsid w:val="007A3424"/>
    <w:rsid w:val="007A35EF"/>
    <w:rsid w:val="007A39B4"/>
    <w:rsid w:val="007A3B9F"/>
    <w:rsid w:val="007A3CEA"/>
    <w:rsid w:val="007A3DAA"/>
    <w:rsid w:val="007A43A2"/>
    <w:rsid w:val="007A4A4E"/>
    <w:rsid w:val="007A4BB9"/>
    <w:rsid w:val="007A4D04"/>
    <w:rsid w:val="007A4E04"/>
    <w:rsid w:val="007A5A75"/>
    <w:rsid w:val="007A5D9D"/>
    <w:rsid w:val="007A63A6"/>
    <w:rsid w:val="007A6435"/>
    <w:rsid w:val="007A64AB"/>
    <w:rsid w:val="007A6646"/>
    <w:rsid w:val="007A7121"/>
    <w:rsid w:val="007A72F6"/>
    <w:rsid w:val="007A734E"/>
    <w:rsid w:val="007A7A96"/>
    <w:rsid w:val="007A7B07"/>
    <w:rsid w:val="007A7CD9"/>
    <w:rsid w:val="007B02F8"/>
    <w:rsid w:val="007B03AF"/>
    <w:rsid w:val="007B060B"/>
    <w:rsid w:val="007B139B"/>
    <w:rsid w:val="007B1543"/>
    <w:rsid w:val="007B18CD"/>
    <w:rsid w:val="007B1AC0"/>
    <w:rsid w:val="007B1B38"/>
    <w:rsid w:val="007B1B8A"/>
    <w:rsid w:val="007B21A0"/>
    <w:rsid w:val="007B270A"/>
    <w:rsid w:val="007B2A55"/>
    <w:rsid w:val="007B2D3B"/>
    <w:rsid w:val="007B2E0F"/>
    <w:rsid w:val="007B3055"/>
    <w:rsid w:val="007B37A3"/>
    <w:rsid w:val="007B3ECC"/>
    <w:rsid w:val="007B40F1"/>
    <w:rsid w:val="007B439E"/>
    <w:rsid w:val="007B52CD"/>
    <w:rsid w:val="007B555E"/>
    <w:rsid w:val="007B5D25"/>
    <w:rsid w:val="007B5E7F"/>
    <w:rsid w:val="007B632D"/>
    <w:rsid w:val="007B6D00"/>
    <w:rsid w:val="007B6D4D"/>
    <w:rsid w:val="007B71B6"/>
    <w:rsid w:val="007B79D9"/>
    <w:rsid w:val="007B7DC1"/>
    <w:rsid w:val="007B7EDB"/>
    <w:rsid w:val="007C0D79"/>
    <w:rsid w:val="007C13F6"/>
    <w:rsid w:val="007C1555"/>
    <w:rsid w:val="007C1929"/>
    <w:rsid w:val="007C19AD"/>
    <w:rsid w:val="007C1F1A"/>
    <w:rsid w:val="007C2E37"/>
    <w:rsid w:val="007C2EF3"/>
    <w:rsid w:val="007C31A0"/>
    <w:rsid w:val="007C3598"/>
    <w:rsid w:val="007C37A5"/>
    <w:rsid w:val="007C3FA8"/>
    <w:rsid w:val="007C4649"/>
    <w:rsid w:val="007C498F"/>
    <w:rsid w:val="007C4A18"/>
    <w:rsid w:val="007C4C44"/>
    <w:rsid w:val="007C4CF2"/>
    <w:rsid w:val="007C57F6"/>
    <w:rsid w:val="007C5950"/>
    <w:rsid w:val="007C5B83"/>
    <w:rsid w:val="007C60F1"/>
    <w:rsid w:val="007C614C"/>
    <w:rsid w:val="007C68DA"/>
    <w:rsid w:val="007C6ACA"/>
    <w:rsid w:val="007C6CD9"/>
    <w:rsid w:val="007C72D6"/>
    <w:rsid w:val="007C7412"/>
    <w:rsid w:val="007C79B8"/>
    <w:rsid w:val="007C7AF9"/>
    <w:rsid w:val="007D1279"/>
    <w:rsid w:val="007D1321"/>
    <w:rsid w:val="007D197C"/>
    <w:rsid w:val="007D229A"/>
    <w:rsid w:val="007D2A73"/>
    <w:rsid w:val="007D2F44"/>
    <w:rsid w:val="007D2F4D"/>
    <w:rsid w:val="007D316E"/>
    <w:rsid w:val="007D352E"/>
    <w:rsid w:val="007D374C"/>
    <w:rsid w:val="007D4031"/>
    <w:rsid w:val="007D4178"/>
    <w:rsid w:val="007D447B"/>
    <w:rsid w:val="007D4537"/>
    <w:rsid w:val="007D478A"/>
    <w:rsid w:val="007D47CC"/>
    <w:rsid w:val="007D4D33"/>
    <w:rsid w:val="007D5393"/>
    <w:rsid w:val="007D5634"/>
    <w:rsid w:val="007D5852"/>
    <w:rsid w:val="007D585A"/>
    <w:rsid w:val="007D5C20"/>
    <w:rsid w:val="007D5D24"/>
    <w:rsid w:val="007D5FD7"/>
    <w:rsid w:val="007D60B7"/>
    <w:rsid w:val="007D67C6"/>
    <w:rsid w:val="007D6C86"/>
    <w:rsid w:val="007D7175"/>
    <w:rsid w:val="007D7441"/>
    <w:rsid w:val="007E0D00"/>
    <w:rsid w:val="007E101C"/>
    <w:rsid w:val="007E126B"/>
    <w:rsid w:val="007E1369"/>
    <w:rsid w:val="007E144E"/>
    <w:rsid w:val="007E15F4"/>
    <w:rsid w:val="007E1766"/>
    <w:rsid w:val="007E1A1B"/>
    <w:rsid w:val="007E1A88"/>
    <w:rsid w:val="007E1C74"/>
    <w:rsid w:val="007E1E50"/>
    <w:rsid w:val="007E21E8"/>
    <w:rsid w:val="007E2CCA"/>
    <w:rsid w:val="007E3DF5"/>
    <w:rsid w:val="007E3F56"/>
    <w:rsid w:val="007E3FA4"/>
    <w:rsid w:val="007E42B3"/>
    <w:rsid w:val="007E4B44"/>
    <w:rsid w:val="007E4C88"/>
    <w:rsid w:val="007E505F"/>
    <w:rsid w:val="007E5370"/>
    <w:rsid w:val="007E53D7"/>
    <w:rsid w:val="007E585E"/>
    <w:rsid w:val="007E5A13"/>
    <w:rsid w:val="007E60F8"/>
    <w:rsid w:val="007E701A"/>
    <w:rsid w:val="007E755F"/>
    <w:rsid w:val="007E7BD2"/>
    <w:rsid w:val="007E7DDF"/>
    <w:rsid w:val="007F0675"/>
    <w:rsid w:val="007F0A90"/>
    <w:rsid w:val="007F0B9E"/>
    <w:rsid w:val="007F11C8"/>
    <w:rsid w:val="007F11F9"/>
    <w:rsid w:val="007F1357"/>
    <w:rsid w:val="007F1CFB"/>
    <w:rsid w:val="007F220B"/>
    <w:rsid w:val="007F2315"/>
    <w:rsid w:val="007F27A6"/>
    <w:rsid w:val="007F27DD"/>
    <w:rsid w:val="007F2810"/>
    <w:rsid w:val="007F38F6"/>
    <w:rsid w:val="007F3DEB"/>
    <w:rsid w:val="007F3E0A"/>
    <w:rsid w:val="007F4445"/>
    <w:rsid w:val="007F561A"/>
    <w:rsid w:val="007F5BFA"/>
    <w:rsid w:val="007F6082"/>
    <w:rsid w:val="007F64E3"/>
    <w:rsid w:val="007F6880"/>
    <w:rsid w:val="007F6893"/>
    <w:rsid w:val="007F6A5F"/>
    <w:rsid w:val="007F7179"/>
    <w:rsid w:val="007F75CD"/>
    <w:rsid w:val="007F7671"/>
    <w:rsid w:val="007F76B4"/>
    <w:rsid w:val="007F7D86"/>
    <w:rsid w:val="007F7F9B"/>
    <w:rsid w:val="00800089"/>
    <w:rsid w:val="008001B4"/>
    <w:rsid w:val="0080022D"/>
    <w:rsid w:val="0080061C"/>
    <w:rsid w:val="00800769"/>
    <w:rsid w:val="008007B9"/>
    <w:rsid w:val="00800823"/>
    <w:rsid w:val="0080091C"/>
    <w:rsid w:val="00800C42"/>
    <w:rsid w:val="00800ED2"/>
    <w:rsid w:val="00801833"/>
    <w:rsid w:val="00801866"/>
    <w:rsid w:val="00801FD0"/>
    <w:rsid w:val="0080224E"/>
    <w:rsid w:val="00802E74"/>
    <w:rsid w:val="00804313"/>
    <w:rsid w:val="008049E0"/>
    <w:rsid w:val="00804B92"/>
    <w:rsid w:val="00804E21"/>
    <w:rsid w:val="00805092"/>
    <w:rsid w:val="0080591C"/>
    <w:rsid w:val="008065AC"/>
    <w:rsid w:val="008065F7"/>
    <w:rsid w:val="008066B0"/>
    <w:rsid w:val="00806AAF"/>
    <w:rsid w:val="00806DDE"/>
    <w:rsid w:val="008070AC"/>
    <w:rsid w:val="008076A8"/>
    <w:rsid w:val="008101FD"/>
    <w:rsid w:val="0081063C"/>
    <w:rsid w:val="008108B3"/>
    <w:rsid w:val="008109E6"/>
    <w:rsid w:val="00810AA3"/>
    <w:rsid w:val="00810D8D"/>
    <w:rsid w:val="008110DD"/>
    <w:rsid w:val="00811835"/>
    <w:rsid w:val="00811E9D"/>
    <w:rsid w:val="00811FFC"/>
    <w:rsid w:val="00812267"/>
    <w:rsid w:val="008123C2"/>
    <w:rsid w:val="00812B03"/>
    <w:rsid w:val="00812B30"/>
    <w:rsid w:val="00812BFB"/>
    <w:rsid w:val="00812C7A"/>
    <w:rsid w:val="00813A5C"/>
    <w:rsid w:val="00813DC6"/>
    <w:rsid w:val="00814A05"/>
    <w:rsid w:val="00814AFF"/>
    <w:rsid w:val="00814CDC"/>
    <w:rsid w:val="00814EAF"/>
    <w:rsid w:val="00814F69"/>
    <w:rsid w:val="00815191"/>
    <w:rsid w:val="0081527F"/>
    <w:rsid w:val="0081581D"/>
    <w:rsid w:val="00816276"/>
    <w:rsid w:val="00816BB0"/>
    <w:rsid w:val="008172BE"/>
    <w:rsid w:val="00817B12"/>
    <w:rsid w:val="00817B71"/>
    <w:rsid w:val="00820244"/>
    <w:rsid w:val="00820A30"/>
    <w:rsid w:val="008210AD"/>
    <w:rsid w:val="0082125D"/>
    <w:rsid w:val="00821748"/>
    <w:rsid w:val="00821AD0"/>
    <w:rsid w:val="00821B30"/>
    <w:rsid w:val="00821FCD"/>
    <w:rsid w:val="008221B3"/>
    <w:rsid w:val="00822297"/>
    <w:rsid w:val="008222C0"/>
    <w:rsid w:val="0082248E"/>
    <w:rsid w:val="00822640"/>
    <w:rsid w:val="0082267E"/>
    <w:rsid w:val="008235D6"/>
    <w:rsid w:val="008237E3"/>
    <w:rsid w:val="00823DD4"/>
    <w:rsid w:val="0082414F"/>
    <w:rsid w:val="00824511"/>
    <w:rsid w:val="00824FDF"/>
    <w:rsid w:val="00825125"/>
    <w:rsid w:val="00825594"/>
    <w:rsid w:val="008257CC"/>
    <w:rsid w:val="00825AE1"/>
    <w:rsid w:val="00825C1F"/>
    <w:rsid w:val="00825CB7"/>
    <w:rsid w:val="00826232"/>
    <w:rsid w:val="00826D6D"/>
    <w:rsid w:val="00827024"/>
    <w:rsid w:val="008274BF"/>
    <w:rsid w:val="0082781E"/>
    <w:rsid w:val="00827D64"/>
    <w:rsid w:val="0083043D"/>
    <w:rsid w:val="00830BCB"/>
    <w:rsid w:val="00830DC3"/>
    <w:rsid w:val="00831555"/>
    <w:rsid w:val="00831A24"/>
    <w:rsid w:val="00831F52"/>
    <w:rsid w:val="00832154"/>
    <w:rsid w:val="008324EC"/>
    <w:rsid w:val="00832F5C"/>
    <w:rsid w:val="0083374F"/>
    <w:rsid w:val="008337EA"/>
    <w:rsid w:val="00834FB5"/>
    <w:rsid w:val="00834FD9"/>
    <w:rsid w:val="008357C7"/>
    <w:rsid w:val="008359E0"/>
    <w:rsid w:val="00836A01"/>
    <w:rsid w:val="00836D16"/>
    <w:rsid w:val="008376F6"/>
    <w:rsid w:val="00837D5B"/>
    <w:rsid w:val="00840408"/>
    <w:rsid w:val="00840607"/>
    <w:rsid w:val="00840C11"/>
    <w:rsid w:val="00840E9C"/>
    <w:rsid w:val="00840F3C"/>
    <w:rsid w:val="0084168A"/>
    <w:rsid w:val="00841B90"/>
    <w:rsid w:val="00841CD2"/>
    <w:rsid w:val="00842317"/>
    <w:rsid w:val="008427BA"/>
    <w:rsid w:val="008428F5"/>
    <w:rsid w:val="00842B77"/>
    <w:rsid w:val="0084309F"/>
    <w:rsid w:val="00843284"/>
    <w:rsid w:val="00843355"/>
    <w:rsid w:val="008434F7"/>
    <w:rsid w:val="008438E6"/>
    <w:rsid w:val="00843950"/>
    <w:rsid w:val="00843A09"/>
    <w:rsid w:val="00843FAB"/>
    <w:rsid w:val="00843FDB"/>
    <w:rsid w:val="008444AC"/>
    <w:rsid w:val="008445AB"/>
    <w:rsid w:val="008452C9"/>
    <w:rsid w:val="00845C12"/>
    <w:rsid w:val="008461AC"/>
    <w:rsid w:val="008469D9"/>
    <w:rsid w:val="00846BAC"/>
    <w:rsid w:val="00846DC0"/>
    <w:rsid w:val="0084706B"/>
    <w:rsid w:val="00847453"/>
    <w:rsid w:val="008474A7"/>
    <w:rsid w:val="0084782A"/>
    <w:rsid w:val="008479CA"/>
    <w:rsid w:val="00847F22"/>
    <w:rsid w:val="0085040B"/>
    <w:rsid w:val="00850674"/>
    <w:rsid w:val="008506B6"/>
    <w:rsid w:val="00850AE0"/>
    <w:rsid w:val="00851FD5"/>
    <w:rsid w:val="008524D2"/>
    <w:rsid w:val="008528ED"/>
    <w:rsid w:val="00852DBE"/>
    <w:rsid w:val="00852E19"/>
    <w:rsid w:val="00853A17"/>
    <w:rsid w:val="00853BEB"/>
    <w:rsid w:val="00854458"/>
    <w:rsid w:val="00854D9B"/>
    <w:rsid w:val="0085586A"/>
    <w:rsid w:val="00855A68"/>
    <w:rsid w:val="00856833"/>
    <w:rsid w:val="00856840"/>
    <w:rsid w:val="008573DD"/>
    <w:rsid w:val="00857B21"/>
    <w:rsid w:val="00860805"/>
    <w:rsid w:val="0086087C"/>
    <w:rsid w:val="00860D8E"/>
    <w:rsid w:val="00860F52"/>
    <w:rsid w:val="008612B8"/>
    <w:rsid w:val="00862022"/>
    <w:rsid w:val="0086236C"/>
    <w:rsid w:val="00862715"/>
    <w:rsid w:val="0086275E"/>
    <w:rsid w:val="00862A5C"/>
    <w:rsid w:val="0086381B"/>
    <w:rsid w:val="00863C84"/>
    <w:rsid w:val="00863E16"/>
    <w:rsid w:val="0086429B"/>
    <w:rsid w:val="008642A9"/>
    <w:rsid w:val="00864440"/>
    <w:rsid w:val="00864D76"/>
    <w:rsid w:val="008650FC"/>
    <w:rsid w:val="0086576A"/>
    <w:rsid w:val="00865CA2"/>
    <w:rsid w:val="00865D8F"/>
    <w:rsid w:val="00865EA4"/>
    <w:rsid w:val="00866E57"/>
    <w:rsid w:val="00866EB3"/>
    <w:rsid w:val="00866FC0"/>
    <w:rsid w:val="0086701A"/>
    <w:rsid w:val="008673B6"/>
    <w:rsid w:val="00867465"/>
    <w:rsid w:val="0086755E"/>
    <w:rsid w:val="008679DB"/>
    <w:rsid w:val="00867BD2"/>
    <w:rsid w:val="00867F12"/>
    <w:rsid w:val="00867F6A"/>
    <w:rsid w:val="00870195"/>
    <w:rsid w:val="008708A0"/>
    <w:rsid w:val="008708D1"/>
    <w:rsid w:val="00870990"/>
    <w:rsid w:val="00870C97"/>
    <w:rsid w:val="00870E8A"/>
    <w:rsid w:val="0087100A"/>
    <w:rsid w:val="008710B6"/>
    <w:rsid w:val="008712FD"/>
    <w:rsid w:val="008716A1"/>
    <w:rsid w:val="00871A22"/>
    <w:rsid w:val="00871AA0"/>
    <w:rsid w:val="00871B24"/>
    <w:rsid w:val="00871CD8"/>
    <w:rsid w:val="0087207B"/>
    <w:rsid w:val="00872BC5"/>
    <w:rsid w:val="00872CD3"/>
    <w:rsid w:val="00872D3F"/>
    <w:rsid w:val="00872EFB"/>
    <w:rsid w:val="00872FC2"/>
    <w:rsid w:val="00873042"/>
    <w:rsid w:val="008733E4"/>
    <w:rsid w:val="00873813"/>
    <w:rsid w:val="00873F15"/>
    <w:rsid w:val="00874096"/>
    <w:rsid w:val="008741C6"/>
    <w:rsid w:val="00874B15"/>
    <w:rsid w:val="00874D6E"/>
    <w:rsid w:val="0087519E"/>
    <w:rsid w:val="008756A4"/>
    <w:rsid w:val="00875D7D"/>
    <w:rsid w:val="00875F73"/>
    <w:rsid w:val="008771EA"/>
    <w:rsid w:val="00877C0A"/>
    <w:rsid w:val="00877D22"/>
    <w:rsid w:val="00877E1F"/>
    <w:rsid w:val="00880297"/>
    <w:rsid w:val="008806A6"/>
    <w:rsid w:val="008807CE"/>
    <w:rsid w:val="00880F30"/>
    <w:rsid w:val="0088102A"/>
    <w:rsid w:val="008810C1"/>
    <w:rsid w:val="00881267"/>
    <w:rsid w:val="008817EB"/>
    <w:rsid w:val="00881A87"/>
    <w:rsid w:val="00881D3D"/>
    <w:rsid w:val="00882DF2"/>
    <w:rsid w:val="00882EBF"/>
    <w:rsid w:val="008833E8"/>
    <w:rsid w:val="0088342C"/>
    <w:rsid w:val="00883AFB"/>
    <w:rsid w:val="00884353"/>
    <w:rsid w:val="0088480E"/>
    <w:rsid w:val="00885A03"/>
    <w:rsid w:val="0088633A"/>
    <w:rsid w:val="008866B2"/>
    <w:rsid w:val="00886AE6"/>
    <w:rsid w:val="0088762E"/>
    <w:rsid w:val="00887B48"/>
    <w:rsid w:val="00887B96"/>
    <w:rsid w:val="00890CB6"/>
    <w:rsid w:val="00890D93"/>
    <w:rsid w:val="00891707"/>
    <w:rsid w:val="0089176E"/>
    <w:rsid w:val="008917E0"/>
    <w:rsid w:val="008920C0"/>
    <w:rsid w:val="00892365"/>
    <w:rsid w:val="0089271E"/>
    <w:rsid w:val="008927C6"/>
    <w:rsid w:val="00892BE5"/>
    <w:rsid w:val="008937EA"/>
    <w:rsid w:val="0089387C"/>
    <w:rsid w:val="00893AAD"/>
    <w:rsid w:val="00893DB6"/>
    <w:rsid w:val="0089444E"/>
    <w:rsid w:val="008949DF"/>
    <w:rsid w:val="008951DB"/>
    <w:rsid w:val="00895432"/>
    <w:rsid w:val="00895E5E"/>
    <w:rsid w:val="00896817"/>
    <w:rsid w:val="00896C81"/>
    <w:rsid w:val="00896D83"/>
    <w:rsid w:val="00897247"/>
    <w:rsid w:val="008A00EE"/>
    <w:rsid w:val="008A0783"/>
    <w:rsid w:val="008A0946"/>
    <w:rsid w:val="008A0AB2"/>
    <w:rsid w:val="008A0CFC"/>
    <w:rsid w:val="008A1019"/>
    <w:rsid w:val="008A114A"/>
    <w:rsid w:val="008A12FE"/>
    <w:rsid w:val="008A195D"/>
    <w:rsid w:val="008A1E9D"/>
    <w:rsid w:val="008A28B6"/>
    <w:rsid w:val="008A2989"/>
    <w:rsid w:val="008A2A6D"/>
    <w:rsid w:val="008A2BB1"/>
    <w:rsid w:val="008A2FBB"/>
    <w:rsid w:val="008A339E"/>
    <w:rsid w:val="008A3466"/>
    <w:rsid w:val="008A386B"/>
    <w:rsid w:val="008A389F"/>
    <w:rsid w:val="008A3D02"/>
    <w:rsid w:val="008A5834"/>
    <w:rsid w:val="008A5940"/>
    <w:rsid w:val="008A62B1"/>
    <w:rsid w:val="008A64D8"/>
    <w:rsid w:val="008A664A"/>
    <w:rsid w:val="008A694F"/>
    <w:rsid w:val="008A73B2"/>
    <w:rsid w:val="008A7740"/>
    <w:rsid w:val="008A78EA"/>
    <w:rsid w:val="008A7B43"/>
    <w:rsid w:val="008A7BB2"/>
    <w:rsid w:val="008A7D6A"/>
    <w:rsid w:val="008B043F"/>
    <w:rsid w:val="008B0808"/>
    <w:rsid w:val="008B0AEC"/>
    <w:rsid w:val="008B1C29"/>
    <w:rsid w:val="008B1E53"/>
    <w:rsid w:val="008B1E5B"/>
    <w:rsid w:val="008B1F3F"/>
    <w:rsid w:val="008B36B2"/>
    <w:rsid w:val="008B389D"/>
    <w:rsid w:val="008B39BB"/>
    <w:rsid w:val="008B3C5C"/>
    <w:rsid w:val="008B4329"/>
    <w:rsid w:val="008B470E"/>
    <w:rsid w:val="008B478D"/>
    <w:rsid w:val="008B4942"/>
    <w:rsid w:val="008B5299"/>
    <w:rsid w:val="008B532A"/>
    <w:rsid w:val="008B5465"/>
    <w:rsid w:val="008B5A5F"/>
    <w:rsid w:val="008B5AB0"/>
    <w:rsid w:val="008B6054"/>
    <w:rsid w:val="008B6266"/>
    <w:rsid w:val="008B6EEA"/>
    <w:rsid w:val="008B71E9"/>
    <w:rsid w:val="008B74F4"/>
    <w:rsid w:val="008B7703"/>
    <w:rsid w:val="008B7B08"/>
    <w:rsid w:val="008B7C97"/>
    <w:rsid w:val="008B7DE9"/>
    <w:rsid w:val="008C00AD"/>
    <w:rsid w:val="008C0234"/>
    <w:rsid w:val="008C02B8"/>
    <w:rsid w:val="008C03FB"/>
    <w:rsid w:val="008C0841"/>
    <w:rsid w:val="008C095D"/>
    <w:rsid w:val="008C0C04"/>
    <w:rsid w:val="008C13F0"/>
    <w:rsid w:val="008C1F26"/>
    <w:rsid w:val="008C1F7E"/>
    <w:rsid w:val="008C24BC"/>
    <w:rsid w:val="008C256A"/>
    <w:rsid w:val="008C25D7"/>
    <w:rsid w:val="008C26AA"/>
    <w:rsid w:val="008C2A3A"/>
    <w:rsid w:val="008C2A78"/>
    <w:rsid w:val="008C2BA9"/>
    <w:rsid w:val="008C2CE9"/>
    <w:rsid w:val="008C2D8B"/>
    <w:rsid w:val="008C3106"/>
    <w:rsid w:val="008C3516"/>
    <w:rsid w:val="008C3567"/>
    <w:rsid w:val="008C37C5"/>
    <w:rsid w:val="008C407D"/>
    <w:rsid w:val="008C46A4"/>
    <w:rsid w:val="008C4C7E"/>
    <w:rsid w:val="008C4DBF"/>
    <w:rsid w:val="008C4FE3"/>
    <w:rsid w:val="008C52A3"/>
    <w:rsid w:val="008C57B4"/>
    <w:rsid w:val="008C5A0F"/>
    <w:rsid w:val="008C5C46"/>
    <w:rsid w:val="008C6184"/>
    <w:rsid w:val="008C6665"/>
    <w:rsid w:val="008C69E0"/>
    <w:rsid w:val="008C6C80"/>
    <w:rsid w:val="008C6FDE"/>
    <w:rsid w:val="008C7373"/>
    <w:rsid w:val="008C785E"/>
    <w:rsid w:val="008C7984"/>
    <w:rsid w:val="008D00D5"/>
    <w:rsid w:val="008D0AFB"/>
    <w:rsid w:val="008D1511"/>
    <w:rsid w:val="008D2755"/>
    <w:rsid w:val="008D2BED"/>
    <w:rsid w:val="008D2EB6"/>
    <w:rsid w:val="008D32DF"/>
    <w:rsid w:val="008D35E9"/>
    <w:rsid w:val="008D3959"/>
    <w:rsid w:val="008D3966"/>
    <w:rsid w:val="008D3D00"/>
    <w:rsid w:val="008D4352"/>
    <w:rsid w:val="008D43C5"/>
    <w:rsid w:val="008D45B6"/>
    <w:rsid w:val="008D481F"/>
    <w:rsid w:val="008D4917"/>
    <w:rsid w:val="008D4E73"/>
    <w:rsid w:val="008D5003"/>
    <w:rsid w:val="008D51CC"/>
    <w:rsid w:val="008D521B"/>
    <w:rsid w:val="008D52CC"/>
    <w:rsid w:val="008D56C7"/>
    <w:rsid w:val="008D5C8B"/>
    <w:rsid w:val="008D6013"/>
    <w:rsid w:val="008D60BC"/>
    <w:rsid w:val="008D64D4"/>
    <w:rsid w:val="008D68A8"/>
    <w:rsid w:val="008D693E"/>
    <w:rsid w:val="008D6D7B"/>
    <w:rsid w:val="008D7957"/>
    <w:rsid w:val="008D7EB7"/>
    <w:rsid w:val="008E03DB"/>
    <w:rsid w:val="008E0649"/>
    <w:rsid w:val="008E06A7"/>
    <w:rsid w:val="008E0EB8"/>
    <w:rsid w:val="008E10A6"/>
    <w:rsid w:val="008E1271"/>
    <w:rsid w:val="008E1BF9"/>
    <w:rsid w:val="008E2117"/>
    <w:rsid w:val="008E2251"/>
    <w:rsid w:val="008E23A3"/>
    <w:rsid w:val="008E24B3"/>
    <w:rsid w:val="008E24CA"/>
    <w:rsid w:val="008E29BB"/>
    <w:rsid w:val="008E2F6E"/>
    <w:rsid w:val="008E2FED"/>
    <w:rsid w:val="008E3254"/>
    <w:rsid w:val="008E38AD"/>
    <w:rsid w:val="008E3A04"/>
    <w:rsid w:val="008E3EEC"/>
    <w:rsid w:val="008E3F86"/>
    <w:rsid w:val="008E3FEA"/>
    <w:rsid w:val="008E459B"/>
    <w:rsid w:val="008E50C8"/>
    <w:rsid w:val="008E52C5"/>
    <w:rsid w:val="008E52FE"/>
    <w:rsid w:val="008E5471"/>
    <w:rsid w:val="008E5BF2"/>
    <w:rsid w:val="008E5C81"/>
    <w:rsid w:val="008E5DE7"/>
    <w:rsid w:val="008E6246"/>
    <w:rsid w:val="008E6F17"/>
    <w:rsid w:val="008E6F99"/>
    <w:rsid w:val="008E74E8"/>
    <w:rsid w:val="008F02E7"/>
    <w:rsid w:val="008F0306"/>
    <w:rsid w:val="008F05A8"/>
    <w:rsid w:val="008F0785"/>
    <w:rsid w:val="008F0839"/>
    <w:rsid w:val="008F09FE"/>
    <w:rsid w:val="008F0A38"/>
    <w:rsid w:val="008F0D97"/>
    <w:rsid w:val="008F0F84"/>
    <w:rsid w:val="008F1014"/>
    <w:rsid w:val="008F1094"/>
    <w:rsid w:val="008F11C9"/>
    <w:rsid w:val="008F1912"/>
    <w:rsid w:val="008F1D3B"/>
    <w:rsid w:val="008F23D8"/>
    <w:rsid w:val="008F28A1"/>
    <w:rsid w:val="008F2FD5"/>
    <w:rsid w:val="008F32A0"/>
    <w:rsid w:val="008F37E5"/>
    <w:rsid w:val="008F409D"/>
    <w:rsid w:val="008F418E"/>
    <w:rsid w:val="008F44CF"/>
    <w:rsid w:val="008F48C2"/>
    <w:rsid w:val="008F4F37"/>
    <w:rsid w:val="008F5840"/>
    <w:rsid w:val="008F5B1C"/>
    <w:rsid w:val="008F5EEF"/>
    <w:rsid w:val="008F61F8"/>
    <w:rsid w:val="008F66FE"/>
    <w:rsid w:val="008F6E6A"/>
    <w:rsid w:val="008F6EA0"/>
    <w:rsid w:val="008F7072"/>
    <w:rsid w:val="008F726E"/>
    <w:rsid w:val="008F72CC"/>
    <w:rsid w:val="008F72CD"/>
    <w:rsid w:val="008F7437"/>
    <w:rsid w:val="008F74B7"/>
    <w:rsid w:val="008F7536"/>
    <w:rsid w:val="008F7D71"/>
    <w:rsid w:val="0090057B"/>
    <w:rsid w:val="009009BD"/>
    <w:rsid w:val="009014DC"/>
    <w:rsid w:val="009015D0"/>
    <w:rsid w:val="00901F2E"/>
    <w:rsid w:val="009026CA"/>
    <w:rsid w:val="00902D4F"/>
    <w:rsid w:val="00903802"/>
    <w:rsid w:val="00903BA8"/>
    <w:rsid w:val="00903C3C"/>
    <w:rsid w:val="00903C80"/>
    <w:rsid w:val="00903CB5"/>
    <w:rsid w:val="00903E43"/>
    <w:rsid w:val="00903EFC"/>
    <w:rsid w:val="009045DF"/>
    <w:rsid w:val="00904944"/>
    <w:rsid w:val="00904D0D"/>
    <w:rsid w:val="00904DE4"/>
    <w:rsid w:val="00904E14"/>
    <w:rsid w:val="00904E29"/>
    <w:rsid w:val="00904F4D"/>
    <w:rsid w:val="009055E8"/>
    <w:rsid w:val="00905AD9"/>
    <w:rsid w:val="00905AE4"/>
    <w:rsid w:val="0090696D"/>
    <w:rsid w:val="00906BA1"/>
    <w:rsid w:val="00906CD6"/>
    <w:rsid w:val="00906E4D"/>
    <w:rsid w:val="00906F31"/>
    <w:rsid w:val="009076B5"/>
    <w:rsid w:val="009078B3"/>
    <w:rsid w:val="009078CE"/>
    <w:rsid w:val="009079CD"/>
    <w:rsid w:val="00907A57"/>
    <w:rsid w:val="00907A77"/>
    <w:rsid w:val="00907E00"/>
    <w:rsid w:val="0091027B"/>
    <w:rsid w:val="0091029B"/>
    <w:rsid w:val="0091088D"/>
    <w:rsid w:val="00910FC9"/>
    <w:rsid w:val="009120FD"/>
    <w:rsid w:val="0091261E"/>
    <w:rsid w:val="00912724"/>
    <w:rsid w:val="009127A3"/>
    <w:rsid w:val="0091291A"/>
    <w:rsid w:val="009135E4"/>
    <w:rsid w:val="009135EF"/>
    <w:rsid w:val="00913612"/>
    <w:rsid w:val="0091366A"/>
    <w:rsid w:val="00913824"/>
    <w:rsid w:val="00914613"/>
    <w:rsid w:val="0091542C"/>
    <w:rsid w:val="00915757"/>
    <w:rsid w:val="009159B3"/>
    <w:rsid w:val="009159F1"/>
    <w:rsid w:val="00915B78"/>
    <w:rsid w:val="00916097"/>
    <w:rsid w:val="00916181"/>
    <w:rsid w:val="009166BC"/>
    <w:rsid w:val="00916898"/>
    <w:rsid w:val="00916EB8"/>
    <w:rsid w:val="00917003"/>
    <w:rsid w:val="0091739E"/>
    <w:rsid w:val="009173BE"/>
    <w:rsid w:val="009177CC"/>
    <w:rsid w:val="00917AA8"/>
    <w:rsid w:val="00917D8F"/>
    <w:rsid w:val="00920463"/>
    <w:rsid w:val="009204C5"/>
    <w:rsid w:val="00920DBA"/>
    <w:rsid w:val="00921513"/>
    <w:rsid w:val="0092180D"/>
    <w:rsid w:val="009232C9"/>
    <w:rsid w:val="009235D0"/>
    <w:rsid w:val="00923608"/>
    <w:rsid w:val="009238E5"/>
    <w:rsid w:val="00923B0D"/>
    <w:rsid w:val="00923E85"/>
    <w:rsid w:val="00923EF2"/>
    <w:rsid w:val="00923F12"/>
    <w:rsid w:val="00923FBE"/>
    <w:rsid w:val="0092467B"/>
    <w:rsid w:val="00924FF8"/>
    <w:rsid w:val="00925BA8"/>
    <w:rsid w:val="00925DEC"/>
    <w:rsid w:val="00926930"/>
    <w:rsid w:val="00926DA7"/>
    <w:rsid w:val="00926E10"/>
    <w:rsid w:val="00926E89"/>
    <w:rsid w:val="009272D6"/>
    <w:rsid w:val="009272E9"/>
    <w:rsid w:val="009277E8"/>
    <w:rsid w:val="00927968"/>
    <w:rsid w:val="00927A08"/>
    <w:rsid w:val="00927D47"/>
    <w:rsid w:val="00927EF1"/>
    <w:rsid w:val="00927F8B"/>
    <w:rsid w:val="00930351"/>
    <w:rsid w:val="009307C5"/>
    <w:rsid w:val="0093094D"/>
    <w:rsid w:val="00931337"/>
    <w:rsid w:val="00931A78"/>
    <w:rsid w:val="00931B0A"/>
    <w:rsid w:val="009324B7"/>
    <w:rsid w:val="009328C7"/>
    <w:rsid w:val="00932D22"/>
    <w:rsid w:val="009336EC"/>
    <w:rsid w:val="00933C93"/>
    <w:rsid w:val="00933CC0"/>
    <w:rsid w:val="00933F56"/>
    <w:rsid w:val="00934AD3"/>
    <w:rsid w:val="00934C13"/>
    <w:rsid w:val="00934D31"/>
    <w:rsid w:val="00935228"/>
    <w:rsid w:val="009355A2"/>
    <w:rsid w:val="00935F9E"/>
    <w:rsid w:val="00936461"/>
    <w:rsid w:val="00936976"/>
    <w:rsid w:val="009369A7"/>
    <w:rsid w:val="009369DF"/>
    <w:rsid w:val="00936D98"/>
    <w:rsid w:val="00936EC5"/>
    <w:rsid w:val="00937132"/>
    <w:rsid w:val="00937439"/>
    <w:rsid w:val="0093771E"/>
    <w:rsid w:val="00937B48"/>
    <w:rsid w:val="00937D8F"/>
    <w:rsid w:val="00940B00"/>
    <w:rsid w:val="00940DEE"/>
    <w:rsid w:val="00941082"/>
    <w:rsid w:val="0094117A"/>
    <w:rsid w:val="00941995"/>
    <w:rsid w:val="00942A05"/>
    <w:rsid w:val="00942A5B"/>
    <w:rsid w:val="00942C80"/>
    <w:rsid w:val="00943197"/>
    <w:rsid w:val="009435F2"/>
    <w:rsid w:val="00943FE9"/>
    <w:rsid w:val="009440C3"/>
    <w:rsid w:val="0094451B"/>
    <w:rsid w:val="00944807"/>
    <w:rsid w:val="00944CA3"/>
    <w:rsid w:val="0094507E"/>
    <w:rsid w:val="00945180"/>
    <w:rsid w:val="009454F4"/>
    <w:rsid w:val="0094590C"/>
    <w:rsid w:val="00945ABC"/>
    <w:rsid w:val="00945BCC"/>
    <w:rsid w:val="00946355"/>
    <w:rsid w:val="0094679F"/>
    <w:rsid w:val="0094687A"/>
    <w:rsid w:val="009468B7"/>
    <w:rsid w:val="00946F21"/>
    <w:rsid w:val="0094724E"/>
    <w:rsid w:val="009472B8"/>
    <w:rsid w:val="0094739E"/>
    <w:rsid w:val="009473CA"/>
    <w:rsid w:val="00947805"/>
    <w:rsid w:val="00947973"/>
    <w:rsid w:val="00947BE6"/>
    <w:rsid w:val="0095015C"/>
    <w:rsid w:val="0095048D"/>
    <w:rsid w:val="00950DB1"/>
    <w:rsid w:val="00951011"/>
    <w:rsid w:val="00951ADB"/>
    <w:rsid w:val="00952BC8"/>
    <w:rsid w:val="00952CAB"/>
    <w:rsid w:val="00952D32"/>
    <w:rsid w:val="00952F67"/>
    <w:rsid w:val="0095380C"/>
    <w:rsid w:val="00954353"/>
    <w:rsid w:val="00954938"/>
    <w:rsid w:val="0095584D"/>
    <w:rsid w:val="00955B23"/>
    <w:rsid w:val="00955C0A"/>
    <w:rsid w:val="00955C4F"/>
    <w:rsid w:val="00956108"/>
    <w:rsid w:val="0095625E"/>
    <w:rsid w:val="009562E0"/>
    <w:rsid w:val="00956743"/>
    <w:rsid w:val="00957A20"/>
    <w:rsid w:val="00957BC0"/>
    <w:rsid w:val="00957D57"/>
    <w:rsid w:val="00960399"/>
    <w:rsid w:val="00960905"/>
    <w:rsid w:val="00961177"/>
    <w:rsid w:val="0096134F"/>
    <w:rsid w:val="0096162D"/>
    <w:rsid w:val="00961874"/>
    <w:rsid w:val="00961942"/>
    <w:rsid w:val="00961B11"/>
    <w:rsid w:val="00961F9D"/>
    <w:rsid w:val="0096223A"/>
    <w:rsid w:val="00962520"/>
    <w:rsid w:val="00962955"/>
    <w:rsid w:val="009629CE"/>
    <w:rsid w:val="00962B1A"/>
    <w:rsid w:val="0096311B"/>
    <w:rsid w:val="009631A8"/>
    <w:rsid w:val="00963277"/>
    <w:rsid w:val="00963278"/>
    <w:rsid w:val="00963885"/>
    <w:rsid w:val="00963FF1"/>
    <w:rsid w:val="00964143"/>
    <w:rsid w:val="00965340"/>
    <w:rsid w:val="009657F1"/>
    <w:rsid w:val="0096625D"/>
    <w:rsid w:val="00966957"/>
    <w:rsid w:val="00966A0B"/>
    <w:rsid w:val="009679E2"/>
    <w:rsid w:val="00967CC8"/>
    <w:rsid w:val="00967D6B"/>
    <w:rsid w:val="00970140"/>
    <w:rsid w:val="009704E8"/>
    <w:rsid w:val="00970583"/>
    <w:rsid w:val="0097069A"/>
    <w:rsid w:val="009709F8"/>
    <w:rsid w:val="00970EC6"/>
    <w:rsid w:val="00971406"/>
    <w:rsid w:val="00971E83"/>
    <w:rsid w:val="00972223"/>
    <w:rsid w:val="00972921"/>
    <w:rsid w:val="00972929"/>
    <w:rsid w:val="0097296D"/>
    <w:rsid w:val="009729DA"/>
    <w:rsid w:val="00972F91"/>
    <w:rsid w:val="00972FE3"/>
    <w:rsid w:val="00973396"/>
    <w:rsid w:val="009737E7"/>
    <w:rsid w:val="00973827"/>
    <w:rsid w:val="00974196"/>
    <w:rsid w:val="009742D3"/>
    <w:rsid w:val="009746CD"/>
    <w:rsid w:val="00974F3A"/>
    <w:rsid w:val="0097528F"/>
    <w:rsid w:val="00975647"/>
    <w:rsid w:val="00975CD6"/>
    <w:rsid w:val="00975D20"/>
    <w:rsid w:val="00975E42"/>
    <w:rsid w:val="00975FCC"/>
    <w:rsid w:val="009761F4"/>
    <w:rsid w:val="00976A0B"/>
    <w:rsid w:val="009773B0"/>
    <w:rsid w:val="0097756E"/>
    <w:rsid w:val="00977BA7"/>
    <w:rsid w:val="00980517"/>
    <w:rsid w:val="00980731"/>
    <w:rsid w:val="009811D4"/>
    <w:rsid w:val="00981513"/>
    <w:rsid w:val="00981715"/>
    <w:rsid w:val="0098194F"/>
    <w:rsid w:val="00981D3D"/>
    <w:rsid w:val="00981E1E"/>
    <w:rsid w:val="009820B1"/>
    <w:rsid w:val="0098242D"/>
    <w:rsid w:val="00982539"/>
    <w:rsid w:val="0098256C"/>
    <w:rsid w:val="009826C8"/>
    <w:rsid w:val="00983040"/>
    <w:rsid w:val="00983142"/>
    <w:rsid w:val="0098316F"/>
    <w:rsid w:val="009836E4"/>
    <w:rsid w:val="00983A50"/>
    <w:rsid w:val="0098412F"/>
    <w:rsid w:val="0098420B"/>
    <w:rsid w:val="00984CDE"/>
    <w:rsid w:val="009850A0"/>
    <w:rsid w:val="009850B9"/>
    <w:rsid w:val="0098590E"/>
    <w:rsid w:val="00985C38"/>
    <w:rsid w:val="00985F28"/>
    <w:rsid w:val="00986149"/>
    <w:rsid w:val="00986176"/>
    <w:rsid w:val="00986E7F"/>
    <w:rsid w:val="00986F0A"/>
    <w:rsid w:val="0098721F"/>
    <w:rsid w:val="009874D1"/>
    <w:rsid w:val="00987536"/>
    <w:rsid w:val="00987E30"/>
    <w:rsid w:val="0099051A"/>
    <w:rsid w:val="009905D7"/>
    <w:rsid w:val="009907B7"/>
    <w:rsid w:val="00990991"/>
    <w:rsid w:val="00990BD5"/>
    <w:rsid w:val="009910FB"/>
    <w:rsid w:val="00991278"/>
    <w:rsid w:val="009913CC"/>
    <w:rsid w:val="00991737"/>
    <w:rsid w:val="0099196F"/>
    <w:rsid w:val="00991B7D"/>
    <w:rsid w:val="00992B98"/>
    <w:rsid w:val="0099359F"/>
    <w:rsid w:val="00993643"/>
    <w:rsid w:val="009937B8"/>
    <w:rsid w:val="00994081"/>
    <w:rsid w:val="009946FE"/>
    <w:rsid w:val="00994871"/>
    <w:rsid w:val="00994E08"/>
    <w:rsid w:val="00995030"/>
    <w:rsid w:val="009951F9"/>
    <w:rsid w:val="009959A1"/>
    <w:rsid w:val="00995C95"/>
    <w:rsid w:val="00995E85"/>
    <w:rsid w:val="00996468"/>
    <w:rsid w:val="00996876"/>
    <w:rsid w:val="00996CB4"/>
    <w:rsid w:val="00996FFA"/>
    <w:rsid w:val="00997252"/>
    <w:rsid w:val="009973F1"/>
    <w:rsid w:val="009973F3"/>
    <w:rsid w:val="0099750C"/>
    <w:rsid w:val="009A010D"/>
    <w:rsid w:val="009A0139"/>
    <w:rsid w:val="009A0A90"/>
    <w:rsid w:val="009A0C6F"/>
    <w:rsid w:val="009A0FD5"/>
    <w:rsid w:val="009A1027"/>
    <w:rsid w:val="009A14EF"/>
    <w:rsid w:val="009A15C8"/>
    <w:rsid w:val="009A1A3C"/>
    <w:rsid w:val="009A2154"/>
    <w:rsid w:val="009A2400"/>
    <w:rsid w:val="009A2D32"/>
    <w:rsid w:val="009A2DF9"/>
    <w:rsid w:val="009A3A86"/>
    <w:rsid w:val="009A3DC9"/>
    <w:rsid w:val="009A40C3"/>
    <w:rsid w:val="009A4869"/>
    <w:rsid w:val="009A4D5A"/>
    <w:rsid w:val="009A4DD5"/>
    <w:rsid w:val="009A5139"/>
    <w:rsid w:val="009A5678"/>
    <w:rsid w:val="009A56CB"/>
    <w:rsid w:val="009A5761"/>
    <w:rsid w:val="009A5F92"/>
    <w:rsid w:val="009A624F"/>
    <w:rsid w:val="009A676F"/>
    <w:rsid w:val="009A6A6B"/>
    <w:rsid w:val="009A78BF"/>
    <w:rsid w:val="009B00FA"/>
    <w:rsid w:val="009B17EA"/>
    <w:rsid w:val="009B19CB"/>
    <w:rsid w:val="009B1EF9"/>
    <w:rsid w:val="009B2060"/>
    <w:rsid w:val="009B26AC"/>
    <w:rsid w:val="009B295C"/>
    <w:rsid w:val="009B2E91"/>
    <w:rsid w:val="009B3793"/>
    <w:rsid w:val="009B37E2"/>
    <w:rsid w:val="009B3891"/>
    <w:rsid w:val="009B3BCC"/>
    <w:rsid w:val="009B4078"/>
    <w:rsid w:val="009B4519"/>
    <w:rsid w:val="009B4875"/>
    <w:rsid w:val="009B49CD"/>
    <w:rsid w:val="009B4F22"/>
    <w:rsid w:val="009B4F52"/>
    <w:rsid w:val="009B506B"/>
    <w:rsid w:val="009B50F8"/>
    <w:rsid w:val="009B515C"/>
    <w:rsid w:val="009B54D7"/>
    <w:rsid w:val="009B57EF"/>
    <w:rsid w:val="009B5983"/>
    <w:rsid w:val="009B5B85"/>
    <w:rsid w:val="009B632B"/>
    <w:rsid w:val="009B688A"/>
    <w:rsid w:val="009B68FE"/>
    <w:rsid w:val="009B6C49"/>
    <w:rsid w:val="009B6F5C"/>
    <w:rsid w:val="009B7204"/>
    <w:rsid w:val="009B73A8"/>
    <w:rsid w:val="009B74B2"/>
    <w:rsid w:val="009B7690"/>
    <w:rsid w:val="009B7852"/>
    <w:rsid w:val="009B7AC0"/>
    <w:rsid w:val="009B7FD7"/>
    <w:rsid w:val="009C0074"/>
    <w:rsid w:val="009C0131"/>
    <w:rsid w:val="009C01E9"/>
    <w:rsid w:val="009C0564"/>
    <w:rsid w:val="009C0A43"/>
    <w:rsid w:val="009C0B9A"/>
    <w:rsid w:val="009C0F5B"/>
    <w:rsid w:val="009C1024"/>
    <w:rsid w:val="009C17AB"/>
    <w:rsid w:val="009C1FF7"/>
    <w:rsid w:val="009C2685"/>
    <w:rsid w:val="009C2769"/>
    <w:rsid w:val="009C2CC2"/>
    <w:rsid w:val="009C2E23"/>
    <w:rsid w:val="009C2F51"/>
    <w:rsid w:val="009C3077"/>
    <w:rsid w:val="009C3542"/>
    <w:rsid w:val="009C39BC"/>
    <w:rsid w:val="009C4643"/>
    <w:rsid w:val="009C4BC2"/>
    <w:rsid w:val="009C4D22"/>
    <w:rsid w:val="009C537D"/>
    <w:rsid w:val="009C5937"/>
    <w:rsid w:val="009C5CD9"/>
    <w:rsid w:val="009C5E5A"/>
    <w:rsid w:val="009C6B54"/>
    <w:rsid w:val="009C6F63"/>
    <w:rsid w:val="009C720A"/>
    <w:rsid w:val="009C72E9"/>
    <w:rsid w:val="009C7320"/>
    <w:rsid w:val="009C7CE9"/>
    <w:rsid w:val="009D0028"/>
    <w:rsid w:val="009D044D"/>
    <w:rsid w:val="009D0729"/>
    <w:rsid w:val="009D0F66"/>
    <w:rsid w:val="009D1925"/>
    <w:rsid w:val="009D19B6"/>
    <w:rsid w:val="009D1A06"/>
    <w:rsid w:val="009D1BA4"/>
    <w:rsid w:val="009D1CA8"/>
    <w:rsid w:val="009D2008"/>
    <w:rsid w:val="009D20CC"/>
    <w:rsid w:val="009D22CB"/>
    <w:rsid w:val="009D22E4"/>
    <w:rsid w:val="009D22F7"/>
    <w:rsid w:val="009D2398"/>
    <w:rsid w:val="009D25E6"/>
    <w:rsid w:val="009D2B28"/>
    <w:rsid w:val="009D319C"/>
    <w:rsid w:val="009D32AC"/>
    <w:rsid w:val="009D3466"/>
    <w:rsid w:val="009D397C"/>
    <w:rsid w:val="009D3C2C"/>
    <w:rsid w:val="009D42BE"/>
    <w:rsid w:val="009D481C"/>
    <w:rsid w:val="009D49D0"/>
    <w:rsid w:val="009D4C6B"/>
    <w:rsid w:val="009D4C9A"/>
    <w:rsid w:val="009D5050"/>
    <w:rsid w:val="009D508C"/>
    <w:rsid w:val="009D54FC"/>
    <w:rsid w:val="009D5A4D"/>
    <w:rsid w:val="009D5BAB"/>
    <w:rsid w:val="009D5C95"/>
    <w:rsid w:val="009D5D28"/>
    <w:rsid w:val="009D6154"/>
    <w:rsid w:val="009D6308"/>
    <w:rsid w:val="009D646E"/>
    <w:rsid w:val="009D6A05"/>
    <w:rsid w:val="009D6A0A"/>
    <w:rsid w:val="009D76F3"/>
    <w:rsid w:val="009E058F"/>
    <w:rsid w:val="009E0A9E"/>
    <w:rsid w:val="009E0F3E"/>
    <w:rsid w:val="009E1840"/>
    <w:rsid w:val="009E19A2"/>
    <w:rsid w:val="009E2934"/>
    <w:rsid w:val="009E303D"/>
    <w:rsid w:val="009E37E8"/>
    <w:rsid w:val="009E3AFD"/>
    <w:rsid w:val="009E3CDD"/>
    <w:rsid w:val="009E498A"/>
    <w:rsid w:val="009E4B16"/>
    <w:rsid w:val="009E4D79"/>
    <w:rsid w:val="009E5418"/>
    <w:rsid w:val="009E541F"/>
    <w:rsid w:val="009E5A16"/>
    <w:rsid w:val="009E5ACA"/>
    <w:rsid w:val="009E5C60"/>
    <w:rsid w:val="009E64DB"/>
    <w:rsid w:val="009E6794"/>
    <w:rsid w:val="009E6A1D"/>
    <w:rsid w:val="009E7189"/>
    <w:rsid w:val="009E76BF"/>
    <w:rsid w:val="009E7914"/>
    <w:rsid w:val="009E7B41"/>
    <w:rsid w:val="009E7BF3"/>
    <w:rsid w:val="009E7E46"/>
    <w:rsid w:val="009E7F44"/>
    <w:rsid w:val="009E7FC1"/>
    <w:rsid w:val="009F01E1"/>
    <w:rsid w:val="009F0505"/>
    <w:rsid w:val="009F09AB"/>
    <w:rsid w:val="009F09D7"/>
    <w:rsid w:val="009F0B4D"/>
    <w:rsid w:val="009F0ED8"/>
    <w:rsid w:val="009F1096"/>
    <w:rsid w:val="009F150E"/>
    <w:rsid w:val="009F20A8"/>
    <w:rsid w:val="009F274C"/>
    <w:rsid w:val="009F27AD"/>
    <w:rsid w:val="009F2E81"/>
    <w:rsid w:val="009F3030"/>
    <w:rsid w:val="009F3FB5"/>
    <w:rsid w:val="009F40BD"/>
    <w:rsid w:val="009F42EE"/>
    <w:rsid w:val="009F445B"/>
    <w:rsid w:val="009F47E6"/>
    <w:rsid w:val="009F4856"/>
    <w:rsid w:val="009F49CC"/>
    <w:rsid w:val="009F4EEC"/>
    <w:rsid w:val="009F5112"/>
    <w:rsid w:val="009F521F"/>
    <w:rsid w:val="009F553C"/>
    <w:rsid w:val="009F5800"/>
    <w:rsid w:val="009F59F8"/>
    <w:rsid w:val="009F5C3E"/>
    <w:rsid w:val="009F65C5"/>
    <w:rsid w:val="009F7215"/>
    <w:rsid w:val="009F749A"/>
    <w:rsid w:val="009F7697"/>
    <w:rsid w:val="009F797C"/>
    <w:rsid w:val="009F7A31"/>
    <w:rsid w:val="009F7F5B"/>
    <w:rsid w:val="00A005B0"/>
    <w:rsid w:val="00A007CF"/>
    <w:rsid w:val="00A009CF"/>
    <w:rsid w:val="00A00A0C"/>
    <w:rsid w:val="00A0153F"/>
    <w:rsid w:val="00A01DD0"/>
    <w:rsid w:val="00A01F17"/>
    <w:rsid w:val="00A022A5"/>
    <w:rsid w:val="00A02C79"/>
    <w:rsid w:val="00A03011"/>
    <w:rsid w:val="00A0314A"/>
    <w:rsid w:val="00A034AA"/>
    <w:rsid w:val="00A03A22"/>
    <w:rsid w:val="00A03AA1"/>
    <w:rsid w:val="00A03C0D"/>
    <w:rsid w:val="00A04062"/>
    <w:rsid w:val="00A041FE"/>
    <w:rsid w:val="00A04210"/>
    <w:rsid w:val="00A04443"/>
    <w:rsid w:val="00A04634"/>
    <w:rsid w:val="00A04A38"/>
    <w:rsid w:val="00A04FE3"/>
    <w:rsid w:val="00A0577E"/>
    <w:rsid w:val="00A05D57"/>
    <w:rsid w:val="00A06119"/>
    <w:rsid w:val="00A06A65"/>
    <w:rsid w:val="00A06D3D"/>
    <w:rsid w:val="00A0726C"/>
    <w:rsid w:val="00A07411"/>
    <w:rsid w:val="00A07A48"/>
    <w:rsid w:val="00A07B6E"/>
    <w:rsid w:val="00A07C83"/>
    <w:rsid w:val="00A07CF1"/>
    <w:rsid w:val="00A07D2B"/>
    <w:rsid w:val="00A10787"/>
    <w:rsid w:val="00A107DB"/>
    <w:rsid w:val="00A108EE"/>
    <w:rsid w:val="00A10BB8"/>
    <w:rsid w:val="00A1139D"/>
    <w:rsid w:val="00A1200D"/>
    <w:rsid w:val="00A13123"/>
    <w:rsid w:val="00A137E4"/>
    <w:rsid w:val="00A1421B"/>
    <w:rsid w:val="00A14813"/>
    <w:rsid w:val="00A14820"/>
    <w:rsid w:val="00A15364"/>
    <w:rsid w:val="00A1566A"/>
    <w:rsid w:val="00A16325"/>
    <w:rsid w:val="00A165BF"/>
    <w:rsid w:val="00A16619"/>
    <w:rsid w:val="00A16E89"/>
    <w:rsid w:val="00A172E8"/>
    <w:rsid w:val="00A179FF"/>
    <w:rsid w:val="00A17E49"/>
    <w:rsid w:val="00A17F1A"/>
    <w:rsid w:val="00A20280"/>
    <w:rsid w:val="00A20327"/>
    <w:rsid w:val="00A203FA"/>
    <w:rsid w:val="00A2162B"/>
    <w:rsid w:val="00A218A8"/>
    <w:rsid w:val="00A21A36"/>
    <w:rsid w:val="00A21D7C"/>
    <w:rsid w:val="00A22334"/>
    <w:rsid w:val="00A223BC"/>
    <w:rsid w:val="00A22A13"/>
    <w:rsid w:val="00A23E2C"/>
    <w:rsid w:val="00A241A0"/>
    <w:rsid w:val="00A24793"/>
    <w:rsid w:val="00A248B2"/>
    <w:rsid w:val="00A24A44"/>
    <w:rsid w:val="00A25294"/>
    <w:rsid w:val="00A254A4"/>
    <w:rsid w:val="00A254EE"/>
    <w:rsid w:val="00A2565C"/>
    <w:rsid w:val="00A256B3"/>
    <w:rsid w:val="00A25BE7"/>
    <w:rsid w:val="00A26009"/>
    <w:rsid w:val="00A26CEB"/>
    <w:rsid w:val="00A27008"/>
    <w:rsid w:val="00A27CDF"/>
    <w:rsid w:val="00A27D1A"/>
    <w:rsid w:val="00A308BB"/>
    <w:rsid w:val="00A309C6"/>
    <w:rsid w:val="00A30D13"/>
    <w:rsid w:val="00A313D2"/>
    <w:rsid w:val="00A314F9"/>
    <w:rsid w:val="00A319D0"/>
    <w:rsid w:val="00A31DF1"/>
    <w:rsid w:val="00A31F63"/>
    <w:rsid w:val="00A31FBA"/>
    <w:rsid w:val="00A32238"/>
    <w:rsid w:val="00A32316"/>
    <w:rsid w:val="00A32BF1"/>
    <w:rsid w:val="00A32FE4"/>
    <w:rsid w:val="00A33172"/>
    <w:rsid w:val="00A331D2"/>
    <w:rsid w:val="00A332AF"/>
    <w:rsid w:val="00A33601"/>
    <w:rsid w:val="00A338C6"/>
    <w:rsid w:val="00A34276"/>
    <w:rsid w:val="00A3432B"/>
    <w:rsid w:val="00A346BA"/>
    <w:rsid w:val="00A347D6"/>
    <w:rsid w:val="00A348E6"/>
    <w:rsid w:val="00A34C67"/>
    <w:rsid w:val="00A34D62"/>
    <w:rsid w:val="00A353DA"/>
    <w:rsid w:val="00A35718"/>
    <w:rsid w:val="00A3611D"/>
    <w:rsid w:val="00A36339"/>
    <w:rsid w:val="00A366E4"/>
    <w:rsid w:val="00A37C33"/>
    <w:rsid w:val="00A37CB5"/>
    <w:rsid w:val="00A37F07"/>
    <w:rsid w:val="00A37F3C"/>
    <w:rsid w:val="00A37F9E"/>
    <w:rsid w:val="00A4027C"/>
    <w:rsid w:val="00A40452"/>
    <w:rsid w:val="00A407AD"/>
    <w:rsid w:val="00A40C45"/>
    <w:rsid w:val="00A40F4B"/>
    <w:rsid w:val="00A41863"/>
    <w:rsid w:val="00A41B72"/>
    <w:rsid w:val="00A41B79"/>
    <w:rsid w:val="00A41ED2"/>
    <w:rsid w:val="00A4206D"/>
    <w:rsid w:val="00A425EC"/>
    <w:rsid w:val="00A42657"/>
    <w:rsid w:val="00A4297C"/>
    <w:rsid w:val="00A4359E"/>
    <w:rsid w:val="00A4376F"/>
    <w:rsid w:val="00A438C2"/>
    <w:rsid w:val="00A438EC"/>
    <w:rsid w:val="00A43A8F"/>
    <w:rsid w:val="00A44148"/>
    <w:rsid w:val="00A451C7"/>
    <w:rsid w:val="00A4534B"/>
    <w:rsid w:val="00A4549F"/>
    <w:rsid w:val="00A45684"/>
    <w:rsid w:val="00A45B9B"/>
    <w:rsid w:val="00A45CC2"/>
    <w:rsid w:val="00A45F18"/>
    <w:rsid w:val="00A4608B"/>
    <w:rsid w:val="00A46238"/>
    <w:rsid w:val="00A462E3"/>
    <w:rsid w:val="00A462FE"/>
    <w:rsid w:val="00A477C9"/>
    <w:rsid w:val="00A500C9"/>
    <w:rsid w:val="00A501C9"/>
    <w:rsid w:val="00A5021A"/>
    <w:rsid w:val="00A50506"/>
    <w:rsid w:val="00A50D02"/>
    <w:rsid w:val="00A50F77"/>
    <w:rsid w:val="00A510C6"/>
    <w:rsid w:val="00A51CF4"/>
    <w:rsid w:val="00A51D25"/>
    <w:rsid w:val="00A51F55"/>
    <w:rsid w:val="00A52028"/>
    <w:rsid w:val="00A5223B"/>
    <w:rsid w:val="00A52757"/>
    <w:rsid w:val="00A52ADB"/>
    <w:rsid w:val="00A53425"/>
    <w:rsid w:val="00A53625"/>
    <w:rsid w:val="00A53D03"/>
    <w:rsid w:val="00A53F55"/>
    <w:rsid w:val="00A5417B"/>
    <w:rsid w:val="00A54599"/>
    <w:rsid w:val="00A549EF"/>
    <w:rsid w:val="00A54B56"/>
    <w:rsid w:val="00A54B82"/>
    <w:rsid w:val="00A54EAC"/>
    <w:rsid w:val="00A5556E"/>
    <w:rsid w:val="00A55974"/>
    <w:rsid w:val="00A55DCF"/>
    <w:rsid w:val="00A55E3B"/>
    <w:rsid w:val="00A56253"/>
    <w:rsid w:val="00A569D4"/>
    <w:rsid w:val="00A572DA"/>
    <w:rsid w:val="00A57AE0"/>
    <w:rsid w:val="00A57F1A"/>
    <w:rsid w:val="00A57FEE"/>
    <w:rsid w:val="00A60163"/>
    <w:rsid w:val="00A602A7"/>
    <w:rsid w:val="00A6038D"/>
    <w:rsid w:val="00A60762"/>
    <w:rsid w:val="00A60CF0"/>
    <w:rsid w:val="00A60FF7"/>
    <w:rsid w:val="00A61429"/>
    <w:rsid w:val="00A61514"/>
    <w:rsid w:val="00A61645"/>
    <w:rsid w:val="00A61648"/>
    <w:rsid w:val="00A61F64"/>
    <w:rsid w:val="00A62080"/>
    <w:rsid w:val="00A6245E"/>
    <w:rsid w:val="00A62691"/>
    <w:rsid w:val="00A62ACD"/>
    <w:rsid w:val="00A62D0A"/>
    <w:rsid w:val="00A630A2"/>
    <w:rsid w:val="00A632B8"/>
    <w:rsid w:val="00A639DF"/>
    <w:rsid w:val="00A63BF3"/>
    <w:rsid w:val="00A64942"/>
    <w:rsid w:val="00A65029"/>
    <w:rsid w:val="00A65317"/>
    <w:rsid w:val="00A653F0"/>
    <w:rsid w:val="00A65596"/>
    <w:rsid w:val="00A65911"/>
    <w:rsid w:val="00A659D8"/>
    <w:rsid w:val="00A65D8A"/>
    <w:rsid w:val="00A6643C"/>
    <w:rsid w:val="00A66B37"/>
    <w:rsid w:val="00A66F8F"/>
    <w:rsid w:val="00A67544"/>
    <w:rsid w:val="00A675D2"/>
    <w:rsid w:val="00A67695"/>
    <w:rsid w:val="00A7060D"/>
    <w:rsid w:val="00A7075B"/>
    <w:rsid w:val="00A70BA2"/>
    <w:rsid w:val="00A70E15"/>
    <w:rsid w:val="00A710C9"/>
    <w:rsid w:val="00A711A2"/>
    <w:rsid w:val="00A719E4"/>
    <w:rsid w:val="00A71CE6"/>
    <w:rsid w:val="00A71D23"/>
    <w:rsid w:val="00A71D97"/>
    <w:rsid w:val="00A71FAA"/>
    <w:rsid w:val="00A72AB1"/>
    <w:rsid w:val="00A72B50"/>
    <w:rsid w:val="00A7333A"/>
    <w:rsid w:val="00A73D0D"/>
    <w:rsid w:val="00A74A92"/>
    <w:rsid w:val="00A74AEA"/>
    <w:rsid w:val="00A75363"/>
    <w:rsid w:val="00A75ABB"/>
    <w:rsid w:val="00A75CC1"/>
    <w:rsid w:val="00A75E88"/>
    <w:rsid w:val="00A76441"/>
    <w:rsid w:val="00A765EC"/>
    <w:rsid w:val="00A76678"/>
    <w:rsid w:val="00A76DB7"/>
    <w:rsid w:val="00A76EC5"/>
    <w:rsid w:val="00A77C46"/>
    <w:rsid w:val="00A77D40"/>
    <w:rsid w:val="00A803EF"/>
    <w:rsid w:val="00A8056E"/>
    <w:rsid w:val="00A80F4A"/>
    <w:rsid w:val="00A8180B"/>
    <w:rsid w:val="00A819AE"/>
    <w:rsid w:val="00A81C1C"/>
    <w:rsid w:val="00A81E52"/>
    <w:rsid w:val="00A8225C"/>
    <w:rsid w:val="00A822C2"/>
    <w:rsid w:val="00A82406"/>
    <w:rsid w:val="00A8257F"/>
    <w:rsid w:val="00A82D58"/>
    <w:rsid w:val="00A8358E"/>
    <w:rsid w:val="00A835F2"/>
    <w:rsid w:val="00A8399D"/>
    <w:rsid w:val="00A83E3D"/>
    <w:rsid w:val="00A83F7A"/>
    <w:rsid w:val="00A8443A"/>
    <w:rsid w:val="00A84741"/>
    <w:rsid w:val="00A8479C"/>
    <w:rsid w:val="00A85039"/>
    <w:rsid w:val="00A8557B"/>
    <w:rsid w:val="00A85A05"/>
    <w:rsid w:val="00A86D63"/>
    <w:rsid w:val="00A86F82"/>
    <w:rsid w:val="00A8728F"/>
    <w:rsid w:val="00A872B0"/>
    <w:rsid w:val="00A87797"/>
    <w:rsid w:val="00A87931"/>
    <w:rsid w:val="00A87D4B"/>
    <w:rsid w:val="00A908EF"/>
    <w:rsid w:val="00A90E72"/>
    <w:rsid w:val="00A90F2D"/>
    <w:rsid w:val="00A91654"/>
    <w:rsid w:val="00A91B2C"/>
    <w:rsid w:val="00A91BB9"/>
    <w:rsid w:val="00A922A2"/>
    <w:rsid w:val="00A92C02"/>
    <w:rsid w:val="00A93125"/>
    <w:rsid w:val="00A9327B"/>
    <w:rsid w:val="00A93517"/>
    <w:rsid w:val="00A93A76"/>
    <w:rsid w:val="00A93B69"/>
    <w:rsid w:val="00A93F44"/>
    <w:rsid w:val="00A950F2"/>
    <w:rsid w:val="00A95166"/>
    <w:rsid w:val="00A95CF8"/>
    <w:rsid w:val="00A95EE1"/>
    <w:rsid w:val="00A963C7"/>
    <w:rsid w:val="00A964B6"/>
    <w:rsid w:val="00A965FD"/>
    <w:rsid w:val="00A966F8"/>
    <w:rsid w:val="00A96C18"/>
    <w:rsid w:val="00A97432"/>
    <w:rsid w:val="00A97806"/>
    <w:rsid w:val="00AA023B"/>
    <w:rsid w:val="00AA04B6"/>
    <w:rsid w:val="00AA0B1A"/>
    <w:rsid w:val="00AA0CC1"/>
    <w:rsid w:val="00AA0F6A"/>
    <w:rsid w:val="00AA0FFB"/>
    <w:rsid w:val="00AA1626"/>
    <w:rsid w:val="00AA1AE5"/>
    <w:rsid w:val="00AA1C25"/>
    <w:rsid w:val="00AA24E0"/>
    <w:rsid w:val="00AA2614"/>
    <w:rsid w:val="00AA3C37"/>
    <w:rsid w:val="00AA3DB7"/>
    <w:rsid w:val="00AA4BE6"/>
    <w:rsid w:val="00AA4E98"/>
    <w:rsid w:val="00AA5115"/>
    <w:rsid w:val="00AA516E"/>
    <w:rsid w:val="00AA51F5"/>
    <w:rsid w:val="00AA51FA"/>
    <w:rsid w:val="00AA569C"/>
    <w:rsid w:val="00AA5B1A"/>
    <w:rsid w:val="00AA5E3B"/>
    <w:rsid w:val="00AA68B4"/>
    <w:rsid w:val="00AA6AB5"/>
    <w:rsid w:val="00AA6AC5"/>
    <w:rsid w:val="00AA776A"/>
    <w:rsid w:val="00AA7C11"/>
    <w:rsid w:val="00AB0543"/>
    <w:rsid w:val="00AB0AC9"/>
    <w:rsid w:val="00AB185A"/>
    <w:rsid w:val="00AB1BA7"/>
    <w:rsid w:val="00AB1C05"/>
    <w:rsid w:val="00AB1E04"/>
    <w:rsid w:val="00AB20CC"/>
    <w:rsid w:val="00AB27A7"/>
    <w:rsid w:val="00AB29CF"/>
    <w:rsid w:val="00AB2AC9"/>
    <w:rsid w:val="00AB2E7A"/>
    <w:rsid w:val="00AB3113"/>
    <w:rsid w:val="00AB348A"/>
    <w:rsid w:val="00AB35F2"/>
    <w:rsid w:val="00AB3F38"/>
    <w:rsid w:val="00AB43EC"/>
    <w:rsid w:val="00AB4417"/>
    <w:rsid w:val="00AB4631"/>
    <w:rsid w:val="00AB46BE"/>
    <w:rsid w:val="00AB475E"/>
    <w:rsid w:val="00AB4882"/>
    <w:rsid w:val="00AB4903"/>
    <w:rsid w:val="00AB4BF4"/>
    <w:rsid w:val="00AB5ADF"/>
    <w:rsid w:val="00AB5CAB"/>
    <w:rsid w:val="00AB5E57"/>
    <w:rsid w:val="00AB6150"/>
    <w:rsid w:val="00AB68C2"/>
    <w:rsid w:val="00AB6994"/>
    <w:rsid w:val="00AB6E34"/>
    <w:rsid w:val="00AB6F27"/>
    <w:rsid w:val="00AB725F"/>
    <w:rsid w:val="00AB74A4"/>
    <w:rsid w:val="00AB7593"/>
    <w:rsid w:val="00AC0705"/>
    <w:rsid w:val="00AC0A0B"/>
    <w:rsid w:val="00AC109B"/>
    <w:rsid w:val="00AC1218"/>
    <w:rsid w:val="00AC12A4"/>
    <w:rsid w:val="00AC13BD"/>
    <w:rsid w:val="00AC15B9"/>
    <w:rsid w:val="00AC1A5D"/>
    <w:rsid w:val="00AC1FF8"/>
    <w:rsid w:val="00AC277B"/>
    <w:rsid w:val="00AC2A69"/>
    <w:rsid w:val="00AC340E"/>
    <w:rsid w:val="00AC4463"/>
    <w:rsid w:val="00AC45DB"/>
    <w:rsid w:val="00AC49C0"/>
    <w:rsid w:val="00AC53C3"/>
    <w:rsid w:val="00AC5974"/>
    <w:rsid w:val="00AC5977"/>
    <w:rsid w:val="00AC6047"/>
    <w:rsid w:val="00AC62C4"/>
    <w:rsid w:val="00AC639E"/>
    <w:rsid w:val="00AC64FA"/>
    <w:rsid w:val="00AC6677"/>
    <w:rsid w:val="00AC6891"/>
    <w:rsid w:val="00AC6C36"/>
    <w:rsid w:val="00AC6DB5"/>
    <w:rsid w:val="00AC74DA"/>
    <w:rsid w:val="00AC7841"/>
    <w:rsid w:val="00AC7A27"/>
    <w:rsid w:val="00AC7A2B"/>
    <w:rsid w:val="00AC7C25"/>
    <w:rsid w:val="00AD0222"/>
    <w:rsid w:val="00AD094F"/>
    <w:rsid w:val="00AD0A51"/>
    <w:rsid w:val="00AD0B37"/>
    <w:rsid w:val="00AD11F7"/>
    <w:rsid w:val="00AD1780"/>
    <w:rsid w:val="00AD1AED"/>
    <w:rsid w:val="00AD1DB7"/>
    <w:rsid w:val="00AD2175"/>
    <w:rsid w:val="00AD24E8"/>
    <w:rsid w:val="00AD2852"/>
    <w:rsid w:val="00AD3400"/>
    <w:rsid w:val="00AD3976"/>
    <w:rsid w:val="00AD47DD"/>
    <w:rsid w:val="00AD4825"/>
    <w:rsid w:val="00AD4B2A"/>
    <w:rsid w:val="00AD4D2A"/>
    <w:rsid w:val="00AD4EBD"/>
    <w:rsid w:val="00AD542F"/>
    <w:rsid w:val="00AD5816"/>
    <w:rsid w:val="00AD585A"/>
    <w:rsid w:val="00AD5AED"/>
    <w:rsid w:val="00AD6112"/>
    <w:rsid w:val="00AD7305"/>
    <w:rsid w:val="00AD7C82"/>
    <w:rsid w:val="00AD7E64"/>
    <w:rsid w:val="00AE0C56"/>
    <w:rsid w:val="00AE0DFC"/>
    <w:rsid w:val="00AE149E"/>
    <w:rsid w:val="00AE1558"/>
    <w:rsid w:val="00AE1A29"/>
    <w:rsid w:val="00AE2067"/>
    <w:rsid w:val="00AE22D8"/>
    <w:rsid w:val="00AE22F2"/>
    <w:rsid w:val="00AE29FC"/>
    <w:rsid w:val="00AE2F3F"/>
    <w:rsid w:val="00AE36FD"/>
    <w:rsid w:val="00AE3A2E"/>
    <w:rsid w:val="00AE3B4E"/>
    <w:rsid w:val="00AE3B9F"/>
    <w:rsid w:val="00AE483B"/>
    <w:rsid w:val="00AE4EAB"/>
    <w:rsid w:val="00AE58C0"/>
    <w:rsid w:val="00AE59EC"/>
    <w:rsid w:val="00AE5B88"/>
    <w:rsid w:val="00AE5CAD"/>
    <w:rsid w:val="00AE6390"/>
    <w:rsid w:val="00AE67B3"/>
    <w:rsid w:val="00AE6BEE"/>
    <w:rsid w:val="00AE6C0A"/>
    <w:rsid w:val="00AE7864"/>
    <w:rsid w:val="00AE7949"/>
    <w:rsid w:val="00AF06D2"/>
    <w:rsid w:val="00AF071F"/>
    <w:rsid w:val="00AF0B2A"/>
    <w:rsid w:val="00AF0B96"/>
    <w:rsid w:val="00AF1454"/>
    <w:rsid w:val="00AF14F3"/>
    <w:rsid w:val="00AF1AF4"/>
    <w:rsid w:val="00AF1B3A"/>
    <w:rsid w:val="00AF1E4D"/>
    <w:rsid w:val="00AF21AF"/>
    <w:rsid w:val="00AF2475"/>
    <w:rsid w:val="00AF25D5"/>
    <w:rsid w:val="00AF2B12"/>
    <w:rsid w:val="00AF3056"/>
    <w:rsid w:val="00AF3433"/>
    <w:rsid w:val="00AF37B6"/>
    <w:rsid w:val="00AF3A07"/>
    <w:rsid w:val="00AF3DBB"/>
    <w:rsid w:val="00AF4A05"/>
    <w:rsid w:val="00AF4CEC"/>
    <w:rsid w:val="00AF5194"/>
    <w:rsid w:val="00AF5280"/>
    <w:rsid w:val="00AF53EF"/>
    <w:rsid w:val="00AF6286"/>
    <w:rsid w:val="00AF73C3"/>
    <w:rsid w:val="00AF795C"/>
    <w:rsid w:val="00AF7AE8"/>
    <w:rsid w:val="00AF7B45"/>
    <w:rsid w:val="00B0047B"/>
    <w:rsid w:val="00B00752"/>
    <w:rsid w:val="00B00C9D"/>
    <w:rsid w:val="00B01054"/>
    <w:rsid w:val="00B010E5"/>
    <w:rsid w:val="00B017FA"/>
    <w:rsid w:val="00B0198A"/>
    <w:rsid w:val="00B01DEB"/>
    <w:rsid w:val="00B023BC"/>
    <w:rsid w:val="00B02429"/>
    <w:rsid w:val="00B026C1"/>
    <w:rsid w:val="00B02B9C"/>
    <w:rsid w:val="00B02C12"/>
    <w:rsid w:val="00B0353B"/>
    <w:rsid w:val="00B0379D"/>
    <w:rsid w:val="00B03DD5"/>
    <w:rsid w:val="00B040B2"/>
    <w:rsid w:val="00B04B48"/>
    <w:rsid w:val="00B0506D"/>
    <w:rsid w:val="00B05744"/>
    <w:rsid w:val="00B0673B"/>
    <w:rsid w:val="00B06BE0"/>
    <w:rsid w:val="00B0715D"/>
    <w:rsid w:val="00B07321"/>
    <w:rsid w:val="00B076A2"/>
    <w:rsid w:val="00B07790"/>
    <w:rsid w:val="00B07DD3"/>
    <w:rsid w:val="00B07E50"/>
    <w:rsid w:val="00B10558"/>
    <w:rsid w:val="00B10658"/>
    <w:rsid w:val="00B1065B"/>
    <w:rsid w:val="00B11969"/>
    <w:rsid w:val="00B11D7D"/>
    <w:rsid w:val="00B11FF3"/>
    <w:rsid w:val="00B12ADA"/>
    <w:rsid w:val="00B12E17"/>
    <w:rsid w:val="00B136B6"/>
    <w:rsid w:val="00B14299"/>
    <w:rsid w:val="00B14D0F"/>
    <w:rsid w:val="00B14D44"/>
    <w:rsid w:val="00B1516E"/>
    <w:rsid w:val="00B153E8"/>
    <w:rsid w:val="00B156A7"/>
    <w:rsid w:val="00B156A9"/>
    <w:rsid w:val="00B15F83"/>
    <w:rsid w:val="00B160FF"/>
    <w:rsid w:val="00B16322"/>
    <w:rsid w:val="00B1662E"/>
    <w:rsid w:val="00B168CC"/>
    <w:rsid w:val="00B16A6F"/>
    <w:rsid w:val="00B1733C"/>
    <w:rsid w:val="00B174F2"/>
    <w:rsid w:val="00B17511"/>
    <w:rsid w:val="00B17678"/>
    <w:rsid w:val="00B178EB"/>
    <w:rsid w:val="00B200BD"/>
    <w:rsid w:val="00B2103E"/>
    <w:rsid w:val="00B21D3A"/>
    <w:rsid w:val="00B21F5F"/>
    <w:rsid w:val="00B2242A"/>
    <w:rsid w:val="00B22790"/>
    <w:rsid w:val="00B22C0D"/>
    <w:rsid w:val="00B22F1C"/>
    <w:rsid w:val="00B23AF4"/>
    <w:rsid w:val="00B23B48"/>
    <w:rsid w:val="00B23B49"/>
    <w:rsid w:val="00B23C15"/>
    <w:rsid w:val="00B2474F"/>
    <w:rsid w:val="00B24E2E"/>
    <w:rsid w:val="00B24E96"/>
    <w:rsid w:val="00B2511F"/>
    <w:rsid w:val="00B25384"/>
    <w:rsid w:val="00B25762"/>
    <w:rsid w:val="00B25B40"/>
    <w:rsid w:val="00B25B63"/>
    <w:rsid w:val="00B25F38"/>
    <w:rsid w:val="00B25FDE"/>
    <w:rsid w:val="00B2679B"/>
    <w:rsid w:val="00B26AB0"/>
    <w:rsid w:val="00B26AD2"/>
    <w:rsid w:val="00B26CA2"/>
    <w:rsid w:val="00B26EFD"/>
    <w:rsid w:val="00B271C1"/>
    <w:rsid w:val="00B27DC6"/>
    <w:rsid w:val="00B30561"/>
    <w:rsid w:val="00B30847"/>
    <w:rsid w:val="00B30B4E"/>
    <w:rsid w:val="00B30DC8"/>
    <w:rsid w:val="00B31246"/>
    <w:rsid w:val="00B3125B"/>
    <w:rsid w:val="00B31F02"/>
    <w:rsid w:val="00B320DA"/>
    <w:rsid w:val="00B3248E"/>
    <w:rsid w:val="00B326FF"/>
    <w:rsid w:val="00B32A7B"/>
    <w:rsid w:val="00B33280"/>
    <w:rsid w:val="00B33C00"/>
    <w:rsid w:val="00B33CEF"/>
    <w:rsid w:val="00B340AA"/>
    <w:rsid w:val="00B34556"/>
    <w:rsid w:val="00B34A9F"/>
    <w:rsid w:val="00B34B80"/>
    <w:rsid w:val="00B34DC0"/>
    <w:rsid w:val="00B35ADB"/>
    <w:rsid w:val="00B35CDA"/>
    <w:rsid w:val="00B3645F"/>
    <w:rsid w:val="00B36DCF"/>
    <w:rsid w:val="00B36FF8"/>
    <w:rsid w:val="00B375F5"/>
    <w:rsid w:val="00B37896"/>
    <w:rsid w:val="00B378B6"/>
    <w:rsid w:val="00B37B01"/>
    <w:rsid w:val="00B37CEF"/>
    <w:rsid w:val="00B37D97"/>
    <w:rsid w:val="00B37DCB"/>
    <w:rsid w:val="00B411BD"/>
    <w:rsid w:val="00B412E0"/>
    <w:rsid w:val="00B41559"/>
    <w:rsid w:val="00B4164B"/>
    <w:rsid w:val="00B418E8"/>
    <w:rsid w:val="00B42285"/>
    <w:rsid w:val="00B4246D"/>
    <w:rsid w:val="00B4274B"/>
    <w:rsid w:val="00B427BA"/>
    <w:rsid w:val="00B4284A"/>
    <w:rsid w:val="00B43080"/>
    <w:rsid w:val="00B431AC"/>
    <w:rsid w:val="00B431EC"/>
    <w:rsid w:val="00B43377"/>
    <w:rsid w:val="00B435B1"/>
    <w:rsid w:val="00B4367F"/>
    <w:rsid w:val="00B4370A"/>
    <w:rsid w:val="00B4376B"/>
    <w:rsid w:val="00B438B3"/>
    <w:rsid w:val="00B438BA"/>
    <w:rsid w:val="00B43ED5"/>
    <w:rsid w:val="00B44A08"/>
    <w:rsid w:val="00B44CC1"/>
    <w:rsid w:val="00B44F99"/>
    <w:rsid w:val="00B45876"/>
    <w:rsid w:val="00B4660C"/>
    <w:rsid w:val="00B466CA"/>
    <w:rsid w:val="00B468D9"/>
    <w:rsid w:val="00B46A3B"/>
    <w:rsid w:val="00B46A84"/>
    <w:rsid w:val="00B47082"/>
    <w:rsid w:val="00B47425"/>
    <w:rsid w:val="00B4747A"/>
    <w:rsid w:val="00B47AFA"/>
    <w:rsid w:val="00B47C8A"/>
    <w:rsid w:val="00B50096"/>
    <w:rsid w:val="00B5139E"/>
    <w:rsid w:val="00B51542"/>
    <w:rsid w:val="00B51D1D"/>
    <w:rsid w:val="00B51EE2"/>
    <w:rsid w:val="00B51F5C"/>
    <w:rsid w:val="00B5256E"/>
    <w:rsid w:val="00B52B70"/>
    <w:rsid w:val="00B52D18"/>
    <w:rsid w:val="00B5310E"/>
    <w:rsid w:val="00B5459B"/>
    <w:rsid w:val="00B54686"/>
    <w:rsid w:val="00B54ACC"/>
    <w:rsid w:val="00B54DCB"/>
    <w:rsid w:val="00B5597D"/>
    <w:rsid w:val="00B55AC2"/>
    <w:rsid w:val="00B560A6"/>
    <w:rsid w:val="00B560AE"/>
    <w:rsid w:val="00B560C9"/>
    <w:rsid w:val="00B56533"/>
    <w:rsid w:val="00B56B4C"/>
    <w:rsid w:val="00B56BE1"/>
    <w:rsid w:val="00B56CFC"/>
    <w:rsid w:val="00B56E07"/>
    <w:rsid w:val="00B57421"/>
    <w:rsid w:val="00B57777"/>
    <w:rsid w:val="00B57A17"/>
    <w:rsid w:val="00B57EE9"/>
    <w:rsid w:val="00B6082B"/>
    <w:rsid w:val="00B60898"/>
    <w:rsid w:val="00B60EE8"/>
    <w:rsid w:val="00B61213"/>
    <w:rsid w:val="00B61623"/>
    <w:rsid w:val="00B619F1"/>
    <w:rsid w:val="00B61BE2"/>
    <w:rsid w:val="00B61C9D"/>
    <w:rsid w:val="00B6266F"/>
    <w:rsid w:val="00B62713"/>
    <w:rsid w:val="00B62D70"/>
    <w:rsid w:val="00B62E0B"/>
    <w:rsid w:val="00B63C32"/>
    <w:rsid w:val="00B63DF7"/>
    <w:rsid w:val="00B63F7E"/>
    <w:rsid w:val="00B64117"/>
    <w:rsid w:val="00B64434"/>
    <w:rsid w:val="00B64463"/>
    <w:rsid w:val="00B644EA"/>
    <w:rsid w:val="00B64943"/>
    <w:rsid w:val="00B64D3E"/>
    <w:rsid w:val="00B65293"/>
    <w:rsid w:val="00B65562"/>
    <w:rsid w:val="00B66CB8"/>
    <w:rsid w:val="00B66D89"/>
    <w:rsid w:val="00B67713"/>
    <w:rsid w:val="00B678C9"/>
    <w:rsid w:val="00B67E82"/>
    <w:rsid w:val="00B70225"/>
    <w:rsid w:val="00B704A7"/>
    <w:rsid w:val="00B70F72"/>
    <w:rsid w:val="00B711CE"/>
    <w:rsid w:val="00B7195B"/>
    <w:rsid w:val="00B71DC8"/>
    <w:rsid w:val="00B7277C"/>
    <w:rsid w:val="00B72E7E"/>
    <w:rsid w:val="00B73126"/>
    <w:rsid w:val="00B738BA"/>
    <w:rsid w:val="00B73FB6"/>
    <w:rsid w:val="00B740EB"/>
    <w:rsid w:val="00B746C6"/>
    <w:rsid w:val="00B7486D"/>
    <w:rsid w:val="00B74B5D"/>
    <w:rsid w:val="00B74F36"/>
    <w:rsid w:val="00B75297"/>
    <w:rsid w:val="00B752F7"/>
    <w:rsid w:val="00B75706"/>
    <w:rsid w:val="00B75CDF"/>
    <w:rsid w:val="00B75E61"/>
    <w:rsid w:val="00B7604C"/>
    <w:rsid w:val="00B76278"/>
    <w:rsid w:val="00B7652C"/>
    <w:rsid w:val="00B766BF"/>
    <w:rsid w:val="00B76FA6"/>
    <w:rsid w:val="00B771F6"/>
    <w:rsid w:val="00B77B8A"/>
    <w:rsid w:val="00B77DB4"/>
    <w:rsid w:val="00B800C0"/>
    <w:rsid w:val="00B806F1"/>
    <w:rsid w:val="00B80910"/>
    <w:rsid w:val="00B81570"/>
    <w:rsid w:val="00B818F4"/>
    <w:rsid w:val="00B81BC9"/>
    <w:rsid w:val="00B81D0B"/>
    <w:rsid w:val="00B81EC8"/>
    <w:rsid w:val="00B8222F"/>
    <w:rsid w:val="00B823F2"/>
    <w:rsid w:val="00B82615"/>
    <w:rsid w:val="00B82905"/>
    <w:rsid w:val="00B83444"/>
    <w:rsid w:val="00B836ED"/>
    <w:rsid w:val="00B840BF"/>
    <w:rsid w:val="00B853BE"/>
    <w:rsid w:val="00B85692"/>
    <w:rsid w:val="00B85B17"/>
    <w:rsid w:val="00B85B4B"/>
    <w:rsid w:val="00B8611F"/>
    <w:rsid w:val="00B861A2"/>
    <w:rsid w:val="00B86476"/>
    <w:rsid w:val="00B864DB"/>
    <w:rsid w:val="00B86A3D"/>
    <w:rsid w:val="00B875C7"/>
    <w:rsid w:val="00B90AC7"/>
    <w:rsid w:val="00B90D10"/>
    <w:rsid w:val="00B90D90"/>
    <w:rsid w:val="00B90E3D"/>
    <w:rsid w:val="00B90FE5"/>
    <w:rsid w:val="00B919AD"/>
    <w:rsid w:val="00B91A2B"/>
    <w:rsid w:val="00B91B34"/>
    <w:rsid w:val="00B924E4"/>
    <w:rsid w:val="00B92F57"/>
    <w:rsid w:val="00B93204"/>
    <w:rsid w:val="00B93620"/>
    <w:rsid w:val="00B944C6"/>
    <w:rsid w:val="00B9473C"/>
    <w:rsid w:val="00B94B87"/>
    <w:rsid w:val="00B94DD6"/>
    <w:rsid w:val="00B94E17"/>
    <w:rsid w:val="00B95437"/>
    <w:rsid w:val="00B957FE"/>
    <w:rsid w:val="00B95D7D"/>
    <w:rsid w:val="00B95EF4"/>
    <w:rsid w:val="00B95F02"/>
    <w:rsid w:val="00B96612"/>
    <w:rsid w:val="00B96BEF"/>
    <w:rsid w:val="00B96E4F"/>
    <w:rsid w:val="00B96FC0"/>
    <w:rsid w:val="00B970F1"/>
    <w:rsid w:val="00B97260"/>
    <w:rsid w:val="00B977E7"/>
    <w:rsid w:val="00B979C2"/>
    <w:rsid w:val="00B97A69"/>
    <w:rsid w:val="00BA031F"/>
    <w:rsid w:val="00BA0632"/>
    <w:rsid w:val="00BA0AAA"/>
    <w:rsid w:val="00BA0B4D"/>
    <w:rsid w:val="00BA0DFB"/>
    <w:rsid w:val="00BA0EA7"/>
    <w:rsid w:val="00BA16AC"/>
    <w:rsid w:val="00BA1BBC"/>
    <w:rsid w:val="00BA22AD"/>
    <w:rsid w:val="00BA22D1"/>
    <w:rsid w:val="00BA273E"/>
    <w:rsid w:val="00BA2804"/>
    <w:rsid w:val="00BA2E19"/>
    <w:rsid w:val="00BA2FEF"/>
    <w:rsid w:val="00BA37D6"/>
    <w:rsid w:val="00BA3B34"/>
    <w:rsid w:val="00BA41D1"/>
    <w:rsid w:val="00BA4449"/>
    <w:rsid w:val="00BA4BC7"/>
    <w:rsid w:val="00BA618D"/>
    <w:rsid w:val="00BA6C02"/>
    <w:rsid w:val="00BA77B1"/>
    <w:rsid w:val="00BA7E38"/>
    <w:rsid w:val="00BB09B4"/>
    <w:rsid w:val="00BB0B75"/>
    <w:rsid w:val="00BB1548"/>
    <w:rsid w:val="00BB1CE7"/>
    <w:rsid w:val="00BB1F11"/>
    <w:rsid w:val="00BB21D1"/>
    <w:rsid w:val="00BB2FD3"/>
    <w:rsid w:val="00BB2FDF"/>
    <w:rsid w:val="00BB2FFF"/>
    <w:rsid w:val="00BB393C"/>
    <w:rsid w:val="00BB3C35"/>
    <w:rsid w:val="00BB4229"/>
    <w:rsid w:val="00BB4371"/>
    <w:rsid w:val="00BB4A96"/>
    <w:rsid w:val="00BB51CE"/>
    <w:rsid w:val="00BB573F"/>
    <w:rsid w:val="00BB5C1D"/>
    <w:rsid w:val="00BB5FCB"/>
    <w:rsid w:val="00BB604B"/>
    <w:rsid w:val="00BB6AD9"/>
    <w:rsid w:val="00BB70D3"/>
    <w:rsid w:val="00BB72E6"/>
    <w:rsid w:val="00BB755C"/>
    <w:rsid w:val="00BB79BA"/>
    <w:rsid w:val="00BB7BFD"/>
    <w:rsid w:val="00BC00EC"/>
    <w:rsid w:val="00BC015F"/>
    <w:rsid w:val="00BC08C5"/>
    <w:rsid w:val="00BC0990"/>
    <w:rsid w:val="00BC0CDF"/>
    <w:rsid w:val="00BC0E17"/>
    <w:rsid w:val="00BC1099"/>
    <w:rsid w:val="00BC12FB"/>
    <w:rsid w:val="00BC1497"/>
    <w:rsid w:val="00BC1C3C"/>
    <w:rsid w:val="00BC21BE"/>
    <w:rsid w:val="00BC307F"/>
    <w:rsid w:val="00BC3159"/>
    <w:rsid w:val="00BC3257"/>
    <w:rsid w:val="00BC36E1"/>
    <w:rsid w:val="00BC39DB"/>
    <w:rsid w:val="00BC3A32"/>
    <w:rsid w:val="00BC3B07"/>
    <w:rsid w:val="00BC3B36"/>
    <w:rsid w:val="00BC3DEA"/>
    <w:rsid w:val="00BC40BC"/>
    <w:rsid w:val="00BC4416"/>
    <w:rsid w:val="00BC46EF"/>
    <w:rsid w:val="00BC4C20"/>
    <w:rsid w:val="00BC4F74"/>
    <w:rsid w:val="00BC5CDD"/>
    <w:rsid w:val="00BC5D93"/>
    <w:rsid w:val="00BC621F"/>
    <w:rsid w:val="00BC6FD6"/>
    <w:rsid w:val="00BC7010"/>
    <w:rsid w:val="00BC7408"/>
    <w:rsid w:val="00BC74D8"/>
    <w:rsid w:val="00BC782A"/>
    <w:rsid w:val="00BC7BC6"/>
    <w:rsid w:val="00BC7DD9"/>
    <w:rsid w:val="00BD008E"/>
    <w:rsid w:val="00BD070D"/>
    <w:rsid w:val="00BD0DB5"/>
    <w:rsid w:val="00BD1208"/>
    <w:rsid w:val="00BD137E"/>
    <w:rsid w:val="00BD13CD"/>
    <w:rsid w:val="00BD13D2"/>
    <w:rsid w:val="00BD162C"/>
    <w:rsid w:val="00BD1A23"/>
    <w:rsid w:val="00BD22C8"/>
    <w:rsid w:val="00BD2DE0"/>
    <w:rsid w:val="00BD2F3B"/>
    <w:rsid w:val="00BD2F3D"/>
    <w:rsid w:val="00BD326D"/>
    <w:rsid w:val="00BD3372"/>
    <w:rsid w:val="00BD3C19"/>
    <w:rsid w:val="00BD43D9"/>
    <w:rsid w:val="00BD4D06"/>
    <w:rsid w:val="00BD50AA"/>
    <w:rsid w:val="00BD5135"/>
    <w:rsid w:val="00BD6E95"/>
    <w:rsid w:val="00BD7151"/>
    <w:rsid w:val="00BD7291"/>
    <w:rsid w:val="00BD7443"/>
    <w:rsid w:val="00BD7EA3"/>
    <w:rsid w:val="00BD7FE2"/>
    <w:rsid w:val="00BE089C"/>
    <w:rsid w:val="00BE090C"/>
    <w:rsid w:val="00BE0929"/>
    <w:rsid w:val="00BE0976"/>
    <w:rsid w:val="00BE0B19"/>
    <w:rsid w:val="00BE0DD8"/>
    <w:rsid w:val="00BE11AE"/>
    <w:rsid w:val="00BE13F0"/>
    <w:rsid w:val="00BE162D"/>
    <w:rsid w:val="00BE1D6A"/>
    <w:rsid w:val="00BE1D82"/>
    <w:rsid w:val="00BE1D83"/>
    <w:rsid w:val="00BE1DA0"/>
    <w:rsid w:val="00BE1EE4"/>
    <w:rsid w:val="00BE1F8B"/>
    <w:rsid w:val="00BE1FA8"/>
    <w:rsid w:val="00BE2B4F"/>
    <w:rsid w:val="00BE2BD6"/>
    <w:rsid w:val="00BE2CCC"/>
    <w:rsid w:val="00BE2F39"/>
    <w:rsid w:val="00BE3311"/>
    <w:rsid w:val="00BE332D"/>
    <w:rsid w:val="00BE36E9"/>
    <w:rsid w:val="00BE3CF1"/>
    <w:rsid w:val="00BE3F7F"/>
    <w:rsid w:val="00BE4338"/>
    <w:rsid w:val="00BE4761"/>
    <w:rsid w:val="00BE4B20"/>
    <w:rsid w:val="00BE4E7F"/>
    <w:rsid w:val="00BE4EB1"/>
    <w:rsid w:val="00BE4F92"/>
    <w:rsid w:val="00BE546E"/>
    <w:rsid w:val="00BE5694"/>
    <w:rsid w:val="00BE5B69"/>
    <w:rsid w:val="00BE5F7B"/>
    <w:rsid w:val="00BE5FC4"/>
    <w:rsid w:val="00BE6184"/>
    <w:rsid w:val="00BE648D"/>
    <w:rsid w:val="00BE6716"/>
    <w:rsid w:val="00BE6B59"/>
    <w:rsid w:val="00BE6BE4"/>
    <w:rsid w:val="00BE6E97"/>
    <w:rsid w:val="00BE7B94"/>
    <w:rsid w:val="00BE7C4D"/>
    <w:rsid w:val="00BE7F6A"/>
    <w:rsid w:val="00BF0274"/>
    <w:rsid w:val="00BF08C4"/>
    <w:rsid w:val="00BF09DD"/>
    <w:rsid w:val="00BF0B3D"/>
    <w:rsid w:val="00BF0BAF"/>
    <w:rsid w:val="00BF17E0"/>
    <w:rsid w:val="00BF19CE"/>
    <w:rsid w:val="00BF1E39"/>
    <w:rsid w:val="00BF2A76"/>
    <w:rsid w:val="00BF2A96"/>
    <w:rsid w:val="00BF2B6F"/>
    <w:rsid w:val="00BF351A"/>
    <w:rsid w:val="00BF379E"/>
    <w:rsid w:val="00BF3856"/>
    <w:rsid w:val="00BF3914"/>
    <w:rsid w:val="00BF3BC3"/>
    <w:rsid w:val="00BF482B"/>
    <w:rsid w:val="00BF4997"/>
    <w:rsid w:val="00BF49B1"/>
    <w:rsid w:val="00BF5552"/>
    <w:rsid w:val="00BF585A"/>
    <w:rsid w:val="00BF5FB3"/>
    <w:rsid w:val="00BF623F"/>
    <w:rsid w:val="00BF6CAC"/>
    <w:rsid w:val="00BF73E2"/>
    <w:rsid w:val="00BF73F2"/>
    <w:rsid w:val="00BF78CB"/>
    <w:rsid w:val="00BF7C1C"/>
    <w:rsid w:val="00BF7C71"/>
    <w:rsid w:val="00C00590"/>
    <w:rsid w:val="00C01393"/>
    <w:rsid w:val="00C01445"/>
    <w:rsid w:val="00C01671"/>
    <w:rsid w:val="00C019A4"/>
    <w:rsid w:val="00C01D6E"/>
    <w:rsid w:val="00C02019"/>
    <w:rsid w:val="00C02419"/>
    <w:rsid w:val="00C025E0"/>
    <w:rsid w:val="00C025E6"/>
    <w:rsid w:val="00C02766"/>
    <w:rsid w:val="00C03183"/>
    <w:rsid w:val="00C03416"/>
    <w:rsid w:val="00C03437"/>
    <w:rsid w:val="00C03B58"/>
    <w:rsid w:val="00C03C69"/>
    <w:rsid w:val="00C03D11"/>
    <w:rsid w:val="00C03EE8"/>
    <w:rsid w:val="00C0524A"/>
    <w:rsid w:val="00C05A2E"/>
    <w:rsid w:val="00C05BEC"/>
    <w:rsid w:val="00C05C55"/>
    <w:rsid w:val="00C05F5C"/>
    <w:rsid w:val="00C06165"/>
    <w:rsid w:val="00C06229"/>
    <w:rsid w:val="00C067E6"/>
    <w:rsid w:val="00C06AFB"/>
    <w:rsid w:val="00C06CC8"/>
    <w:rsid w:val="00C06E7D"/>
    <w:rsid w:val="00C07C5D"/>
    <w:rsid w:val="00C103CB"/>
    <w:rsid w:val="00C10824"/>
    <w:rsid w:val="00C1112B"/>
    <w:rsid w:val="00C1181A"/>
    <w:rsid w:val="00C11A88"/>
    <w:rsid w:val="00C11BD0"/>
    <w:rsid w:val="00C11DD4"/>
    <w:rsid w:val="00C11E2F"/>
    <w:rsid w:val="00C12012"/>
    <w:rsid w:val="00C12158"/>
    <w:rsid w:val="00C126F0"/>
    <w:rsid w:val="00C12874"/>
    <w:rsid w:val="00C12BC1"/>
    <w:rsid w:val="00C132D5"/>
    <w:rsid w:val="00C137D4"/>
    <w:rsid w:val="00C1381B"/>
    <w:rsid w:val="00C13B41"/>
    <w:rsid w:val="00C13BDA"/>
    <w:rsid w:val="00C13ED1"/>
    <w:rsid w:val="00C13FFD"/>
    <w:rsid w:val="00C144B7"/>
    <w:rsid w:val="00C14632"/>
    <w:rsid w:val="00C14DA9"/>
    <w:rsid w:val="00C15929"/>
    <w:rsid w:val="00C15BE2"/>
    <w:rsid w:val="00C16C30"/>
    <w:rsid w:val="00C16FB9"/>
    <w:rsid w:val="00C17886"/>
    <w:rsid w:val="00C17A57"/>
    <w:rsid w:val="00C17B33"/>
    <w:rsid w:val="00C200DF"/>
    <w:rsid w:val="00C204A1"/>
    <w:rsid w:val="00C2058A"/>
    <w:rsid w:val="00C205F2"/>
    <w:rsid w:val="00C207BE"/>
    <w:rsid w:val="00C209A4"/>
    <w:rsid w:val="00C20A00"/>
    <w:rsid w:val="00C20A5A"/>
    <w:rsid w:val="00C20B61"/>
    <w:rsid w:val="00C21585"/>
    <w:rsid w:val="00C21673"/>
    <w:rsid w:val="00C21C7A"/>
    <w:rsid w:val="00C21DDB"/>
    <w:rsid w:val="00C21E6D"/>
    <w:rsid w:val="00C21FDB"/>
    <w:rsid w:val="00C22423"/>
    <w:rsid w:val="00C22BC7"/>
    <w:rsid w:val="00C22ED2"/>
    <w:rsid w:val="00C23130"/>
    <w:rsid w:val="00C2365A"/>
    <w:rsid w:val="00C24927"/>
    <w:rsid w:val="00C24B25"/>
    <w:rsid w:val="00C255A5"/>
    <w:rsid w:val="00C2584B"/>
    <w:rsid w:val="00C25942"/>
    <w:rsid w:val="00C25B7D"/>
    <w:rsid w:val="00C25DD9"/>
    <w:rsid w:val="00C2649B"/>
    <w:rsid w:val="00C2663F"/>
    <w:rsid w:val="00C26DB8"/>
    <w:rsid w:val="00C271E2"/>
    <w:rsid w:val="00C278FA"/>
    <w:rsid w:val="00C27AF5"/>
    <w:rsid w:val="00C27B30"/>
    <w:rsid w:val="00C30AF2"/>
    <w:rsid w:val="00C30FE5"/>
    <w:rsid w:val="00C311E4"/>
    <w:rsid w:val="00C31E7C"/>
    <w:rsid w:val="00C32009"/>
    <w:rsid w:val="00C32896"/>
    <w:rsid w:val="00C329D9"/>
    <w:rsid w:val="00C32A37"/>
    <w:rsid w:val="00C32CFB"/>
    <w:rsid w:val="00C33C91"/>
    <w:rsid w:val="00C33CF0"/>
    <w:rsid w:val="00C3400F"/>
    <w:rsid w:val="00C342D5"/>
    <w:rsid w:val="00C34452"/>
    <w:rsid w:val="00C34597"/>
    <w:rsid w:val="00C34B64"/>
    <w:rsid w:val="00C34C36"/>
    <w:rsid w:val="00C34DA3"/>
    <w:rsid w:val="00C351CD"/>
    <w:rsid w:val="00C352B3"/>
    <w:rsid w:val="00C354DB"/>
    <w:rsid w:val="00C3570C"/>
    <w:rsid w:val="00C35749"/>
    <w:rsid w:val="00C361D1"/>
    <w:rsid w:val="00C3654C"/>
    <w:rsid w:val="00C36A61"/>
    <w:rsid w:val="00C36BF5"/>
    <w:rsid w:val="00C36D99"/>
    <w:rsid w:val="00C36DBC"/>
    <w:rsid w:val="00C3714E"/>
    <w:rsid w:val="00C376BA"/>
    <w:rsid w:val="00C40123"/>
    <w:rsid w:val="00C4025A"/>
    <w:rsid w:val="00C40373"/>
    <w:rsid w:val="00C406A0"/>
    <w:rsid w:val="00C407C1"/>
    <w:rsid w:val="00C4082D"/>
    <w:rsid w:val="00C40836"/>
    <w:rsid w:val="00C40AE6"/>
    <w:rsid w:val="00C40F33"/>
    <w:rsid w:val="00C411AF"/>
    <w:rsid w:val="00C4138D"/>
    <w:rsid w:val="00C4167B"/>
    <w:rsid w:val="00C41E3A"/>
    <w:rsid w:val="00C42E26"/>
    <w:rsid w:val="00C4304C"/>
    <w:rsid w:val="00C43315"/>
    <w:rsid w:val="00C43FAE"/>
    <w:rsid w:val="00C44B8E"/>
    <w:rsid w:val="00C44C93"/>
    <w:rsid w:val="00C452F5"/>
    <w:rsid w:val="00C45F92"/>
    <w:rsid w:val="00C46131"/>
    <w:rsid w:val="00C4626D"/>
    <w:rsid w:val="00C46555"/>
    <w:rsid w:val="00C46B15"/>
    <w:rsid w:val="00C46C73"/>
    <w:rsid w:val="00C46F7D"/>
    <w:rsid w:val="00C474C3"/>
    <w:rsid w:val="00C479B5"/>
    <w:rsid w:val="00C47DE2"/>
    <w:rsid w:val="00C5008C"/>
    <w:rsid w:val="00C50242"/>
    <w:rsid w:val="00C5034D"/>
    <w:rsid w:val="00C50410"/>
    <w:rsid w:val="00C5050E"/>
    <w:rsid w:val="00C50E99"/>
    <w:rsid w:val="00C50E9E"/>
    <w:rsid w:val="00C524D8"/>
    <w:rsid w:val="00C52633"/>
    <w:rsid w:val="00C52744"/>
    <w:rsid w:val="00C53EB3"/>
    <w:rsid w:val="00C541D6"/>
    <w:rsid w:val="00C542D4"/>
    <w:rsid w:val="00C54ADB"/>
    <w:rsid w:val="00C54D71"/>
    <w:rsid w:val="00C54F69"/>
    <w:rsid w:val="00C555E9"/>
    <w:rsid w:val="00C55B8A"/>
    <w:rsid w:val="00C55E79"/>
    <w:rsid w:val="00C55F32"/>
    <w:rsid w:val="00C563F5"/>
    <w:rsid w:val="00C5649E"/>
    <w:rsid w:val="00C565B7"/>
    <w:rsid w:val="00C5676A"/>
    <w:rsid w:val="00C56C1A"/>
    <w:rsid w:val="00C570F7"/>
    <w:rsid w:val="00C57258"/>
    <w:rsid w:val="00C6045D"/>
    <w:rsid w:val="00C60728"/>
    <w:rsid w:val="00C612A5"/>
    <w:rsid w:val="00C61837"/>
    <w:rsid w:val="00C61CAA"/>
    <w:rsid w:val="00C61D52"/>
    <w:rsid w:val="00C623DF"/>
    <w:rsid w:val="00C628CF"/>
    <w:rsid w:val="00C62AE0"/>
    <w:rsid w:val="00C62CD5"/>
    <w:rsid w:val="00C6353F"/>
    <w:rsid w:val="00C636E6"/>
    <w:rsid w:val="00C639D6"/>
    <w:rsid w:val="00C63C88"/>
    <w:rsid w:val="00C63D4A"/>
    <w:rsid w:val="00C63F8E"/>
    <w:rsid w:val="00C647FB"/>
    <w:rsid w:val="00C649B6"/>
    <w:rsid w:val="00C64FDF"/>
    <w:rsid w:val="00C654E0"/>
    <w:rsid w:val="00C658E7"/>
    <w:rsid w:val="00C65B03"/>
    <w:rsid w:val="00C65B46"/>
    <w:rsid w:val="00C66420"/>
    <w:rsid w:val="00C66F8F"/>
    <w:rsid w:val="00C677E1"/>
    <w:rsid w:val="00C678CE"/>
    <w:rsid w:val="00C678E9"/>
    <w:rsid w:val="00C67B63"/>
    <w:rsid w:val="00C67EAB"/>
    <w:rsid w:val="00C67EEF"/>
    <w:rsid w:val="00C70BAF"/>
    <w:rsid w:val="00C70BBB"/>
    <w:rsid w:val="00C70DFF"/>
    <w:rsid w:val="00C714D4"/>
    <w:rsid w:val="00C71D90"/>
    <w:rsid w:val="00C7201C"/>
    <w:rsid w:val="00C72C58"/>
    <w:rsid w:val="00C72D45"/>
    <w:rsid w:val="00C7348D"/>
    <w:rsid w:val="00C735D9"/>
    <w:rsid w:val="00C739E9"/>
    <w:rsid w:val="00C73AF6"/>
    <w:rsid w:val="00C73C85"/>
    <w:rsid w:val="00C74C44"/>
    <w:rsid w:val="00C74DB3"/>
    <w:rsid w:val="00C7593B"/>
    <w:rsid w:val="00C75A6B"/>
    <w:rsid w:val="00C760F9"/>
    <w:rsid w:val="00C7628E"/>
    <w:rsid w:val="00C763B6"/>
    <w:rsid w:val="00C7644F"/>
    <w:rsid w:val="00C76662"/>
    <w:rsid w:val="00C768F6"/>
    <w:rsid w:val="00C76EC1"/>
    <w:rsid w:val="00C7713E"/>
    <w:rsid w:val="00C772D6"/>
    <w:rsid w:val="00C773C4"/>
    <w:rsid w:val="00C7766B"/>
    <w:rsid w:val="00C80073"/>
    <w:rsid w:val="00C80AC5"/>
    <w:rsid w:val="00C80DEA"/>
    <w:rsid w:val="00C80E7E"/>
    <w:rsid w:val="00C81328"/>
    <w:rsid w:val="00C81794"/>
    <w:rsid w:val="00C819A6"/>
    <w:rsid w:val="00C81D0F"/>
    <w:rsid w:val="00C82AAE"/>
    <w:rsid w:val="00C82C76"/>
    <w:rsid w:val="00C82CD9"/>
    <w:rsid w:val="00C8303F"/>
    <w:rsid w:val="00C83151"/>
    <w:rsid w:val="00C832DC"/>
    <w:rsid w:val="00C8377F"/>
    <w:rsid w:val="00C83851"/>
    <w:rsid w:val="00C839E1"/>
    <w:rsid w:val="00C84189"/>
    <w:rsid w:val="00C84234"/>
    <w:rsid w:val="00C85570"/>
    <w:rsid w:val="00C857E6"/>
    <w:rsid w:val="00C85909"/>
    <w:rsid w:val="00C8646D"/>
    <w:rsid w:val="00C86594"/>
    <w:rsid w:val="00C86E77"/>
    <w:rsid w:val="00C8746A"/>
    <w:rsid w:val="00C87DF4"/>
    <w:rsid w:val="00C87F04"/>
    <w:rsid w:val="00C90DFB"/>
    <w:rsid w:val="00C91916"/>
    <w:rsid w:val="00C91A08"/>
    <w:rsid w:val="00C91DE3"/>
    <w:rsid w:val="00C927B1"/>
    <w:rsid w:val="00C928C6"/>
    <w:rsid w:val="00C928F5"/>
    <w:rsid w:val="00C92C7F"/>
    <w:rsid w:val="00C930CA"/>
    <w:rsid w:val="00C9348A"/>
    <w:rsid w:val="00C934D4"/>
    <w:rsid w:val="00C9369D"/>
    <w:rsid w:val="00C9383A"/>
    <w:rsid w:val="00C93CEC"/>
    <w:rsid w:val="00C944FA"/>
    <w:rsid w:val="00C9455F"/>
    <w:rsid w:val="00C94678"/>
    <w:rsid w:val="00C94E1B"/>
    <w:rsid w:val="00C94ED3"/>
    <w:rsid w:val="00C95276"/>
    <w:rsid w:val="00C95283"/>
    <w:rsid w:val="00C95516"/>
    <w:rsid w:val="00C95854"/>
    <w:rsid w:val="00C95905"/>
    <w:rsid w:val="00C95B0E"/>
    <w:rsid w:val="00C95CAE"/>
    <w:rsid w:val="00C95EFF"/>
    <w:rsid w:val="00C95F26"/>
    <w:rsid w:val="00C965E5"/>
    <w:rsid w:val="00C9676C"/>
    <w:rsid w:val="00C969A1"/>
    <w:rsid w:val="00C96DD0"/>
    <w:rsid w:val="00C96E6F"/>
    <w:rsid w:val="00C97087"/>
    <w:rsid w:val="00C9729F"/>
    <w:rsid w:val="00C972C0"/>
    <w:rsid w:val="00C9732D"/>
    <w:rsid w:val="00C97872"/>
    <w:rsid w:val="00C97D47"/>
    <w:rsid w:val="00C97DA0"/>
    <w:rsid w:val="00CA0532"/>
    <w:rsid w:val="00CA0A77"/>
    <w:rsid w:val="00CA0E5F"/>
    <w:rsid w:val="00CA0FC5"/>
    <w:rsid w:val="00CA1400"/>
    <w:rsid w:val="00CA1703"/>
    <w:rsid w:val="00CA176C"/>
    <w:rsid w:val="00CA1799"/>
    <w:rsid w:val="00CA2241"/>
    <w:rsid w:val="00CA2612"/>
    <w:rsid w:val="00CA36B0"/>
    <w:rsid w:val="00CA3905"/>
    <w:rsid w:val="00CA3CDD"/>
    <w:rsid w:val="00CA403B"/>
    <w:rsid w:val="00CA4809"/>
    <w:rsid w:val="00CA49FA"/>
    <w:rsid w:val="00CA505A"/>
    <w:rsid w:val="00CA5356"/>
    <w:rsid w:val="00CA5499"/>
    <w:rsid w:val="00CA5630"/>
    <w:rsid w:val="00CA59DD"/>
    <w:rsid w:val="00CA5A3E"/>
    <w:rsid w:val="00CA624A"/>
    <w:rsid w:val="00CA6C4F"/>
    <w:rsid w:val="00CA7338"/>
    <w:rsid w:val="00CA781B"/>
    <w:rsid w:val="00CA7C22"/>
    <w:rsid w:val="00CB002D"/>
    <w:rsid w:val="00CB008E"/>
    <w:rsid w:val="00CB01FA"/>
    <w:rsid w:val="00CB02A2"/>
    <w:rsid w:val="00CB06DF"/>
    <w:rsid w:val="00CB0737"/>
    <w:rsid w:val="00CB097A"/>
    <w:rsid w:val="00CB108D"/>
    <w:rsid w:val="00CB13EA"/>
    <w:rsid w:val="00CB18D1"/>
    <w:rsid w:val="00CB1DE2"/>
    <w:rsid w:val="00CB21F7"/>
    <w:rsid w:val="00CB228B"/>
    <w:rsid w:val="00CB2468"/>
    <w:rsid w:val="00CB25ED"/>
    <w:rsid w:val="00CB26EC"/>
    <w:rsid w:val="00CB297A"/>
    <w:rsid w:val="00CB2C3A"/>
    <w:rsid w:val="00CB2D2A"/>
    <w:rsid w:val="00CB2F37"/>
    <w:rsid w:val="00CB33AB"/>
    <w:rsid w:val="00CB4132"/>
    <w:rsid w:val="00CB4434"/>
    <w:rsid w:val="00CB46B5"/>
    <w:rsid w:val="00CB479C"/>
    <w:rsid w:val="00CB4E47"/>
    <w:rsid w:val="00CB502A"/>
    <w:rsid w:val="00CB59CD"/>
    <w:rsid w:val="00CB5B1E"/>
    <w:rsid w:val="00CB5FD6"/>
    <w:rsid w:val="00CB6D10"/>
    <w:rsid w:val="00CB735B"/>
    <w:rsid w:val="00CB75E5"/>
    <w:rsid w:val="00CB787A"/>
    <w:rsid w:val="00CB7EAE"/>
    <w:rsid w:val="00CC0C4A"/>
    <w:rsid w:val="00CC11BC"/>
    <w:rsid w:val="00CC1685"/>
    <w:rsid w:val="00CC1768"/>
    <w:rsid w:val="00CC17F0"/>
    <w:rsid w:val="00CC1853"/>
    <w:rsid w:val="00CC18C0"/>
    <w:rsid w:val="00CC1CA8"/>
    <w:rsid w:val="00CC1FAE"/>
    <w:rsid w:val="00CC3408"/>
    <w:rsid w:val="00CC34F1"/>
    <w:rsid w:val="00CC365C"/>
    <w:rsid w:val="00CC3757"/>
    <w:rsid w:val="00CC3A23"/>
    <w:rsid w:val="00CC4271"/>
    <w:rsid w:val="00CC434F"/>
    <w:rsid w:val="00CC4B60"/>
    <w:rsid w:val="00CC506B"/>
    <w:rsid w:val="00CC53B5"/>
    <w:rsid w:val="00CC5993"/>
    <w:rsid w:val="00CC5D26"/>
    <w:rsid w:val="00CC62E3"/>
    <w:rsid w:val="00CC6C25"/>
    <w:rsid w:val="00CC6F11"/>
    <w:rsid w:val="00CC737C"/>
    <w:rsid w:val="00CD002D"/>
    <w:rsid w:val="00CD0290"/>
    <w:rsid w:val="00CD03CC"/>
    <w:rsid w:val="00CD0517"/>
    <w:rsid w:val="00CD087D"/>
    <w:rsid w:val="00CD0A66"/>
    <w:rsid w:val="00CD0EE7"/>
    <w:rsid w:val="00CD0F5D"/>
    <w:rsid w:val="00CD10CE"/>
    <w:rsid w:val="00CD11F4"/>
    <w:rsid w:val="00CD1C0B"/>
    <w:rsid w:val="00CD2158"/>
    <w:rsid w:val="00CD239A"/>
    <w:rsid w:val="00CD2495"/>
    <w:rsid w:val="00CD2752"/>
    <w:rsid w:val="00CD2EB9"/>
    <w:rsid w:val="00CD369F"/>
    <w:rsid w:val="00CD39BB"/>
    <w:rsid w:val="00CD455E"/>
    <w:rsid w:val="00CD5512"/>
    <w:rsid w:val="00CD5814"/>
    <w:rsid w:val="00CD5BE6"/>
    <w:rsid w:val="00CD6244"/>
    <w:rsid w:val="00CD673E"/>
    <w:rsid w:val="00CD6E3D"/>
    <w:rsid w:val="00CD6E49"/>
    <w:rsid w:val="00CD71AB"/>
    <w:rsid w:val="00CD7B37"/>
    <w:rsid w:val="00CE0109"/>
    <w:rsid w:val="00CE04EB"/>
    <w:rsid w:val="00CE088F"/>
    <w:rsid w:val="00CE0A24"/>
    <w:rsid w:val="00CE0A54"/>
    <w:rsid w:val="00CE1344"/>
    <w:rsid w:val="00CE13F8"/>
    <w:rsid w:val="00CE1F67"/>
    <w:rsid w:val="00CE1FC5"/>
    <w:rsid w:val="00CE21FF"/>
    <w:rsid w:val="00CE221E"/>
    <w:rsid w:val="00CE293C"/>
    <w:rsid w:val="00CE2AA1"/>
    <w:rsid w:val="00CE2F60"/>
    <w:rsid w:val="00CE2FD3"/>
    <w:rsid w:val="00CE43B9"/>
    <w:rsid w:val="00CE4680"/>
    <w:rsid w:val="00CE46E5"/>
    <w:rsid w:val="00CE485A"/>
    <w:rsid w:val="00CE4A28"/>
    <w:rsid w:val="00CE4CB0"/>
    <w:rsid w:val="00CE5279"/>
    <w:rsid w:val="00CE57D2"/>
    <w:rsid w:val="00CE5A78"/>
    <w:rsid w:val="00CE5CA5"/>
    <w:rsid w:val="00CE5E3C"/>
    <w:rsid w:val="00CE656A"/>
    <w:rsid w:val="00CE6896"/>
    <w:rsid w:val="00CE7620"/>
    <w:rsid w:val="00CE78AE"/>
    <w:rsid w:val="00CE7E62"/>
    <w:rsid w:val="00CE7E91"/>
    <w:rsid w:val="00CF04F3"/>
    <w:rsid w:val="00CF0759"/>
    <w:rsid w:val="00CF0D4F"/>
    <w:rsid w:val="00CF195E"/>
    <w:rsid w:val="00CF19DA"/>
    <w:rsid w:val="00CF1C7F"/>
    <w:rsid w:val="00CF1CC0"/>
    <w:rsid w:val="00CF217F"/>
    <w:rsid w:val="00CF24F8"/>
    <w:rsid w:val="00CF2653"/>
    <w:rsid w:val="00CF3098"/>
    <w:rsid w:val="00CF3BFD"/>
    <w:rsid w:val="00CF41E5"/>
    <w:rsid w:val="00CF4247"/>
    <w:rsid w:val="00CF437B"/>
    <w:rsid w:val="00CF4820"/>
    <w:rsid w:val="00CF50CF"/>
    <w:rsid w:val="00CF5263"/>
    <w:rsid w:val="00CF583D"/>
    <w:rsid w:val="00CF60B5"/>
    <w:rsid w:val="00CF67A1"/>
    <w:rsid w:val="00CF6987"/>
    <w:rsid w:val="00CF6B7F"/>
    <w:rsid w:val="00CF6E6E"/>
    <w:rsid w:val="00CF70C9"/>
    <w:rsid w:val="00CF72F9"/>
    <w:rsid w:val="00CF7396"/>
    <w:rsid w:val="00CF752B"/>
    <w:rsid w:val="00CF7544"/>
    <w:rsid w:val="00CF767F"/>
    <w:rsid w:val="00CF7C6E"/>
    <w:rsid w:val="00CF7CB7"/>
    <w:rsid w:val="00CF7CF7"/>
    <w:rsid w:val="00D004FA"/>
    <w:rsid w:val="00D00695"/>
    <w:rsid w:val="00D0088D"/>
    <w:rsid w:val="00D00E7E"/>
    <w:rsid w:val="00D012A4"/>
    <w:rsid w:val="00D01B21"/>
    <w:rsid w:val="00D01E2F"/>
    <w:rsid w:val="00D01F39"/>
    <w:rsid w:val="00D0289A"/>
    <w:rsid w:val="00D03102"/>
    <w:rsid w:val="00D0336D"/>
    <w:rsid w:val="00D03386"/>
    <w:rsid w:val="00D035DA"/>
    <w:rsid w:val="00D03727"/>
    <w:rsid w:val="00D0378A"/>
    <w:rsid w:val="00D03C72"/>
    <w:rsid w:val="00D0422B"/>
    <w:rsid w:val="00D04361"/>
    <w:rsid w:val="00D047C2"/>
    <w:rsid w:val="00D047DF"/>
    <w:rsid w:val="00D04856"/>
    <w:rsid w:val="00D05132"/>
    <w:rsid w:val="00D054F0"/>
    <w:rsid w:val="00D0592F"/>
    <w:rsid w:val="00D05EA9"/>
    <w:rsid w:val="00D071F8"/>
    <w:rsid w:val="00D07252"/>
    <w:rsid w:val="00D07365"/>
    <w:rsid w:val="00D074F4"/>
    <w:rsid w:val="00D077F3"/>
    <w:rsid w:val="00D07A35"/>
    <w:rsid w:val="00D07CE1"/>
    <w:rsid w:val="00D1026A"/>
    <w:rsid w:val="00D107CF"/>
    <w:rsid w:val="00D10E1D"/>
    <w:rsid w:val="00D10F91"/>
    <w:rsid w:val="00D1109D"/>
    <w:rsid w:val="00D11140"/>
    <w:rsid w:val="00D1148E"/>
    <w:rsid w:val="00D11A0D"/>
    <w:rsid w:val="00D11B0B"/>
    <w:rsid w:val="00D12293"/>
    <w:rsid w:val="00D12D79"/>
    <w:rsid w:val="00D13BE4"/>
    <w:rsid w:val="00D13F61"/>
    <w:rsid w:val="00D14236"/>
    <w:rsid w:val="00D14553"/>
    <w:rsid w:val="00D14604"/>
    <w:rsid w:val="00D14CF4"/>
    <w:rsid w:val="00D14DB1"/>
    <w:rsid w:val="00D15E41"/>
    <w:rsid w:val="00D15F43"/>
    <w:rsid w:val="00D15F5A"/>
    <w:rsid w:val="00D16C13"/>
    <w:rsid w:val="00D16E87"/>
    <w:rsid w:val="00D17091"/>
    <w:rsid w:val="00D17871"/>
    <w:rsid w:val="00D17BFC"/>
    <w:rsid w:val="00D17C6F"/>
    <w:rsid w:val="00D17FFD"/>
    <w:rsid w:val="00D2033D"/>
    <w:rsid w:val="00D20778"/>
    <w:rsid w:val="00D20817"/>
    <w:rsid w:val="00D20B8B"/>
    <w:rsid w:val="00D20D2E"/>
    <w:rsid w:val="00D2100D"/>
    <w:rsid w:val="00D210E7"/>
    <w:rsid w:val="00D2162C"/>
    <w:rsid w:val="00D21648"/>
    <w:rsid w:val="00D21A3C"/>
    <w:rsid w:val="00D220AC"/>
    <w:rsid w:val="00D22C35"/>
    <w:rsid w:val="00D2325B"/>
    <w:rsid w:val="00D233F1"/>
    <w:rsid w:val="00D23919"/>
    <w:rsid w:val="00D23AC2"/>
    <w:rsid w:val="00D23AC8"/>
    <w:rsid w:val="00D23FB0"/>
    <w:rsid w:val="00D24675"/>
    <w:rsid w:val="00D24C0E"/>
    <w:rsid w:val="00D25193"/>
    <w:rsid w:val="00D256F8"/>
    <w:rsid w:val="00D25B91"/>
    <w:rsid w:val="00D26532"/>
    <w:rsid w:val="00D2685C"/>
    <w:rsid w:val="00D26A3B"/>
    <w:rsid w:val="00D26B13"/>
    <w:rsid w:val="00D26E30"/>
    <w:rsid w:val="00D26E6C"/>
    <w:rsid w:val="00D27162"/>
    <w:rsid w:val="00D272B7"/>
    <w:rsid w:val="00D27437"/>
    <w:rsid w:val="00D27A9E"/>
    <w:rsid w:val="00D302FD"/>
    <w:rsid w:val="00D3038A"/>
    <w:rsid w:val="00D3098D"/>
    <w:rsid w:val="00D3151F"/>
    <w:rsid w:val="00D31A02"/>
    <w:rsid w:val="00D31F9A"/>
    <w:rsid w:val="00D320AE"/>
    <w:rsid w:val="00D32487"/>
    <w:rsid w:val="00D32FA5"/>
    <w:rsid w:val="00D3323C"/>
    <w:rsid w:val="00D33456"/>
    <w:rsid w:val="00D335B0"/>
    <w:rsid w:val="00D337AF"/>
    <w:rsid w:val="00D3396F"/>
    <w:rsid w:val="00D33B18"/>
    <w:rsid w:val="00D33BE2"/>
    <w:rsid w:val="00D33D4D"/>
    <w:rsid w:val="00D340E1"/>
    <w:rsid w:val="00D34461"/>
    <w:rsid w:val="00D34A0B"/>
    <w:rsid w:val="00D34EF6"/>
    <w:rsid w:val="00D351FB"/>
    <w:rsid w:val="00D352B0"/>
    <w:rsid w:val="00D354C5"/>
    <w:rsid w:val="00D35739"/>
    <w:rsid w:val="00D35B00"/>
    <w:rsid w:val="00D36234"/>
    <w:rsid w:val="00D36371"/>
    <w:rsid w:val="00D36669"/>
    <w:rsid w:val="00D372FC"/>
    <w:rsid w:val="00D37603"/>
    <w:rsid w:val="00D37923"/>
    <w:rsid w:val="00D40013"/>
    <w:rsid w:val="00D4075B"/>
    <w:rsid w:val="00D40A20"/>
    <w:rsid w:val="00D4162B"/>
    <w:rsid w:val="00D418CF"/>
    <w:rsid w:val="00D4204E"/>
    <w:rsid w:val="00D43082"/>
    <w:rsid w:val="00D437D8"/>
    <w:rsid w:val="00D43D31"/>
    <w:rsid w:val="00D43DF8"/>
    <w:rsid w:val="00D43EF8"/>
    <w:rsid w:val="00D44700"/>
    <w:rsid w:val="00D447E1"/>
    <w:rsid w:val="00D44994"/>
    <w:rsid w:val="00D44D5C"/>
    <w:rsid w:val="00D44D9D"/>
    <w:rsid w:val="00D4569F"/>
    <w:rsid w:val="00D45C3E"/>
    <w:rsid w:val="00D45DF3"/>
    <w:rsid w:val="00D45E7A"/>
    <w:rsid w:val="00D46174"/>
    <w:rsid w:val="00D46329"/>
    <w:rsid w:val="00D4645E"/>
    <w:rsid w:val="00D46611"/>
    <w:rsid w:val="00D4695F"/>
    <w:rsid w:val="00D46C11"/>
    <w:rsid w:val="00D46FC0"/>
    <w:rsid w:val="00D47005"/>
    <w:rsid w:val="00D47B8B"/>
    <w:rsid w:val="00D47DD0"/>
    <w:rsid w:val="00D47DD8"/>
    <w:rsid w:val="00D50183"/>
    <w:rsid w:val="00D50B4E"/>
    <w:rsid w:val="00D51066"/>
    <w:rsid w:val="00D514A7"/>
    <w:rsid w:val="00D51D12"/>
    <w:rsid w:val="00D51FD5"/>
    <w:rsid w:val="00D5208F"/>
    <w:rsid w:val="00D52503"/>
    <w:rsid w:val="00D5261F"/>
    <w:rsid w:val="00D52CB5"/>
    <w:rsid w:val="00D5362B"/>
    <w:rsid w:val="00D5505B"/>
    <w:rsid w:val="00D55072"/>
    <w:rsid w:val="00D551B5"/>
    <w:rsid w:val="00D5529B"/>
    <w:rsid w:val="00D55466"/>
    <w:rsid w:val="00D55589"/>
    <w:rsid w:val="00D556B1"/>
    <w:rsid w:val="00D55B3A"/>
    <w:rsid w:val="00D55F76"/>
    <w:rsid w:val="00D560A9"/>
    <w:rsid w:val="00D56AEC"/>
    <w:rsid w:val="00D56DB2"/>
    <w:rsid w:val="00D56EC4"/>
    <w:rsid w:val="00D5747F"/>
    <w:rsid w:val="00D57495"/>
    <w:rsid w:val="00D574FA"/>
    <w:rsid w:val="00D602C1"/>
    <w:rsid w:val="00D604B2"/>
    <w:rsid w:val="00D60577"/>
    <w:rsid w:val="00D609E0"/>
    <w:rsid w:val="00D60B38"/>
    <w:rsid w:val="00D60C85"/>
    <w:rsid w:val="00D60C8D"/>
    <w:rsid w:val="00D60ECB"/>
    <w:rsid w:val="00D60EF8"/>
    <w:rsid w:val="00D60FB5"/>
    <w:rsid w:val="00D61374"/>
    <w:rsid w:val="00D6168A"/>
    <w:rsid w:val="00D616A5"/>
    <w:rsid w:val="00D617ED"/>
    <w:rsid w:val="00D61FF0"/>
    <w:rsid w:val="00D6211D"/>
    <w:rsid w:val="00D62B2E"/>
    <w:rsid w:val="00D62C97"/>
    <w:rsid w:val="00D62EBB"/>
    <w:rsid w:val="00D6333D"/>
    <w:rsid w:val="00D63517"/>
    <w:rsid w:val="00D63B75"/>
    <w:rsid w:val="00D644E6"/>
    <w:rsid w:val="00D64CC7"/>
    <w:rsid w:val="00D64EF2"/>
    <w:rsid w:val="00D654A0"/>
    <w:rsid w:val="00D655F4"/>
    <w:rsid w:val="00D65868"/>
    <w:rsid w:val="00D659B1"/>
    <w:rsid w:val="00D664E8"/>
    <w:rsid w:val="00D666E5"/>
    <w:rsid w:val="00D667E7"/>
    <w:rsid w:val="00D66A8A"/>
    <w:rsid w:val="00D66C09"/>
    <w:rsid w:val="00D66E18"/>
    <w:rsid w:val="00D67206"/>
    <w:rsid w:val="00D6734D"/>
    <w:rsid w:val="00D679CF"/>
    <w:rsid w:val="00D679D3"/>
    <w:rsid w:val="00D67EAF"/>
    <w:rsid w:val="00D67FC9"/>
    <w:rsid w:val="00D70167"/>
    <w:rsid w:val="00D702A0"/>
    <w:rsid w:val="00D70668"/>
    <w:rsid w:val="00D70834"/>
    <w:rsid w:val="00D70D6C"/>
    <w:rsid w:val="00D70D6F"/>
    <w:rsid w:val="00D71642"/>
    <w:rsid w:val="00D71656"/>
    <w:rsid w:val="00D71B9B"/>
    <w:rsid w:val="00D71BA6"/>
    <w:rsid w:val="00D722AB"/>
    <w:rsid w:val="00D7356F"/>
    <w:rsid w:val="00D73587"/>
    <w:rsid w:val="00D73A16"/>
    <w:rsid w:val="00D73D50"/>
    <w:rsid w:val="00D73EBB"/>
    <w:rsid w:val="00D74AE7"/>
    <w:rsid w:val="00D74C7B"/>
    <w:rsid w:val="00D74D54"/>
    <w:rsid w:val="00D74EEB"/>
    <w:rsid w:val="00D74F3A"/>
    <w:rsid w:val="00D751FB"/>
    <w:rsid w:val="00D754D6"/>
    <w:rsid w:val="00D755CD"/>
    <w:rsid w:val="00D7591E"/>
    <w:rsid w:val="00D75926"/>
    <w:rsid w:val="00D76078"/>
    <w:rsid w:val="00D761AA"/>
    <w:rsid w:val="00D7645A"/>
    <w:rsid w:val="00D76BDB"/>
    <w:rsid w:val="00D76CCE"/>
    <w:rsid w:val="00D76FAE"/>
    <w:rsid w:val="00D77583"/>
    <w:rsid w:val="00D777D7"/>
    <w:rsid w:val="00D800D7"/>
    <w:rsid w:val="00D8075E"/>
    <w:rsid w:val="00D80AB8"/>
    <w:rsid w:val="00D80E0C"/>
    <w:rsid w:val="00D813A9"/>
    <w:rsid w:val="00D81792"/>
    <w:rsid w:val="00D819B1"/>
    <w:rsid w:val="00D81F1C"/>
    <w:rsid w:val="00D82494"/>
    <w:rsid w:val="00D82838"/>
    <w:rsid w:val="00D82E59"/>
    <w:rsid w:val="00D83AE9"/>
    <w:rsid w:val="00D844B8"/>
    <w:rsid w:val="00D84C46"/>
    <w:rsid w:val="00D84D6C"/>
    <w:rsid w:val="00D857B8"/>
    <w:rsid w:val="00D86A62"/>
    <w:rsid w:val="00D86B2A"/>
    <w:rsid w:val="00D87175"/>
    <w:rsid w:val="00D879BB"/>
    <w:rsid w:val="00D87ABF"/>
    <w:rsid w:val="00D87DFF"/>
    <w:rsid w:val="00D90179"/>
    <w:rsid w:val="00D90AA6"/>
    <w:rsid w:val="00D90CD3"/>
    <w:rsid w:val="00D90DC7"/>
    <w:rsid w:val="00D919E6"/>
    <w:rsid w:val="00D91B76"/>
    <w:rsid w:val="00D91BE1"/>
    <w:rsid w:val="00D925A9"/>
    <w:rsid w:val="00D92C29"/>
    <w:rsid w:val="00D936E2"/>
    <w:rsid w:val="00D93C05"/>
    <w:rsid w:val="00D93D72"/>
    <w:rsid w:val="00D95104"/>
    <w:rsid w:val="00D9517C"/>
    <w:rsid w:val="00D953F1"/>
    <w:rsid w:val="00D95600"/>
    <w:rsid w:val="00D9680B"/>
    <w:rsid w:val="00D9683C"/>
    <w:rsid w:val="00D9761A"/>
    <w:rsid w:val="00D97884"/>
    <w:rsid w:val="00D97D27"/>
    <w:rsid w:val="00DA0016"/>
    <w:rsid w:val="00DA0A7F"/>
    <w:rsid w:val="00DA0FB0"/>
    <w:rsid w:val="00DA1001"/>
    <w:rsid w:val="00DA1207"/>
    <w:rsid w:val="00DA14A7"/>
    <w:rsid w:val="00DA1B4D"/>
    <w:rsid w:val="00DA1C31"/>
    <w:rsid w:val="00DA20BC"/>
    <w:rsid w:val="00DA2639"/>
    <w:rsid w:val="00DA2CEA"/>
    <w:rsid w:val="00DA2ED7"/>
    <w:rsid w:val="00DA33D5"/>
    <w:rsid w:val="00DA3DD7"/>
    <w:rsid w:val="00DA3E24"/>
    <w:rsid w:val="00DA3E7A"/>
    <w:rsid w:val="00DA3F5C"/>
    <w:rsid w:val="00DA430C"/>
    <w:rsid w:val="00DA4480"/>
    <w:rsid w:val="00DA4BE9"/>
    <w:rsid w:val="00DA4D4E"/>
    <w:rsid w:val="00DA4F38"/>
    <w:rsid w:val="00DA4F48"/>
    <w:rsid w:val="00DA519E"/>
    <w:rsid w:val="00DA51EC"/>
    <w:rsid w:val="00DA52AA"/>
    <w:rsid w:val="00DA5ABC"/>
    <w:rsid w:val="00DA5DCE"/>
    <w:rsid w:val="00DA615D"/>
    <w:rsid w:val="00DA630F"/>
    <w:rsid w:val="00DA6598"/>
    <w:rsid w:val="00DA679D"/>
    <w:rsid w:val="00DA6C0F"/>
    <w:rsid w:val="00DA702F"/>
    <w:rsid w:val="00DA7152"/>
    <w:rsid w:val="00DA75F0"/>
    <w:rsid w:val="00DA7F8A"/>
    <w:rsid w:val="00DB0176"/>
    <w:rsid w:val="00DB0404"/>
    <w:rsid w:val="00DB0769"/>
    <w:rsid w:val="00DB0EEB"/>
    <w:rsid w:val="00DB11F8"/>
    <w:rsid w:val="00DB18F8"/>
    <w:rsid w:val="00DB1B1C"/>
    <w:rsid w:val="00DB1C48"/>
    <w:rsid w:val="00DB1EF8"/>
    <w:rsid w:val="00DB1F2A"/>
    <w:rsid w:val="00DB21AB"/>
    <w:rsid w:val="00DB2734"/>
    <w:rsid w:val="00DB297F"/>
    <w:rsid w:val="00DB2BFC"/>
    <w:rsid w:val="00DB2D1B"/>
    <w:rsid w:val="00DB3056"/>
    <w:rsid w:val="00DB3153"/>
    <w:rsid w:val="00DB317A"/>
    <w:rsid w:val="00DB398E"/>
    <w:rsid w:val="00DB3B82"/>
    <w:rsid w:val="00DB3BF0"/>
    <w:rsid w:val="00DB42E3"/>
    <w:rsid w:val="00DB4345"/>
    <w:rsid w:val="00DB485D"/>
    <w:rsid w:val="00DB4873"/>
    <w:rsid w:val="00DB5468"/>
    <w:rsid w:val="00DB5753"/>
    <w:rsid w:val="00DB7137"/>
    <w:rsid w:val="00DB7587"/>
    <w:rsid w:val="00DB7E23"/>
    <w:rsid w:val="00DC0354"/>
    <w:rsid w:val="00DC12A5"/>
    <w:rsid w:val="00DC1327"/>
    <w:rsid w:val="00DC1350"/>
    <w:rsid w:val="00DC1D4F"/>
    <w:rsid w:val="00DC25F0"/>
    <w:rsid w:val="00DC3237"/>
    <w:rsid w:val="00DC41A4"/>
    <w:rsid w:val="00DC42D3"/>
    <w:rsid w:val="00DC4F45"/>
    <w:rsid w:val="00DC5672"/>
    <w:rsid w:val="00DC56F2"/>
    <w:rsid w:val="00DC60A2"/>
    <w:rsid w:val="00DC6519"/>
    <w:rsid w:val="00DC6600"/>
    <w:rsid w:val="00DC67BD"/>
    <w:rsid w:val="00DC67DA"/>
    <w:rsid w:val="00DC6924"/>
    <w:rsid w:val="00DC706F"/>
    <w:rsid w:val="00DC71F2"/>
    <w:rsid w:val="00DC759E"/>
    <w:rsid w:val="00DC7806"/>
    <w:rsid w:val="00DC7E27"/>
    <w:rsid w:val="00DC7F74"/>
    <w:rsid w:val="00DC7FEE"/>
    <w:rsid w:val="00DD0949"/>
    <w:rsid w:val="00DD09BE"/>
    <w:rsid w:val="00DD0CEC"/>
    <w:rsid w:val="00DD167B"/>
    <w:rsid w:val="00DD2025"/>
    <w:rsid w:val="00DD22EA"/>
    <w:rsid w:val="00DD23A0"/>
    <w:rsid w:val="00DD2DE8"/>
    <w:rsid w:val="00DD35FE"/>
    <w:rsid w:val="00DD3EF5"/>
    <w:rsid w:val="00DD53FA"/>
    <w:rsid w:val="00DD5565"/>
    <w:rsid w:val="00DD57FC"/>
    <w:rsid w:val="00DD5A92"/>
    <w:rsid w:val="00DD5A99"/>
    <w:rsid w:val="00DD5F42"/>
    <w:rsid w:val="00DD617B"/>
    <w:rsid w:val="00DD63B9"/>
    <w:rsid w:val="00DD660C"/>
    <w:rsid w:val="00DD6755"/>
    <w:rsid w:val="00DD6847"/>
    <w:rsid w:val="00DD6C31"/>
    <w:rsid w:val="00DD6C9E"/>
    <w:rsid w:val="00DD71AB"/>
    <w:rsid w:val="00DD7357"/>
    <w:rsid w:val="00DD737E"/>
    <w:rsid w:val="00DE05C2"/>
    <w:rsid w:val="00DE0B9E"/>
    <w:rsid w:val="00DE0E59"/>
    <w:rsid w:val="00DE0F6C"/>
    <w:rsid w:val="00DE19B5"/>
    <w:rsid w:val="00DE219B"/>
    <w:rsid w:val="00DE352F"/>
    <w:rsid w:val="00DE373B"/>
    <w:rsid w:val="00DE38D0"/>
    <w:rsid w:val="00DE3AAF"/>
    <w:rsid w:val="00DE3B91"/>
    <w:rsid w:val="00DE404D"/>
    <w:rsid w:val="00DE416A"/>
    <w:rsid w:val="00DE4C65"/>
    <w:rsid w:val="00DE52E3"/>
    <w:rsid w:val="00DE57EB"/>
    <w:rsid w:val="00DE5821"/>
    <w:rsid w:val="00DE5C65"/>
    <w:rsid w:val="00DE5DD3"/>
    <w:rsid w:val="00DE6092"/>
    <w:rsid w:val="00DE6382"/>
    <w:rsid w:val="00DE6452"/>
    <w:rsid w:val="00DE67B0"/>
    <w:rsid w:val="00DE6E33"/>
    <w:rsid w:val="00DE77D2"/>
    <w:rsid w:val="00DE7824"/>
    <w:rsid w:val="00DE7997"/>
    <w:rsid w:val="00DE7BF1"/>
    <w:rsid w:val="00DE7C00"/>
    <w:rsid w:val="00DF03E9"/>
    <w:rsid w:val="00DF03ED"/>
    <w:rsid w:val="00DF04EE"/>
    <w:rsid w:val="00DF0AC9"/>
    <w:rsid w:val="00DF0BF4"/>
    <w:rsid w:val="00DF0C63"/>
    <w:rsid w:val="00DF1216"/>
    <w:rsid w:val="00DF179D"/>
    <w:rsid w:val="00DF1900"/>
    <w:rsid w:val="00DF1C55"/>
    <w:rsid w:val="00DF1E9C"/>
    <w:rsid w:val="00DF2013"/>
    <w:rsid w:val="00DF21CB"/>
    <w:rsid w:val="00DF21EE"/>
    <w:rsid w:val="00DF2225"/>
    <w:rsid w:val="00DF292A"/>
    <w:rsid w:val="00DF41C5"/>
    <w:rsid w:val="00DF4572"/>
    <w:rsid w:val="00DF4658"/>
    <w:rsid w:val="00DF4E8C"/>
    <w:rsid w:val="00DF4F1D"/>
    <w:rsid w:val="00DF5533"/>
    <w:rsid w:val="00DF5664"/>
    <w:rsid w:val="00DF5FFD"/>
    <w:rsid w:val="00DF6C8B"/>
    <w:rsid w:val="00DF6F17"/>
    <w:rsid w:val="00DF7125"/>
    <w:rsid w:val="00DF7193"/>
    <w:rsid w:val="00DF78FA"/>
    <w:rsid w:val="00DF7E67"/>
    <w:rsid w:val="00DF7ED5"/>
    <w:rsid w:val="00E000B3"/>
    <w:rsid w:val="00E00233"/>
    <w:rsid w:val="00E002F1"/>
    <w:rsid w:val="00E005A8"/>
    <w:rsid w:val="00E0082C"/>
    <w:rsid w:val="00E018F7"/>
    <w:rsid w:val="00E01DAA"/>
    <w:rsid w:val="00E01E28"/>
    <w:rsid w:val="00E0202D"/>
    <w:rsid w:val="00E0206B"/>
    <w:rsid w:val="00E023E5"/>
    <w:rsid w:val="00E02432"/>
    <w:rsid w:val="00E02992"/>
    <w:rsid w:val="00E02B6A"/>
    <w:rsid w:val="00E02EA0"/>
    <w:rsid w:val="00E03594"/>
    <w:rsid w:val="00E03A7E"/>
    <w:rsid w:val="00E04022"/>
    <w:rsid w:val="00E0445C"/>
    <w:rsid w:val="00E045E1"/>
    <w:rsid w:val="00E04633"/>
    <w:rsid w:val="00E0492E"/>
    <w:rsid w:val="00E04AF8"/>
    <w:rsid w:val="00E04B0C"/>
    <w:rsid w:val="00E05111"/>
    <w:rsid w:val="00E06032"/>
    <w:rsid w:val="00E06481"/>
    <w:rsid w:val="00E068D5"/>
    <w:rsid w:val="00E0728F"/>
    <w:rsid w:val="00E0755C"/>
    <w:rsid w:val="00E1026A"/>
    <w:rsid w:val="00E10605"/>
    <w:rsid w:val="00E10EF3"/>
    <w:rsid w:val="00E114CE"/>
    <w:rsid w:val="00E12A49"/>
    <w:rsid w:val="00E12CEB"/>
    <w:rsid w:val="00E137C9"/>
    <w:rsid w:val="00E13859"/>
    <w:rsid w:val="00E13E88"/>
    <w:rsid w:val="00E14401"/>
    <w:rsid w:val="00E149FE"/>
    <w:rsid w:val="00E14A7E"/>
    <w:rsid w:val="00E151E1"/>
    <w:rsid w:val="00E154B1"/>
    <w:rsid w:val="00E15C58"/>
    <w:rsid w:val="00E15C98"/>
    <w:rsid w:val="00E15CD6"/>
    <w:rsid w:val="00E15FF2"/>
    <w:rsid w:val="00E16755"/>
    <w:rsid w:val="00E16B43"/>
    <w:rsid w:val="00E16F9B"/>
    <w:rsid w:val="00E16FAA"/>
    <w:rsid w:val="00E17052"/>
    <w:rsid w:val="00E17619"/>
    <w:rsid w:val="00E17805"/>
    <w:rsid w:val="00E178F8"/>
    <w:rsid w:val="00E17A0E"/>
    <w:rsid w:val="00E20695"/>
    <w:rsid w:val="00E20956"/>
    <w:rsid w:val="00E20F79"/>
    <w:rsid w:val="00E21278"/>
    <w:rsid w:val="00E2173A"/>
    <w:rsid w:val="00E21D3E"/>
    <w:rsid w:val="00E21E2E"/>
    <w:rsid w:val="00E22365"/>
    <w:rsid w:val="00E22647"/>
    <w:rsid w:val="00E22CCD"/>
    <w:rsid w:val="00E2386F"/>
    <w:rsid w:val="00E238DA"/>
    <w:rsid w:val="00E23A11"/>
    <w:rsid w:val="00E23B94"/>
    <w:rsid w:val="00E23C99"/>
    <w:rsid w:val="00E23FB7"/>
    <w:rsid w:val="00E24675"/>
    <w:rsid w:val="00E24A27"/>
    <w:rsid w:val="00E25308"/>
    <w:rsid w:val="00E2533B"/>
    <w:rsid w:val="00E25F10"/>
    <w:rsid w:val="00E25F89"/>
    <w:rsid w:val="00E2648D"/>
    <w:rsid w:val="00E26F2B"/>
    <w:rsid w:val="00E30200"/>
    <w:rsid w:val="00E30707"/>
    <w:rsid w:val="00E3094A"/>
    <w:rsid w:val="00E3105B"/>
    <w:rsid w:val="00E31244"/>
    <w:rsid w:val="00E31407"/>
    <w:rsid w:val="00E31577"/>
    <w:rsid w:val="00E32A64"/>
    <w:rsid w:val="00E32CDA"/>
    <w:rsid w:val="00E32D62"/>
    <w:rsid w:val="00E32ED1"/>
    <w:rsid w:val="00E33280"/>
    <w:rsid w:val="00E339DC"/>
    <w:rsid w:val="00E33E15"/>
    <w:rsid w:val="00E34925"/>
    <w:rsid w:val="00E35071"/>
    <w:rsid w:val="00E359C1"/>
    <w:rsid w:val="00E35CE8"/>
    <w:rsid w:val="00E361B8"/>
    <w:rsid w:val="00E36233"/>
    <w:rsid w:val="00E36A1B"/>
    <w:rsid w:val="00E36C29"/>
    <w:rsid w:val="00E375C5"/>
    <w:rsid w:val="00E40DC3"/>
    <w:rsid w:val="00E41831"/>
    <w:rsid w:val="00E4186F"/>
    <w:rsid w:val="00E41CF6"/>
    <w:rsid w:val="00E41E5B"/>
    <w:rsid w:val="00E41F9A"/>
    <w:rsid w:val="00E422CC"/>
    <w:rsid w:val="00E4258B"/>
    <w:rsid w:val="00E429ED"/>
    <w:rsid w:val="00E43246"/>
    <w:rsid w:val="00E4368C"/>
    <w:rsid w:val="00E43F37"/>
    <w:rsid w:val="00E441E6"/>
    <w:rsid w:val="00E4451D"/>
    <w:rsid w:val="00E44BE1"/>
    <w:rsid w:val="00E450ED"/>
    <w:rsid w:val="00E46271"/>
    <w:rsid w:val="00E464E6"/>
    <w:rsid w:val="00E46979"/>
    <w:rsid w:val="00E46E22"/>
    <w:rsid w:val="00E4791B"/>
    <w:rsid w:val="00E47A4A"/>
    <w:rsid w:val="00E47BB4"/>
    <w:rsid w:val="00E47C91"/>
    <w:rsid w:val="00E47E31"/>
    <w:rsid w:val="00E50AC6"/>
    <w:rsid w:val="00E50DB9"/>
    <w:rsid w:val="00E51B0D"/>
    <w:rsid w:val="00E51DDD"/>
    <w:rsid w:val="00E51FDD"/>
    <w:rsid w:val="00E5223F"/>
    <w:rsid w:val="00E52435"/>
    <w:rsid w:val="00E524E9"/>
    <w:rsid w:val="00E52523"/>
    <w:rsid w:val="00E526A9"/>
    <w:rsid w:val="00E52859"/>
    <w:rsid w:val="00E5298A"/>
    <w:rsid w:val="00E52B04"/>
    <w:rsid w:val="00E52B50"/>
    <w:rsid w:val="00E53017"/>
    <w:rsid w:val="00E53122"/>
    <w:rsid w:val="00E5351B"/>
    <w:rsid w:val="00E53F64"/>
    <w:rsid w:val="00E53FA9"/>
    <w:rsid w:val="00E5414C"/>
    <w:rsid w:val="00E54621"/>
    <w:rsid w:val="00E547B3"/>
    <w:rsid w:val="00E55013"/>
    <w:rsid w:val="00E55168"/>
    <w:rsid w:val="00E559CA"/>
    <w:rsid w:val="00E568DB"/>
    <w:rsid w:val="00E56F64"/>
    <w:rsid w:val="00E5733D"/>
    <w:rsid w:val="00E5737E"/>
    <w:rsid w:val="00E57944"/>
    <w:rsid w:val="00E57AED"/>
    <w:rsid w:val="00E57FE1"/>
    <w:rsid w:val="00E607AA"/>
    <w:rsid w:val="00E60E63"/>
    <w:rsid w:val="00E61BE2"/>
    <w:rsid w:val="00E61CC0"/>
    <w:rsid w:val="00E6277B"/>
    <w:rsid w:val="00E629A4"/>
    <w:rsid w:val="00E62B5E"/>
    <w:rsid w:val="00E62E19"/>
    <w:rsid w:val="00E63136"/>
    <w:rsid w:val="00E64424"/>
    <w:rsid w:val="00E6453B"/>
    <w:rsid w:val="00E64C99"/>
    <w:rsid w:val="00E64CD3"/>
    <w:rsid w:val="00E659A3"/>
    <w:rsid w:val="00E6625D"/>
    <w:rsid w:val="00E662F0"/>
    <w:rsid w:val="00E664C8"/>
    <w:rsid w:val="00E66BCC"/>
    <w:rsid w:val="00E671C9"/>
    <w:rsid w:val="00E6743F"/>
    <w:rsid w:val="00E6758E"/>
    <w:rsid w:val="00E67E23"/>
    <w:rsid w:val="00E67F36"/>
    <w:rsid w:val="00E70016"/>
    <w:rsid w:val="00E7035C"/>
    <w:rsid w:val="00E70BC7"/>
    <w:rsid w:val="00E70C7E"/>
    <w:rsid w:val="00E70F7B"/>
    <w:rsid w:val="00E70FBC"/>
    <w:rsid w:val="00E71202"/>
    <w:rsid w:val="00E719AD"/>
    <w:rsid w:val="00E71A00"/>
    <w:rsid w:val="00E71E0F"/>
    <w:rsid w:val="00E71F8C"/>
    <w:rsid w:val="00E7224D"/>
    <w:rsid w:val="00E722FD"/>
    <w:rsid w:val="00E723D5"/>
    <w:rsid w:val="00E72640"/>
    <w:rsid w:val="00E72B2A"/>
    <w:rsid w:val="00E72C01"/>
    <w:rsid w:val="00E736E4"/>
    <w:rsid w:val="00E741AC"/>
    <w:rsid w:val="00E7426E"/>
    <w:rsid w:val="00E75174"/>
    <w:rsid w:val="00E752FE"/>
    <w:rsid w:val="00E75774"/>
    <w:rsid w:val="00E757F9"/>
    <w:rsid w:val="00E75980"/>
    <w:rsid w:val="00E75E0B"/>
    <w:rsid w:val="00E75EBA"/>
    <w:rsid w:val="00E75F60"/>
    <w:rsid w:val="00E763B4"/>
    <w:rsid w:val="00E763F8"/>
    <w:rsid w:val="00E775E3"/>
    <w:rsid w:val="00E77649"/>
    <w:rsid w:val="00E77848"/>
    <w:rsid w:val="00E77A9A"/>
    <w:rsid w:val="00E77B23"/>
    <w:rsid w:val="00E77CA4"/>
    <w:rsid w:val="00E802B0"/>
    <w:rsid w:val="00E804C7"/>
    <w:rsid w:val="00E80514"/>
    <w:rsid w:val="00E80608"/>
    <w:rsid w:val="00E80884"/>
    <w:rsid w:val="00E80E5B"/>
    <w:rsid w:val="00E816C0"/>
    <w:rsid w:val="00E816C5"/>
    <w:rsid w:val="00E81CE0"/>
    <w:rsid w:val="00E81E7C"/>
    <w:rsid w:val="00E8224D"/>
    <w:rsid w:val="00E8225F"/>
    <w:rsid w:val="00E82850"/>
    <w:rsid w:val="00E82E8E"/>
    <w:rsid w:val="00E831EC"/>
    <w:rsid w:val="00E833CA"/>
    <w:rsid w:val="00E8374B"/>
    <w:rsid w:val="00E8388F"/>
    <w:rsid w:val="00E83F4E"/>
    <w:rsid w:val="00E84058"/>
    <w:rsid w:val="00E84B50"/>
    <w:rsid w:val="00E84BAB"/>
    <w:rsid w:val="00E84D35"/>
    <w:rsid w:val="00E84DB6"/>
    <w:rsid w:val="00E84E11"/>
    <w:rsid w:val="00E84F1F"/>
    <w:rsid w:val="00E8519F"/>
    <w:rsid w:val="00E8521E"/>
    <w:rsid w:val="00E853E8"/>
    <w:rsid w:val="00E85504"/>
    <w:rsid w:val="00E85CC3"/>
    <w:rsid w:val="00E8644A"/>
    <w:rsid w:val="00E865CF"/>
    <w:rsid w:val="00E86A99"/>
    <w:rsid w:val="00E86D06"/>
    <w:rsid w:val="00E86FCB"/>
    <w:rsid w:val="00E874AB"/>
    <w:rsid w:val="00E87979"/>
    <w:rsid w:val="00E901A9"/>
    <w:rsid w:val="00E90279"/>
    <w:rsid w:val="00E90627"/>
    <w:rsid w:val="00E90635"/>
    <w:rsid w:val="00E909A1"/>
    <w:rsid w:val="00E90B60"/>
    <w:rsid w:val="00E90BFF"/>
    <w:rsid w:val="00E910F8"/>
    <w:rsid w:val="00E91650"/>
    <w:rsid w:val="00E9175D"/>
    <w:rsid w:val="00E91F04"/>
    <w:rsid w:val="00E91F35"/>
    <w:rsid w:val="00E9200E"/>
    <w:rsid w:val="00E9280E"/>
    <w:rsid w:val="00E92C05"/>
    <w:rsid w:val="00E92F65"/>
    <w:rsid w:val="00E92FFA"/>
    <w:rsid w:val="00E938F6"/>
    <w:rsid w:val="00E93B8A"/>
    <w:rsid w:val="00E93C75"/>
    <w:rsid w:val="00E94AB0"/>
    <w:rsid w:val="00E94CD3"/>
    <w:rsid w:val="00E9553E"/>
    <w:rsid w:val="00E95702"/>
    <w:rsid w:val="00E95AF1"/>
    <w:rsid w:val="00E95BA6"/>
    <w:rsid w:val="00E95C21"/>
    <w:rsid w:val="00E95DB9"/>
    <w:rsid w:val="00E964FD"/>
    <w:rsid w:val="00E96C13"/>
    <w:rsid w:val="00E96D95"/>
    <w:rsid w:val="00E96FA3"/>
    <w:rsid w:val="00E97648"/>
    <w:rsid w:val="00E97D25"/>
    <w:rsid w:val="00E97D90"/>
    <w:rsid w:val="00E97EF9"/>
    <w:rsid w:val="00EA003D"/>
    <w:rsid w:val="00EA0195"/>
    <w:rsid w:val="00EA082D"/>
    <w:rsid w:val="00EA0891"/>
    <w:rsid w:val="00EA0D29"/>
    <w:rsid w:val="00EA0E4A"/>
    <w:rsid w:val="00EA1A54"/>
    <w:rsid w:val="00EA1E91"/>
    <w:rsid w:val="00EA2226"/>
    <w:rsid w:val="00EA26FC"/>
    <w:rsid w:val="00EA3203"/>
    <w:rsid w:val="00EA3573"/>
    <w:rsid w:val="00EA3B5A"/>
    <w:rsid w:val="00EA3C23"/>
    <w:rsid w:val="00EA410E"/>
    <w:rsid w:val="00EA4FA6"/>
    <w:rsid w:val="00EA4FD1"/>
    <w:rsid w:val="00EA53C2"/>
    <w:rsid w:val="00EA5695"/>
    <w:rsid w:val="00EA5B0A"/>
    <w:rsid w:val="00EA5CAA"/>
    <w:rsid w:val="00EA65AD"/>
    <w:rsid w:val="00EA6929"/>
    <w:rsid w:val="00EA739D"/>
    <w:rsid w:val="00EA77B5"/>
    <w:rsid w:val="00EA79AE"/>
    <w:rsid w:val="00EA7AE8"/>
    <w:rsid w:val="00EA7C16"/>
    <w:rsid w:val="00EA7FCF"/>
    <w:rsid w:val="00EB055A"/>
    <w:rsid w:val="00EB073B"/>
    <w:rsid w:val="00EB082B"/>
    <w:rsid w:val="00EB0A26"/>
    <w:rsid w:val="00EB0CA3"/>
    <w:rsid w:val="00EB0FE9"/>
    <w:rsid w:val="00EB104F"/>
    <w:rsid w:val="00EB1126"/>
    <w:rsid w:val="00EB1388"/>
    <w:rsid w:val="00EB143A"/>
    <w:rsid w:val="00EB19EE"/>
    <w:rsid w:val="00EB1B27"/>
    <w:rsid w:val="00EB1DA8"/>
    <w:rsid w:val="00EB1FBA"/>
    <w:rsid w:val="00EB201E"/>
    <w:rsid w:val="00EB2355"/>
    <w:rsid w:val="00EB2865"/>
    <w:rsid w:val="00EB2A53"/>
    <w:rsid w:val="00EB2A6C"/>
    <w:rsid w:val="00EB3007"/>
    <w:rsid w:val="00EB37E1"/>
    <w:rsid w:val="00EB41AF"/>
    <w:rsid w:val="00EB431D"/>
    <w:rsid w:val="00EB4CFF"/>
    <w:rsid w:val="00EB4F8D"/>
    <w:rsid w:val="00EB51FB"/>
    <w:rsid w:val="00EB535F"/>
    <w:rsid w:val="00EB5476"/>
    <w:rsid w:val="00EB5A06"/>
    <w:rsid w:val="00EB5EEB"/>
    <w:rsid w:val="00EB6651"/>
    <w:rsid w:val="00EB6C9E"/>
    <w:rsid w:val="00EB70B0"/>
    <w:rsid w:val="00EB751F"/>
    <w:rsid w:val="00EB7633"/>
    <w:rsid w:val="00EB7736"/>
    <w:rsid w:val="00EB7A7E"/>
    <w:rsid w:val="00EB7B0C"/>
    <w:rsid w:val="00EC1C8F"/>
    <w:rsid w:val="00EC2116"/>
    <w:rsid w:val="00EC2421"/>
    <w:rsid w:val="00EC2E2D"/>
    <w:rsid w:val="00EC303B"/>
    <w:rsid w:val="00EC326E"/>
    <w:rsid w:val="00EC3796"/>
    <w:rsid w:val="00EC38D0"/>
    <w:rsid w:val="00EC3BDB"/>
    <w:rsid w:val="00EC462B"/>
    <w:rsid w:val="00EC4723"/>
    <w:rsid w:val="00EC541D"/>
    <w:rsid w:val="00EC566C"/>
    <w:rsid w:val="00EC56E0"/>
    <w:rsid w:val="00EC6057"/>
    <w:rsid w:val="00EC6847"/>
    <w:rsid w:val="00EC6A34"/>
    <w:rsid w:val="00EC6BA5"/>
    <w:rsid w:val="00EC70F0"/>
    <w:rsid w:val="00EC7490"/>
    <w:rsid w:val="00EC75CA"/>
    <w:rsid w:val="00EC7639"/>
    <w:rsid w:val="00EC7991"/>
    <w:rsid w:val="00EC7DB6"/>
    <w:rsid w:val="00EC7E28"/>
    <w:rsid w:val="00ED097B"/>
    <w:rsid w:val="00ED0EE2"/>
    <w:rsid w:val="00ED0F8F"/>
    <w:rsid w:val="00ED1319"/>
    <w:rsid w:val="00ED162F"/>
    <w:rsid w:val="00ED1A5E"/>
    <w:rsid w:val="00ED1EF3"/>
    <w:rsid w:val="00ED22B1"/>
    <w:rsid w:val="00ED230E"/>
    <w:rsid w:val="00ED2426"/>
    <w:rsid w:val="00ED2E52"/>
    <w:rsid w:val="00ED3024"/>
    <w:rsid w:val="00ED3365"/>
    <w:rsid w:val="00ED348D"/>
    <w:rsid w:val="00ED36A8"/>
    <w:rsid w:val="00ED3808"/>
    <w:rsid w:val="00ED3E14"/>
    <w:rsid w:val="00ED439E"/>
    <w:rsid w:val="00ED4896"/>
    <w:rsid w:val="00ED54B6"/>
    <w:rsid w:val="00ED5C3C"/>
    <w:rsid w:val="00ED5FE4"/>
    <w:rsid w:val="00ED6059"/>
    <w:rsid w:val="00ED648D"/>
    <w:rsid w:val="00ED68E9"/>
    <w:rsid w:val="00ED6EE4"/>
    <w:rsid w:val="00ED6FA8"/>
    <w:rsid w:val="00ED71C5"/>
    <w:rsid w:val="00ED746A"/>
    <w:rsid w:val="00ED795E"/>
    <w:rsid w:val="00ED7962"/>
    <w:rsid w:val="00ED7B10"/>
    <w:rsid w:val="00ED7FF7"/>
    <w:rsid w:val="00EE010B"/>
    <w:rsid w:val="00EE1438"/>
    <w:rsid w:val="00EE16FA"/>
    <w:rsid w:val="00EE26EF"/>
    <w:rsid w:val="00EE2BEC"/>
    <w:rsid w:val="00EE37E8"/>
    <w:rsid w:val="00EE3A5E"/>
    <w:rsid w:val="00EE3C42"/>
    <w:rsid w:val="00EE3C97"/>
    <w:rsid w:val="00EE3D4F"/>
    <w:rsid w:val="00EE4CA7"/>
    <w:rsid w:val="00EE4CE1"/>
    <w:rsid w:val="00EE4CEF"/>
    <w:rsid w:val="00EE534D"/>
    <w:rsid w:val="00EE5560"/>
    <w:rsid w:val="00EE6F1E"/>
    <w:rsid w:val="00EE73B4"/>
    <w:rsid w:val="00EE7A10"/>
    <w:rsid w:val="00EE7ABA"/>
    <w:rsid w:val="00EE7D71"/>
    <w:rsid w:val="00EE7EFF"/>
    <w:rsid w:val="00EF00CA"/>
    <w:rsid w:val="00EF0107"/>
    <w:rsid w:val="00EF01CD"/>
    <w:rsid w:val="00EF0348"/>
    <w:rsid w:val="00EF0715"/>
    <w:rsid w:val="00EF1210"/>
    <w:rsid w:val="00EF1273"/>
    <w:rsid w:val="00EF1289"/>
    <w:rsid w:val="00EF192A"/>
    <w:rsid w:val="00EF1F9C"/>
    <w:rsid w:val="00EF21A6"/>
    <w:rsid w:val="00EF2ECD"/>
    <w:rsid w:val="00EF3DC6"/>
    <w:rsid w:val="00EF41F6"/>
    <w:rsid w:val="00EF4366"/>
    <w:rsid w:val="00EF4506"/>
    <w:rsid w:val="00EF4A0C"/>
    <w:rsid w:val="00EF4BBC"/>
    <w:rsid w:val="00EF4CD6"/>
    <w:rsid w:val="00EF4D38"/>
    <w:rsid w:val="00EF55A0"/>
    <w:rsid w:val="00EF5FDA"/>
    <w:rsid w:val="00EF63D1"/>
    <w:rsid w:val="00EF6513"/>
    <w:rsid w:val="00EF6683"/>
    <w:rsid w:val="00EF6935"/>
    <w:rsid w:val="00EF6EE9"/>
    <w:rsid w:val="00EF7002"/>
    <w:rsid w:val="00EF73E8"/>
    <w:rsid w:val="00EF75F1"/>
    <w:rsid w:val="00EF769B"/>
    <w:rsid w:val="00EF7760"/>
    <w:rsid w:val="00EF778C"/>
    <w:rsid w:val="00EF7ED7"/>
    <w:rsid w:val="00EF7F93"/>
    <w:rsid w:val="00F00001"/>
    <w:rsid w:val="00F0023E"/>
    <w:rsid w:val="00F00907"/>
    <w:rsid w:val="00F00CDF"/>
    <w:rsid w:val="00F01F0A"/>
    <w:rsid w:val="00F02032"/>
    <w:rsid w:val="00F0244E"/>
    <w:rsid w:val="00F027BA"/>
    <w:rsid w:val="00F02A04"/>
    <w:rsid w:val="00F03E79"/>
    <w:rsid w:val="00F03F09"/>
    <w:rsid w:val="00F04B84"/>
    <w:rsid w:val="00F04F23"/>
    <w:rsid w:val="00F05338"/>
    <w:rsid w:val="00F058F0"/>
    <w:rsid w:val="00F05B7A"/>
    <w:rsid w:val="00F05C0B"/>
    <w:rsid w:val="00F05FC5"/>
    <w:rsid w:val="00F0628D"/>
    <w:rsid w:val="00F06651"/>
    <w:rsid w:val="00F06814"/>
    <w:rsid w:val="00F07DE6"/>
    <w:rsid w:val="00F10127"/>
    <w:rsid w:val="00F103C9"/>
    <w:rsid w:val="00F1056C"/>
    <w:rsid w:val="00F1056D"/>
    <w:rsid w:val="00F107F1"/>
    <w:rsid w:val="00F10FC1"/>
    <w:rsid w:val="00F112FD"/>
    <w:rsid w:val="00F114CA"/>
    <w:rsid w:val="00F11959"/>
    <w:rsid w:val="00F121DF"/>
    <w:rsid w:val="00F12CC4"/>
    <w:rsid w:val="00F133A1"/>
    <w:rsid w:val="00F1349B"/>
    <w:rsid w:val="00F13D93"/>
    <w:rsid w:val="00F13ECD"/>
    <w:rsid w:val="00F141F7"/>
    <w:rsid w:val="00F145DD"/>
    <w:rsid w:val="00F14FA4"/>
    <w:rsid w:val="00F15182"/>
    <w:rsid w:val="00F151DA"/>
    <w:rsid w:val="00F15529"/>
    <w:rsid w:val="00F155CE"/>
    <w:rsid w:val="00F157BF"/>
    <w:rsid w:val="00F159DA"/>
    <w:rsid w:val="00F16BF2"/>
    <w:rsid w:val="00F16C5C"/>
    <w:rsid w:val="00F17221"/>
    <w:rsid w:val="00F1791F"/>
    <w:rsid w:val="00F17EAE"/>
    <w:rsid w:val="00F20002"/>
    <w:rsid w:val="00F2032D"/>
    <w:rsid w:val="00F20378"/>
    <w:rsid w:val="00F20394"/>
    <w:rsid w:val="00F2079F"/>
    <w:rsid w:val="00F209F8"/>
    <w:rsid w:val="00F21462"/>
    <w:rsid w:val="00F21564"/>
    <w:rsid w:val="00F218D4"/>
    <w:rsid w:val="00F219E6"/>
    <w:rsid w:val="00F21B8B"/>
    <w:rsid w:val="00F21EDD"/>
    <w:rsid w:val="00F2250A"/>
    <w:rsid w:val="00F2280F"/>
    <w:rsid w:val="00F22C1A"/>
    <w:rsid w:val="00F23E13"/>
    <w:rsid w:val="00F24788"/>
    <w:rsid w:val="00F24913"/>
    <w:rsid w:val="00F249C2"/>
    <w:rsid w:val="00F250FC"/>
    <w:rsid w:val="00F2525E"/>
    <w:rsid w:val="00F25C5E"/>
    <w:rsid w:val="00F25E3A"/>
    <w:rsid w:val="00F26123"/>
    <w:rsid w:val="00F2640F"/>
    <w:rsid w:val="00F27558"/>
    <w:rsid w:val="00F27C34"/>
    <w:rsid w:val="00F27E46"/>
    <w:rsid w:val="00F301C2"/>
    <w:rsid w:val="00F302E1"/>
    <w:rsid w:val="00F309D9"/>
    <w:rsid w:val="00F30BCE"/>
    <w:rsid w:val="00F3131D"/>
    <w:rsid w:val="00F31B22"/>
    <w:rsid w:val="00F31B49"/>
    <w:rsid w:val="00F31CEC"/>
    <w:rsid w:val="00F320D4"/>
    <w:rsid w:val="00F32F56"/>
    <w:rsid w:val="00F338A2"/>
    <w:rsid w:val="00F33D4F"/>
    <w:rsid w:val="00F33F7B"/>
    <w:rsid w:val="00F342AB"/>
    <w:rsid w:val="00F346C5"/>
    <w:rsid w:val="00F34958"/>
    <w:rsid w:val="00F34CD6"/>
    <w:rsid w:val="00F3510D"/>
    <w:rsid w:val="00F35873"/>
    <w:rsid w:val="00F35920"/>
    <w:rsid w:val="00F35972"/>
    <w:rsid w:val="00F35F17"/>
    <w:rsid w:val="00F3631A"/>
    <w:rsid w:val="00F366A5"/>
    <w:rsid w:val="00F36C5F"/>
    <w:rsid w:val="00F37259"/>
    <w:rsid w:val="00F372A4"/>
    <w:rsid w:val="00F37E5B"/>
    <w:rsid w:val="00F402DE"/>
    <w:rsid w:val="00F405A4"/>
    <w:rsid w:val="00F409E7"/>
    <w:rsid w:val="00F40A69"/>
    <w:rsid w:val="00F416B8"/>
    <w:rsid w:val="00F41CE0"/>
    <w:rsid w:val="00F41F05"/>
    <w:rsid w:val="00F41F93"/>
    <w:rsid w:val="00F42287"/>
    <w:rsid w:val="00F42619"/>
    <w:rsid w:val="00F42770"/>
    <w:rsid w:val="00F42E6E"/>
    <w:rsid w:val="00F4337E"/>
    <w:rsid w:val="00F433BD"/>
    <w:rsid w:val="00F4384F"/>
    <w:rsid w:val="00F43D8B"/>
    <w:rsid w:val="00F43DBC"/>
    <w:rsid w:val="00F44006"/>
    <w:rsid w:val="00F4437B"/>
    <w:rsid w:val="00F443EA"/>
    <w:rsid w:val="00F4492D"/>
    <w:rsid w:val="00F44EC5"/>
    <w:rsid w:val="00F454A3"/>
    <w:rsid w:val="00F4576A"/>
    <w:rsid w:val="00F45A2D"/>
    <w:rsid w:val="00F45E53"/>
    <w:rsid w:val="00F46017"/>
    <w:rsid w:val="00F46DBB"/>
    <w:rsid w:val="00F47498"/>
    <w:rsid w:val="00F47929"/>
    <w:rsid w:val="00F50A98"/>
    <w:rsid w:val="00F512B2"/>
    <w:rsid w:val="00F51494"/>
    <w:rsid w:val="00F51CA3"/>
    <w:rsid w:val="00F51D43"/>
    <w:rsid w:val="00F52266"/>
    <w:rsid w:val="00F52726"/>
    <w:rsid w:val="00F5283D"/>
    <w:rsid w:val="00F52ABA"/>
    <w:rsid w:val="00F52BC7"/>
    <w:rsid w:val="00F53BF4"/>
    <w:rsid w:val="00F53FA9"/>
    <w:rsid w:val="00F54266"/>
    <w:rsid w:val="00F54ABE"/>
    <w:rsid w:val="00F54D00"/>
    <w:rsid w:val="00F55043"/>
    <w:rsid w:val="00F5504D"/>
    <w:rsid w:val="00F55A0C"/>
    <w:rsid w:val="00F564ED"/>
    <w:rsid w:val="00F56D9B"/>
    <w:rsid w:val="00F56DCF"/>
    <w:rsid w:val="00F56FA9"/>
    <w:rsid w:val="00F57034"/>
    <w:rsid w:val="00F57042"/>
    <w:rsid w:val="00F5785A"/>
    <w:rsid w:val="00F57994"/>
    <w:rsid w:val="00F57F5F"/>
    <w:rsid w:val="00F607D3"/>
    <w:rsid w:val="00F608A4"/>
    <w:rsid w:val="00F60BE9"/>
    <w:rsid w:val="00F60DA9"/>
    <w:rsid w:val="00F6113E"/>
    <w:rsid w:val="00F6187E"/>
    <w:rsid w:val="00F61CFF"/>
    <w:rsid w:val="00F61FD8"/>
    <w:rsid w:val="00F620DE"/>
    <w:rsid w:val="00F623E0"/>
    <w:rsid w:val="00F62744"/>
    <w:rsid w:val="00F62DBF"/>
    <w:rsid w:val="00F632E7"/>
    <w:rsid w:val="00F6340D"/>
    <w:rsid w:val="00F6364F"/>
    <w:rsid w:val="00F63B68"/>
    <w:rsid w:val="00F63BC8"/>
    <w:rsid w:val="00F641FC"/>
    <w:rsid w:val="00F6442B"/>
    <w:rsid w:val="00F64480"/>
    <w:rsid w:val="00F647F7"/>
    <w:rsid w:val="00F656FA"/>
    <w:rsid w:val="00F6583C"/>
    <w:rsid w:val="00F6589A"/>
    <w:rsid w:val="00F659F0"/>
    <w:rsid w:val="00F65D9B"/>
    <w:rsid w:val="00F6617C"/>
    <w:rsid w:val="00F66244"/>
    <w:rsid w:val="00F663CE"/>
    <w:rsid w:val="00F66832"/>
    <w:rsid w:val="00F6702D"/>
    <w:rsid w:val="00F674E0"/>
    <w:rsid w:val="00F6783E"/>
    <w:rsid w:val="00F70B87"/>
    <w:rsid w:val="00F70DBE"/>
    <w:rsid w:val="00F71124"/>
    <w:rsid w:val="00F71481"/>
    <w:rsid w:val="00F71888"/>
    <w:rsid w:val="00F719CD"/>
    <w:rsid w:val="00F71BB8"/>
    <w:rsid w:val="00F71CEF"/>
    <w:rsid w:val="00F71ED8"/>
    <w:rsid w:val="00F722E6"/>
    <w:rsid w:val="00F724AB"/>
    <w:rsid w:val="00F72584"/>
    <w:rsid w:val="00F7290D"/>
    <w:rsid w:val="00F72B24"/>
    <w:rsid w:val="00F72EED"/>
    <w:rsid w:val="00F7302F"/>
    <w:rsid w:val="00F732EC"/>
    <w:rsid w:val="00F7390A"/>
    <w:rsid w:val="00F73D08"/>
    <w:rsid w:val="00F74ED0"/>
    <w:rsid w:val="00F751D6"/>
    <w:rsid w:val="00F75537"/>
    <w:rsid w:val="00F7586B"/>
    <w:rsid w:val="00F75881"/>
    <w:rsid w:val="00F75E8E"/>
    <w:rsid w:val="00F75F2F"/>
    <w:rsid w:val="00F76445"/>
    <w:rsid w:val="00F7657C"/>
    <w:rsid w:val="00F76A80"/>
    <w:rsid w:val="00F76ECC"/>
    <w:rsid w:val="00F774C7"/>
    <w:rsid w:val="00F775D9"/>
    <w:rsid w:val="00F777EF"/>
    <w:rsid w:val="00F77A92"/>
    <w:rsid w:val="00F77F25"/>
    <w:rsid w:val="00F8024B"/>
    <w:rsid w:val="00F80399"/>
    <w:rsid w:val="00F80905"/>
    <w:rsid w:val="00F80BC9"/>
    <w:rsid w:val="00F812C8"/>
    <w:rsid w:val="00F8132D"/>
    <w:rsid w:val="00F814A0"/>
    <w:rsid w:val="00F81651"/>
    <w:rsid w:val="00F81680"/>
    <w:rsid w:val="00F8185D"/>
    <w:rsid w:val="00F81880"/>
    <w:rsid w:val="00F818AE"/>
    <w:rsid w:val="00F81B40"/>
    <w:rsid w:val="00F81D33"/>
    <w:rsid w:val="00F81E1F"/>
    <w:rsid w:val="00F820C4"/>
    <w:rsid w:val="00F82467"/>
    <w:rsid w:val="00F828DC"/>
    <w:rsid w:val="00F82A7E"/>
    <w:rsid w:val="00F82AAA"/>
    <w:rsid w:val="00F832A6"/>
    <w:rsid w:val="00F83829"/>
    <w:rsid w:val="00F8392E"/>
    <w:rsid w:val="00F839A6"/>
    <w:rsid w:val="00F83A09"/>
    <w:rsid w:val="00F83D85"/>
    <w:rsid w:val="00F83EBD"/>
    <w:rsid w:val="00F84069"/>
    <w:rsid w:val="00F843D7"/>
    <w:rsid w:val="00F84763"/>
    <w:rsid w:val="00F847BA"/>
    <w:rsid w:val="00F84CBB"/>
    <w:rsid w:val="00F84FE9"/>
    <w:rsid w:val="00F85475"/>
    <w:rsid w:val="00F85536"/>
    <w:rsid w:val="00F85694"/>
    <w:rsid w:val="00F85768"/>
    <w:rsid w:val="00F858D4"/>
    <w:rsid w:val="00F85D48"/>
    <w:rsid w:val="00F85E0C"/>
    <w:rsid w:val="00F85FB0"/>
    <w:rsid w:val="00F8657A"/>
    <w:rsid w:val="00F86771"/>
    <w:rsid w:val="00F8679A"/>
    <w:rsid w:val="00F869AF"/>
    <w:rsid w:val="00F86A23"/>
    <w:rsid w:val="00F86A89"/>
    <w:rsid w:val="00F86B36"/>
    <w:rsid w:val="00F87064"/>
    <w:rsid w:val="00F87117"/>
    <w:rsid w:val="00F872BA"/>
    <w:rsid w:val="00F8736C"/>
    <w:rsid w:val="00F87A1D"/>
    <w:rsid w:val="00F90009"/>
    <w:rsid w:val="00F9030E"/>
    <w:rsid w:val="00F903F8"/>
    <w:rsid w:val="00F904D3"/>
    <w:rsid w:val="00F90ADB"/>
    <w:rsid w:val="00F90E78"/>
    <w:rsid w:val="00F91209"/>
    <w:rsid w:val="00F91E1A"/>
    <w:rsid w:val="00F91F9C"/>
    <w:rsid w:val="00F9221F"/>
    <w:rsid w:val="00F92922"/>
    <w:rsid w:val="00F92C6C"/>
    <w:rsid w:val="00F92FB3"/>
    <w:rsid w:val="00F931C7"/>
    <w:rsid w:val="00F93559"/>
    <w:rsid w:val="00F93D72"/>
    <w:rsid w:val="00F93E65"/>
    <w:rsid w:val="00F93F82"/>
    <w:rsid w:val="00F94070"/>
    <w:rsid w:val="00F94442"/>
    <w:rsid w:val="00F946C4"/>
    <w:rsid w:val="00F947AC"/>
    <w:rsid w:val="00F94B39"/>
    <w:rsid w:val="00F950B5"/>
    <w:rsid w:val="00F9513F"/>
    <w:rsid w:val="00F964A1"/>
    <w:rsid w:val="00F97908"/>
    <w:rsid w:val="00F97B43"/>
    <w:rsid w:val="00F97C64"/>
    <w:rsid w:val="00F97FB6"/>
    <w:rsid w:val="00FA07F8"/>
    <w:rsid w:val="00FA105C"/>
    <w:rsid w:val="00FA127D"/>
    <w:rsid w:val="00FA1475"/>
    <w:rsid w:val="00FA148A"/>
    <w:rsid w:val="00FA1ECE"/>
    <w:rsid w:val="00FA1EE0"/>
    <w:rsid w:val="00FA27C8"/>
    <w:rsid w:val="00FA2A39"/>
    <w:rsid w:val="00FA3011"/>
    <w:rsid w:val="00FA3143"/>
    <w:rsid w:val="00FA3987"/>
    <w:rsid w:val="00FA3B76"/>
    <w:rsid w:val="00FA3EE5"/>
    <w:rsid w:val="00FA40C0"/>
    <w:rsid w:val="00FA4918"/>
    <w:rsid w:val="00FA4D66"/>
    <w:rsid w:val="00FA4E0E"/>
    <w:rsid w:val="00FA53BB"/>
    <w:rsid w:val="00FA5A4E"/>
    <w:rsid w:val="00FA5B03"/>
    <w:rsid w:val="00FA5C15"/>
    <w:rsid w:val="00FA5C49"/>
    <w:rsid w:val="00FA6525"/>
    <w:rsid w:val="00FA7087"/>
    <w:rsid w:val="00FA771A"/>
    <w:rsid w:val="00FA7904"/>
    <w:rsid w:val="00FB0082"/>
    <w:rsid w:val="00FB0088"/>
    <w:rsid w:val="00FB01A6"/>
    <w:rsid w:val="00FB0243"/>
    <w:rsid w:val="00FB06B1"/>
    <w:rsid w:val="00FB0961"/>
    <w:rsid w:val="00FB0A62"/>
    <w:rsid w:val="00FB1527"/>
    <w:rsid w:val="00FB2537"/>
    <w:rsid w:val="00FB2701"/>
    <w:rsid w:val="00FB2BE9"/>
    <w:rsid w:val="00FB2EDE"/>
    <w:rsid w:val="00FB2F9E"/>
    <w:rsid w:val="00FB320A"/>
    <w:rsid w:val="00FB33DC"/>
    <w:rsid w:val="00FB3CFF"/>
    <w:rsid w:val="00FB4338"/>
    <w:rsid w:val="00FB44F1"/>
    <w:rsid w:val="00FB45C5"/>
    <w:rsid w:val="00FB4748"/>
    <w:rsid w:val="00FB477E"/>
    <w:rsid w:val="00FB4C3F"/>
    <w:rsid w:val="00FB4C9C"/>
    <w:rsid w:val="00FB4D31"/>
    <w:rsid w:val="00FB5291"/>
    <w:rsid w:val="00FB5A88"/>
    <w:rsid w:val="00FB5CE8"/>
    <w:rsid w:val="00FB6165"/>
    <w:rsid w:val="00FB627D"/>
    <w:rsid w:val="00FB6A5B"/>
    <w:rsid w:val="00FB706E"/>
    <w:rsid w:val="00FB77C7"/>
    <w:rsid w:val="00FC0150"/>
    <w:rsid w:val="00FC03AB"/>
    <w:rsid w:val="00FC045E"/>
    <w:rsid w:val="00FC0A1F"/>
    <w:rsid w:val="00FC1100"/>
    <w:rsid w:val="00FC1B13"/>
    <w:rsid w:val="00FC1D7B"/>
    <w:rsid w:val="00FC1FBB"/>
    <w:rsid w:val="00FC2932"/>
    <w:rsid w:val="00FC29EA"/>
    <w:rsid w:val="00FC2B97"/>
    <w:rsid w:val="00FC38CA"/>
    <w:rsid w:val="00FC3CE7"/>
    <w:rsid w:val="00FC3D97"/>
    <w:rsid w:val="00FC3DC5"/>
    <w:rsid w:val="00FC43B2"/>
    <w:rsid w:val="00FC4454"/>
    <w:rsid w:val="00FC4729"/>
    <w:rsid w:val="00FC4A8C"/>
    <w:rsid w:val="00FC4A99"/>
    <w:rsid w:val="00FC4B80"/>
    <w:rsid w:val="00FC53DB"/>
    <w:rsid w:val="00FC5FC2"/>
    <w:rsid w:val="00FC6177"/>
    <w:rsid w:val="00FC63D1"/>
    <w:rsid w:val="00FC6C75"/>
    <w:rsid w:val="00FC6F1B"/>
    <w:rsid w:val="00FC7528"/>
    <w:rsid w:val="00FC7D7A"/>
    <w:rsid w:val="00FD0572"/>
    <w:rsid w:val="00FD0DE2"/>
    <w:rsid w:val="00FD0E3D"/>
    <w:rsid w:val="00FD1083"/>
    <w:rsid w:val="00FD1751"/>
    <w:rsid w:val="00FD17AC"/>
    <w:rsid w:val="00FD1A97"/>
    <w:rsid w:val="00FD1C53"/>
    <w:rsid w:val="00FD2454"/>
    <w:rsid w:val="00FD2D7B"/>
    <w:rsid w:val="00FD2E65"/>
    <w:rsid w:val="00FD2E88"/>
    <w:rsid w:val="00FD319C"/>
    <w:rsid w:val="00FD322D"/>
    <w:rsid w:val="00FD37F6"/>
    <w:rsid w:val="00FD38EA"/>
    <w:rsid w:val="00FD40D0"/>
    <w:rsid w:val="00FD429B"/>
    <w:rsid w:val="00FD4318"/>
    <w:rsid w:val="00FD43A8"/>
    <w:rsid w:val="00FD4589"/>
    <w:rsid w:val="00FD4685"/>
    <w:rsid w:val="00FD473E"/>
    <w:rsid w:val="00FD47CE"/>
    <w:rsid w:val="00FD4F81"/>
    <w:rsid w:val="00FD5124"/>
    <w:rsid w:val="00FD5A39"/>
    <w:rsid w:val="00FD5F5D"/>
    <w:rsid w:val="00FD7654"/>
    <w:rsid w:val="00FD78A5"/>
    <w:rsid w:val="00FD7DF9"/>
    <w:rsid w:val="00FD7E51"/>
    <w:rsid w:val="00FE060A"/>
    <w:rsid w:val="00FE0A08"/>
    <w:rsid w:val="00FE0B51"/>
    <w:rsid w:val="00FE0B78"/>
    <w:rsid w:val="00FE0C10"/>
    <w:rsid w:val="00FE0C21"/>
    <w:rsid w:val="00FE0EA8"/>
    <w:rsid w:val="00FE0ED4"/>
    <w:rsid w:val="00FE0FC3"/>
    <w:rsid w:val="00FE1642"/>
    <w:rsid w:val="00FE1C46"/>
    <w:rsid w:val="00FE1DAA"/>
    <w:rsid w:val="00FE1EAB"/>
    <w:rsid w:val="00FE2161"/>
    <w:rsid w:val="00FE2313"/>
    <w:rsid w:val="00FE23D8"/>
    <w:rsid w:val="00FE2779"/>
    <w:rsid w:val="00FE27D1"/>
    <w:rsid w:val="00FE3144"/>
    <w:rsid w:val="00FE320F"/>
    <w:rsid w:val="00FE3307"/>
    <w:rsid w:val="00FE3465"/>
    <w:rsid w:val="00FE346A"/>
    <w:rsid w:val="00FE3851"/>
    <w:rsid w:val="00FE55A2"/>
    <w:rsid w:val="00FE5D7D"/>
    <w:rsid w:val="00FE6509"/>
    <w:rsid w:val="00FE66CE"/>
    <w:rsid w:val="00FE67CF"/>
    <w:rsid w:val="00FE6B7C"/>
    <w:rsid w:val="00FE6D20"/>
    <w:rsid w:val="00FE6DFE"/>
    <w:rsid w:val="00FE6FB9"/>
    <w:rsid w:val="00FE70A5"/>
    <w:rsid w:val="00FE7549"/>
    <w:rsid w:val="00FE7797"/>
    <w:rsid w:val="00FE7BCC"/>
    <w:rsid w:val="00FE7EB0"/>
    <w:rsid w:val="00FF0779"/>
    <w:rsid w:val="00FF078E"/>
    <w:rsid w:val="00FF0CE5"/>
    <w:rsid w:val="00FF126D"/>
    <w:rsid w:val="00FF1899"/>
    <w:rsid w:val="00FF1B0A"/>
    <w:rsid w:val="00FF1B2E"/>
    <w:rsid w:val="00FF2310"/>
    <w:rsid w:val="00FF2E73"/>
    <w:rsid w:val="00FF38D0"/>
    <w:rsid w:val="00FF3E26"/>
    <w:rsid w:val="00FF3F03"/>
    <w:rsid w:val="00FF432F"/>
    <w:rsid w:val="00FF4AE2"/>
    <w:rsid w:val="00FF4BD7"/>
    <w:rsid w:val="00FF4D89"/>
    <w:rsid w:val="00FF4DE2"/>
    <w:rsid w:val="00FF4EB1"/>
    <w:rsid w:val="00FF50A8"/>
    <w:rsid w:val="00FF51D9"/>
    <w:rsid w:val="00FF571E"/>
    <w:rsid w:val="00FF57C5"/>
    <w:rsid w:val="00FF6667"/>
    <w:rsid w:val="00FF6A0F"/>
    <w:rsid w:val="00FF6B51"/>
    <w:rsid w:val="00FF6BD1"/>
    <w:rsid w:val="00FF6CC0"/>
    <w:rsid w:val="00FF6E3F"/>
    <w:rsid w:val="00FF6EE3"/>
    <w:rsid w:val="00FF7039"/>
    <w:rsid w:val="00FF7362"/>
    <w:rsid w:val="00FF74CB"/>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100EE090-7B43-4088-B599-A395C5F86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0ABB"/>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0"/>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0"/>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87F3D"/>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187F3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187F3D"/>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rsid w:val="00187F3D"/>
    <w:pPr>
      <w:autoSpaceDE/>
      <w:autoSpaceDN/>
      <w:adjustRightInd/>
      <w:spacing w:after="180"/>
      <w:ind w:left="568" w:hanging="284"/>
      <w:jc w:val="left"/>
    </w:pPr>
    <w:rPr>
      <w:sz w:val="20"/>
      <w:szCs w:val="20"/>
      <w:lang w:val="en-GB"/>
    </w:rPr>
  </w:style>
  <w:style w:type="paragraph" w:styleId="a9">
    <w:name w:val="List"/>
    <w:basedOn w:val="a"/>
    <w:rsid w:val="00187F3D"/>
    <w:pPr>
      <w:ind w:left="360" w:hanging="360"/>
    </w:pPr>
  </w:style>
  <w:style w:type="paragraph" w:styleId="21">
    <w:name w:val="Body Text 2"/>
    <w:basedOn w:val="a"/>
    <w:rsid w:val="00187F3D"/>
    <w:pPr>
      <w:spacing w:after="0"/>
      <w:jc w:val="left"/>
    </w:pPr>
    <w:rPr>
      <w:szCs w:val="20"/>
    </w:rPr>
  </w:style>
  <w:style w:type="paragraph" w:styleId="aa">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187F3D"/>
    <w:rPr>
      <w:color w:val="800080"/>
      <w:u w:val="single"/>
    </w:rPr>
  </w:style>
  <w:style w:type="paragraph" w:styleId="ac">
    <w:name w:val="footnote text"/>
    <w:basedOn w:val="a"/>
    <w:semiHidden/>
    <w:rsid w:val="00187F3D"/>
    <w:rPr>
      <w:sz w:val="20"/>
      <w:szCs w:val="20"/>
    </w:rPr>
  </w:style>
  <w:style w:type="character" w:styleId="ad">
    <w:name w:val="footnote reference"/>
    <w:basedOn w:val="a0"/>
    <w:semiHidden/>
    <w:rsid w:val="00187F3D"/>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
    <w:basedOn w:val="a"/>
    <w:link w:val="11"/>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C50410"/>
    <w:rPr>
      <w:rFonts w:eastAsiaTheme="minorEastAsia"/>
      <w:lang w:val="en-GB"/>
    </w:rPr>
  </w:style>
  <w:style w:type="paragraph" w:styleId="af4">
    <w:name w:val="annotation text"/>
    <w:basedOn w:val="a"/>
    <w:link w:val="af5"/>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af5">
    <w:name w:val="批注文字 字符"/>
    <w:basedOn w:val="a0"/>
    <w:link w:val="af4"/>
    <w:qFormat/>
    <w:rsid w:val="00B47425"/>
    <w:rPr>
      <w:rFonts w:asciiTheme="minorHAnsi" w:eastAsiaTheme="minorEastAsia" w:hAnsiTheme="minorHAnsi" w:cstheme="minorBidi"/>
      <w:kern w:val="2"/>
      <w:sz w:val="21"/>
      <w:szCs w:val="22"/>
      <w:lang w:eastAsia="zh-CN"/>
    </w:rPr>
  </w:style>
  <w:style w:type="character" w:styleId="af6">
    <w:name w:val="annotation reference"/>
    <w:qFormat/>
    <w:rsid w:val="00B47425"/>
    <w:rPr>
      <w:sz w:val="21"/>
      <w:szCs w:val="21"/>
    </w:rPr>
  </w:style>
  <w:style w:type="paragraph" w:styleId="af7">
    <w:name w:val="annotation subject"/>
    <w:basedOn w:val="af4"/>
    <w:next w:val="af4"/>
    <w:link w:val="af8"/>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af8">
    <w:name w:val="批注主题 字符"/>
    <w:basedOn w:val="af5"/>
    <w:link w:val="af7"/>
    <w:semiHidden/>
    <w:rsid w:val="00D0088D"/>
    <w:rPr>
      <w:rFonts w:asciiTheme="minorHAnsi" w:eastAsiaTheme="minorEastAsia" w:hAnsiTheme="minorHAnsi" w:cstheme="minorBidi"/>
      <w:b/>
      <w:bCs/>
      <w:kern w:val="2"/>
      <w:sz w:val="21"/>
      <w:szCs w:val="22"/>
      <w:lang w:eastAsia="zh-CN"/>
    </w:rPr>
  </w:style>
  <w:style w:type="paragraph" w:styleId="af9">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0">
    <w:name w:val="标题 7 字符"/>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a">
    <w:name w:val="Document Map"/>
    <w:basedOn w:val="a"/>
    <w:link w:val="afb"/>
    <w:semiHidden/>
    <w:unhideWhenUsed/>
    <w:rsid w:val="00240282"/>
    <w:rPr>
      <w:rFonts w:ascii="宋体"/>
      <w:sz w:val="18"/>
      <w:szCs w:val="18"/>
    </w:rPr>
  </w:style>
  <w:style w:type="character" w:customStyle="1" w:styleId="afb">
    <w:name w:val="文档结构图 字符"/>
    <w:basedOn w:val="a0"/>
    <w:link w:val="afa"/>
    <w:semiHidden/>
    <w:rsid w:val="00240282"/>
    <w:rPr>
      <w:rFonts w:ascii="宋体"/>
      <w:sz w:val="18"/>
      <w:szCs w:val="18"/>
    </w:rPr>
  </w:style>
  <w:style w:type="table" w:customStyle="1" w:styleId="110">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c">
    <w:name w:val="Normal (Web)"/>
    <w:basedOn w:val="a"/>
    <w:uiPriority w:val="99"/>
    <w:unhideWhenUsed/>
    <w:qFormat/>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AL">
    <w:name w:val="TAL"/>
    <w:basedOn w:val="a"/>
    <w:link w:val="TALChar"/>
    <w:qFormat/>
    <w:rsid w:val="005813E7"/>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5813E7"/>
    <w:rPr>
      <w:rFonts w:ascii="Arial" w:eastAsia="Malgun Gothic" w:hAnsi="Arial"/>
      <w:sz w:val="18"/>
      <w:lang w:val="en-GB"/>
    </w:rPr>
  </w:style>
  <w:style w:type="character" w:styleId="afd">
    <w:name w:val="Placeholder Text"/>
    <w:basedOn w:val="a0"/>
    <w:uiPriority w:val="99"/>
    <w:semiHidden/>
    <w:rsid w:val="00167EB8"/>
    <w:rPr>
      <w:color w:val="808080"/>
    </w:rPr>
  </w:style>
  <w:style w:type="character" w:styleId="afe">
    <w:name w:val="Strong"/>
    <w:uiPriority w:val="22"/>
    <w:qFormat/>
    <w:rsid w:val="00E723D5"/>
    <w:rPr>
      <w:b/>
      <w:bCs/>
    </w:rPr>
  </w:style>
  <w:style w:type="character" w:customStyle="1" w:styleId="apple-converted-space">
    <w:name w:val="apple-converted-space"/>
    <w:basedOn w:val="a0"/>
    <w:qFormat/>
    <w:rsid w:val="00E723D5"/>
  </w:style>
  <w:style w:type="paragraph" w:customStyle="1" w:styleId="a00">
    <w:name w:val="a0"/>
    <w:basedOn w:val="a"/>
    <w:uiPriority w:val="99"/>
    <w:rsid w:val="00565F74"/>
    <w:pPr>
      <w:autoSpaceDE/>
      <w:autoSpaceDN/>
      <w:adjustRightInd/>
      <w:snapToGrid/>
      <w:spacing w:before="100" w:beforeAutospacing="1" w:after="100" w:afterAutospacing="1"/>
      <w:jc w:val="left"/>
    </w:pPr>
    <w:rPr>
      <w:rFonts w:ascii="Calibri" w:eastAsia="Calibri" w:hAnsi="Calibri" w:cs="Calibri"/>
    </w:rPr>
  </w:style>
  <w:style w:type="character" w:customStyle="1" w:styleId="THChar">
    <w:name w:val="TH Char"/>
    <w:link w:val="TH"/>
    <w:qFormat/>
    <w:locked/>
    <w:rsid w:val="00DE57EB"/>
    <w:rPr>
      <w:rFonts w:ascii="Arial" w:eastAsia="Times New Roman" w:hAnsi="Arial" w:cs="Arial"/>
      <w:b/>
      <w:lang w:val="en-GB" w:eastAsia="ja-JP"/>
    </w:rPr>
  </w:style>
  <w:style w:type="paragraph" w:customStyle="1" w:styleId="TH">
    <w:name w:val="TH"/>
    <w:basedOn w:val="a"/>
    <w:link w:val="THChar"/>
    <w:rsid w:val="00DE57EB"/>
    <w:pPr>
      <w:keepNext/>
      <w:keepLines/>
      <w:overflowPunct w:val="0"/>
      <w:snapToGrid/>
      <w:spacing w:before="60" w:after="180"/>
      <w:jc w:val="center"/>
    </w:pPr>
    <w:rPr>
      <w:rFonts w:ascii="Arial" w:eastAsia="Times New Roman" w:hAnsi="Arial" w:cs="Arial"/>
      <w:b/>
      <w:sz w:val="20"/>
      <w:szCs w:val="20"/>
      <w:lang w:val="en-GB" w:eastAsia="ja-JP"/>
    </w:rPr>
  </w:style>
  <w:style w:type="character" w:customStyle="1" w:styleId="PLChar">
    <w:name w:val="PL Char"/>
    <w:link w:val="PL"/>
    <w:qFormat/>
    <w:locked/>
    <w:rsid w:val="00DE57E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E5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B1Zchn">
    <w:name w:val="B1 Zchn"/>
    <w:link w:val="B1"/>
    <w:qFormat/>
    <w:locked/>
    <w:rsid w:val="00D82E59"/>
    <w:rPr>
      <w:lang w:val="x-none"/>
    </w:rPr>
  </w:style>
  <w:style w:type="paragraph" w:customStyle="1" w:styleId="B1">
    <w:name w:val="B1"/>
    <w:basedOn w:val="a"/>
    <w:link w:val="B1Zchn"/>
    <w:qFormat/>
    <w:rsid w:val="00D82E59"/>
    <w:pPr>
      <w:autoSpaceDE/>
      <w:autoSpaceDN/>
      <w:adjustRightInd/>
      <w:snapToGrid/>
      <w:spacing w:after="180"/>
      <w:ind w:left="568" w:hanging="284"/>
      <w:jc w:val="left"/>
    </w:pPr>
    <w:rPr>
      <w:sz w:val="20"/>
      <w:szCs w:val="20"/>
      <w:lang w:val="x-none"/>
    </w:rPr>
  </w:style>
  <w:style w:type="character" w:customStyle="1" w:styleId="TALCar">
    <w:name w:val="TAL Car"/>
    <w:qFormat/>
    <w:locked/>
    <w:rsid w:val="008B7703"/>
    <w:rPr>
      <w:rFonts w:ascii="Arial" w:eastAsia="Times New Roman" w:hAnsi="Arial" w:cs="Arial"/>
      <w:sz w:val="18"/>
      <w:lang w:val="en-GB" w:eastAsia="ja-JP"/>
    </w:rPr>
  </w:style>
  <w:style w:type="character" w:customStyle="1" w:styleId="20">
    <w:name w:val="标题 2 字符"/>
    <w:basedOn w:val="a0"/>
    <w:link w:val="2"/>
    <w:rsid w:val="00C4025A"/>
    <w:rPr>
      <w:b/>
      <w:bCs/>
      <w:sz w:val="24"/>
      <w:szCs w:val="22"/>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E57FE1"/>
    <w:rPr>
      <w:rFonts w:ascii="Times" w:hAnsi="Times"/>
      <w:szCs w:val="24"/>
      <w:lang w:val="en-GB"/>
    </w:rPr>
  </w:style>
  <w:style w:type="paragraph" w:customStyle="1" w:styleId="B2">
    <w:name w:val="B2"/>
    <w:basedOn w:val="a"/>
    <w:link w:val="B2Char"/>
    <w:qFormat/>
    <w:rsid w:val="00F27558"/>
    <w:pPr>
      <w:autoSpaceDE/>
      <w:autoSpaceDN/>
      <w:adjustRightInd/>
      <w:snapToGrid/>
      <w:spacing w:after="180"/>
      <w:ind w:left="851" w:hanging="284"/>
      <w:jc w:val="left"/>
    </w:pPr>
    <w:rPr>
      <w:sz w:val="20"/>
      <w:szCs w:val="20"/>
      <w:lang w:val="en-GB"/>
    </w:rPr>
  </w:style>
  <w:style w:type="paragraph" w:customStyle="1" w:styleId="B3">
    <w:name w:val="B3"/>
    <w:basedOn w:val="a"/>
    <w:link w:val="B3Char"/>
    <w:qFormat/>
    <w:rsid w:val="00F27558"/>
    <w:pPr>
      <w:autoSpaceDE/>
      <w:autoSpaceDN/>
      <w:adjustRightInd/>
      <w:snapToGrid/>
      <w:spacing w:after="180"/>
      <w:ind w:left="1135" w:hanging="284"/>
      <w:jc w:val="left"/>
    </w:pPr>
    <w:rPr>
      <w:sz w:val="20"/>
      <w:szCs w:val="20"/>
      <w:lang w:val="en-GB"/>
    </w:rPr>
  </w:style>
  <w:style w:type="character" w:customStyle="1" w:styleId="B1Char1">
    <w:name w:val="B1 Char1"/>
    <w:qFormat/>
    <w:rsid w:val="00F27558"/>
    <w:rPr>
      <w:lang w:val="en-GB" w:eastAsia="en-US"/>
    </w:rPr>
  </w:style>
  <w:style w:type="character" w:customStyle="1" w:styleId="B2Char">
    <w:name w:val="B2 Char"/>
    <w:link w:val="B2"/>
    <w:qFormat/>
    <w:locked/>
    <w:rsid w:val="00F27558"/>
    <w:rPr>
      <w:lang w:val="en-GB"/>
    </w:rPr>
  </w:style>
  <w:style w:type="character" w:customStyle="1" w:styleId="B3Char">
    <w:name w:val="B3 Char"/>
    <w:basedOn w:val="a0"/>
    <w:link w:val="B3"/>
    <w:rsid w:val="00F27558"/>
    <w:rPr>
      <w:lang w:val="en-GB"/>
    </w:rPr>
  </w:style>
  <w:style w:type="paragraph" w:customStyle="1" w:styleId="textintend2">
    <w:name w:val="text intend 2"/>
    <w:basedOn w:val="a"/>
    <w:rsid w:val="0098721F"/>
    <w:pPr>
      <w:numPr>
        <w:numId w:val="11"/>
      </w:numPr>
      <w:overflowPunct w:val="0"/>
      <w:snapToGrid/>
      <w:textAlignment w:val="baseline"/>
    </w:pPr>
    <w:rPr>
      <w:rFonts w:eastAsia="MS Mincho"/>
      <w:sz w:val="24"/>
      <w:szCs w:val="20"/>
      <w:lang w:eastAsia="en-GB"/>
    </w:rPr>
  </w:style>
  <w:style w:type="character" w:customStyle="1" w:styleId="ListParagraphChar1">
    <w:name w:val="List Paragraph Char1"/>
    <w:uiPriority w:val="99"/>
    <w:qFormat/>
    <w:locked/>
    <w:rsid w:val="00A07C83"/>
    <w:rPr>
      <w:rFonts w:eastAsia="Yu Gothic Medium"/>
      <w:szCs w:val="22"/>
      <w:lang w:eastAsia="en-US"/>
    </w:rPr>
  </w:style>
  <w:style w:type="character" w:customStyle="1" w:styleId="basic-word">
    <w:name w:val="basic-word"/>
    <w:basedOn w:val="a0"/>
    <w:rsid w:val="00683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074">
      <w:bodyDiv w:val="1"/>
      <w:marLeft w:val="0"/>
      <w:marRight w:val="0"/>
      <w:marTop w:val="0"/>
      <w:marBottom w:val="0"/>
      <w:divBdr>
        <w:top w:val="none" w:sz="0" w:space="0" w:color="auto"/>
        <w:left w:val="none" w:sz="0" w:space="0" w:color="auto"/>
        <w:bottom w:val="none" w:sz="0" w:space="0" w:color="auto"/>
        <w:right w:val="none" w:sz="0" w:space="0" w:color="auto"/>
      </w:divBdr>
    </w:div>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9085817">
      <w:bodyDiv w:val="1"/>
      <w:marLeft w:val="0"/>
      <w:marRight w:val="0"/>
      <w:marTop w:val="0"/>
      <w:marBottom w:val="0"/>
      <w:divBdr>
        <w:top w:val="none" w:sz="0" w:space="0" w:color="auto"/>
        <w:left w:val="none" w:sz="0" w:space="0" w:color="auto"/>
        <w:bottom w:val="none" w:sz="0" w:space="0" w:color="auto"/>
        <w:right w:val="none" w:sz="0" w:space="0" w:color="auto"/>
      </w:divBdr>
    </w:div>
    <w:div w:id="28799783">
      <w:bodyDiv w:val="1"/>
      <w:marLeft w:val="0"/>
      <w:marRight w:val="0"/>
      <w:marTop w:val="0"/>
      <w:marBottom w:val="0"/>
      <w:divBdr>
        <w:top w:val="none" w:sz="0" w:space="0" w:color="auto"/>
        <w:left w:val="none" w:sz="0" w:space="0" w:color="auto"/>
        <w:bottom w:val="none" w:sz="0" w:space="0" w:color="auto"/>
        <w:right w:val="none" w:sz="0" w:space="0" w:color="auto"/>
      </w:divBdr>
    </w:div>
    <w:div w:id="67117352">
      <w:bodyDiv w:val="1"/>
      <w:marLeft w:val="0"/>
      <w:marRight w:val="0"/>
      <w:marTop w:val="0"/>
      <w:marBottom w:val="0"/>
      <w:divBdr>
        <w:top w:val="none" w:sz="0" w:space="0" w:color="auto"/>
        <w:left w:val="none" w:sz="0" w:space="0" w:color="auto"/>
        <w:bottom w:val="none" w:sz="0" w:space="0" w:color="auto"/>
        <w:right w:val="none" w:sz="0" w:space="0" w:color="auto"/>
      </w:divBdr>
    </w:div>
    <w:div w:id="94599517">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72960850">
      <w:bodyDiv w:val="1"/>
      <w:marLeft w:val="0"/>
      <w:marRight w:val="0"/>
      <w:marTop w:val="0"/>
      <w:marBottom w:val="0"/>
      <w:divBdr>
        <w:top w:val="none" w:sz="0" w:space="0" w:color="auto"/>
        <w:left w:val="none" w:sz="0" w:space="0" w:color="auto"/>
        <w:bottom w:val="none" w:sz="0" w:space="0" w:color="auto"/>
        <w:right w:val="none" w:sz="0" w:space="0" w:color="auto"/>
      </w:divBdr>
    </w:div>
    <w:div w:id="186799165">
      <w:bodyDiv w:val="1"/>
      <w:marLeft w:val="0"/>
      <w:marRight w:val="0"/>
      <w:marTop w:val="0"/>
      <w:marBottom w:val="0"/>
      <w:divBdr>
        <w:top w:val="none" w:sz="0" w:space="0" w:color="auto"/>
        <w:left w:val="none" w:sz="0" w:space="0" w:color="auto"/>
        <w:bottom w:val="none" w:sz="0" w:space="0" w:color="auto"/>
        <w:right w:val="none" w:sz="0" w:space="0" w:color="auto"/>
      </w:divBdr>
    </w:div>
    <w:div w:id="204564406">
      <w:bodyDiv w:val="1"/>
      <w:marLeft w:val="0"/>
      <w:marRight w:val="0"/>
      <w:marTop w:val="0"/>
      <w:marBottom w:val="0"/>
      <w:divBdr>
        <w:top w:val="none" w:sz="0" w:space="0" w:color="auto"/>
        <w:left w:val="none" w:sz="0" w:space="0" w:color="auto"/>
        <w:bottom w:val="none" w:sz="0" w:space="0" w:color="auto"/>
        <w:right w:val="none" w:sz="0" w:space="0" w:color="auto"/>
      </w:divBdr>
    </w:div>
    <w:div w:id="205025067">
      <w:bodyDiv w:val="1"/>
      <w:marLeft w:val="0"/>
      <w:marRight w:val="0"/>
      <w:marTop w:val="0"/>
      <w:marBottom w:val="0"/>
      <w:divBdr>
        <w:top w:val="none" w:sz="0" w:space="0" w:color="auto"/>
        <w:left w:val="none" w:sz="0" w:space="0" w:color="auto"/>
        <w:bottom w:val="none" w:sz="0" w:space="0" w:color="auto"/>
        <w:right w:val="none" w:sz="0" w:space="0" w:color="auto"/>
      </w:divBdr>
    </w:div>
    <w:div w:id="2235706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7816">
      <w:bodyDiv w:val="1"/>
      <w:marLeft w:val="0"/>
      <w:marRight w:val="0"/>
      <w:marTop w:val="0"/>
      <w:marBottom w:val="0"/>
      <w:divBdr>
        <w:top w:val="none" w:sz="0" w:space="0" w:color="auto"/>
        <w:left w:val="none" w:sz="0" w:space="0" w:color="auto"/>
        <w:bottom w:val="none" w:sz="0" w:space="0" w:color="auto"/>
        <w:right w:val="none" w:sz="0" w:space="0" w:color="auto"/>
      </w:divBdr>
    </w:div>
    <w:div w:id="284308843">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12485180">
      <w:bodyDiv w:val="1"/>
      <w:marLeft w:val="0"/>
      <w:marRight w:val="0"/>
      <w:marTop w:val="0"/>
      <w:marBottom w:val="0"/>
      <w:divBdr>
        <w:top w:val="none" w:sz="0" w:space="0" w:color="auto"/>
        <w:left w:val="none" w:sz="0" w:space="0" w:color="auto"/>
        <w:bottom w:val="none" w:sz="0" w:space="0" w:color="auto"/>
        <w:right w:val="none" w:sz="0" w:space="0" w:color="auto"/>
      </w:divBdr>
    </w:div>
    <w:div w:id="33542215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62888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675587">
      <w:bodyDiv w:val="1"/>
      <w:marLeft w:val="0"/>
      <w:marRight w:val="0"/>
      <w:marTop w:val="0"/>
      <w:marBottom w:val="0"/>
      <w:divBdr>
        <w:top w:val="none" w:sz="0" w:space="0" w:color="auto"/>
        <w:left w:val="none" w:sz="0" w:space="0" w:color="auto"/>
        <w:bottom w:val="none" w:sz="0" w:space="0" w:color="auto"/>
        <w:right w:val="none" w:sz="0" w:space="0" w:color="auto"/>
      </w:divBdr>
    </w:div>
    <w:div w:id="522593495">
      <w:bodyDiv w:val="1"/>
      <w:marLeft w:val="0"/>
      <w:marRight w:val="0"/>
      <w:marTop w:val="0"/>
      <w:marBottom w:val="0"/>
      <w:divBdr>
        <w:top w:val="none" w:sz="0" w:space="0" w:color="auto"/>
        <w:left w:val="none" w:sz="0" w:space="0" w:color="auto"/>
        <w:bottom w:val="none" w:sz="0" w:space="0" w:color="auto"/>
        <w:right w:val="none" w:sz="0" w:space="0" w:color="auto"/>
      </w:divBdr>
      <w:divsChild>
        <w:div w:id="275605008">
          <w:marLeft w:val="1166"/>
          <w:marRight w:val="0"/>
          <w:marTop w:val="0"/>
          <w:marBottom w:val="0"/>
          <w:divBdr>
            <w:top w:val="none" w:sz="0" w:space="0" w:color="auto"/>
            <w:left w:val="none" w:sz="0" w:space="0" w:color="auto"/>
            <w:bottom w:val="none" w:sz="0" w:space="0" w:color="auto"/>
            <w:right w:val="none" w:sz="0" w:space="0" w:color="auto"/>
          </w:divBdr>
        </w:div>
        <w:div w:id="632754455">
          <w:marLeft w:val="1166"/>
          <w:marRight w:val="0"/>
          <w:marTop w:val="0"/>
          <w:marBottom w:val="0"/>
          <w:divBdr>
            <w:top w:val="none" w:sz="0" w:space="0" w:color="auto"/>
            <w:left w:val="none" w:sz="0" w:space="0" w:color="auto"/>
            <w:bottom w:val="none" w:sz="0" w:space="0" w:color="auto"/>
            <w:right w:val="none" w:sz="0" w:space="0" w:color="auto"/>
          </w:divBdr>
        </w:div>
        <w:div w:id="639187337">
          <w:marLeft w:val="1166"/>
          <w:marRight w:val="0"/>
          <w:marTop w:val="0"/>
          <w:marBottom w:val="0"/>
          <w:divBdr>
            <w:top w:val="none" w:sz="0" w:space="0" w:color="auto"/>
            <w:left w:val="none" w:sz="0" w:space="0" w:color="auto"/>
            <w:bottom w:val="none" w:sz="0" w:space="0" w:color="auto"/>
            <w:right w:val="none" w:sz="0" w:space="0" w:color="auto"/>
          </w:divBdr>
        </w:div>
        <w:div w:id="844051011">
          <w:marLeft w:val="1166"/>
          <w:marRight w:val="0"/>
          <w:marTop w:val="0"/>
          <w:marBottom w:val="0"/>
          <w:divBdr>
            <w:top w:val="none" w:sz="0" w:space="0" w:color="auto"/>
            <w:left w:val="none" w:sz="0" w:space="0" w:color="auto"/>
            <w:bottom w:val="none" w:sz="0" w:space="0" w:color="auto"/>
            <w:right w:val="none" w:sz="0" w:space="0" w:color="auto"/>
          </w:divBdr>
        </w:div>
        <w:div w:id="1270505463">
          <w:marLeft w:val="446"/>
          <w:marRight w:val="0"/>
          <w:marTop w:val="0"/>
          <w:marBottom w:val="0"/>
          <w:divBdr>
            <w:top w:val="none" w:sz="0" w:space="0" w:color="auto"/>
            <w:left w:val="none" w:sz="0" w:space="0" w:color="auto"/>
            <w:bottom w:val="none" w:sz="0" w:space="0" w:color="auto"/>
            <w:right w:val="none" w:sz="0" w:space="0" w:color="auto"/>
          </w:divBdr>
        </w:div>
        <w:div w:id="1275282747">
          <w:marLeft w:val="1166"/>
          <w:marRight w:val="0"/>
          <w:marTop w:val="0"/>
          <w:marBottom w:val="0"/>
          <w:divBdr>
            <w:top w:val="none" w:sz="0" w:space="0" w:color="auto"/>
            <w:left w:val="none" w:sz="0" w:space="0" w:color="auto"/>
            <w:bottom w:val="none" w:sz="0" w:space="0" w:color="auto"/>
            <w:right w:val="none" w:sz="0" w:space="0" w:color="auto"/>
          </w:divBdr>
        </w:div>
        <w:div w:id="1316567130">
          <w:marLeft w:val="446"/>
          <w:marRight w:val="0"/>
          <w:marTop w:val="0"/>
          <w:marBottom w:val="0"/>
          <w:divBdr>
            <w:top w:val="none" w:sz="0" w:space="0" w:color="auto"/>
            <w:left w:val="none" w:sz="0" w:space="0" w:color="auto"/>
            <w:bottom w:val="none" w:sz="0" w:space="0" w:color="auto"/>
            <w:right w:val="none" w:sz="0" w:space="0" w:color="auto"/>
          </w:divBdr>
        </w:div>
        <w:div w:id="1517692954">
          <w:marLeft w:val="446"/>
          <w:marRight w:val="0"/>
          <w:marTop w:val="0"/>
          <w:marBottom w:val="0"/>
          <w:divBdr>
            <w:top w:val="none" w:sz="0" w:space="0" w:color="auto"/>
            <w:left w:val="none" w:sz="0" w:space="0" w:color="auto"/>
            <w:bottom w:val="none" w:sz="0" w:space="0" w:color="auto"/>
            <w:right w:val="none" w:sz="0" w:space="0" w:color="auto"/>
          </w:divBdr>
        </w:div>
      </w:divsChild>
    </w:div>
    <w:div w:id="58183610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2734657">
      <w:bodyDiv w:val="1"/>
      <w:marLeft w:val="0"/>
      <w:marRight w:val="0"/>
      <w:marTop w:val="0"/>
      <w:marBottom w:val="0"/>
      <w:divBdr>
        <w:top w:val="none" w:sz="0" w:space="0" w:color="auto"/>
        <w:left w:val="none" w:sz="0" w:space="0" w:color="auto"/>
        <w:bottom w:val="none" w:sz="0" w:space="0" w:color="auto"/>
        <w:right w:val="none" w:sz="0" w:space="0" w:color="auto"/>
      </w:divBdr>
    </w:div>
    <w:div w:id="627854718">
      <w:bodyDiv w:val="1"/>
      <w:marLeft w:val="0"/>
      <w:marRight w:val="0"/>
      <w:marTop w:val="0"/>
      <w:marBottom w:val="0"/>
      <w:divBdr>
        <w:top w:val="none" w:sz="0" w:space="0" w:color="auto"/>
        <w:left w:val="none" w:sz="0" w:space="0" w:color="auto"/>
        <w:bottom w:val="none" w:sz="0" w:space="0" w:color="auto"/>
        <w:right w:val="none" w:sz="0" w:space="0" w:color="auto"/>
      </w:divBdr>
      <w:divsChild>
        <w:div w:id="12656712">
          <w:marLeft w:val="446"/>
          <w:marRight w:val="0"/>
          <w:marTop w:val="0"/>
          <w:marBottom w:val="0"/>
          <w:divBdr>
            <w:top w:val="none" w:sz="0" w:space="0" w:color="auto"/>
            <w:left w:val="none" w:sz="0" w:space="0" w:color="auto"/>
            <w:bottom w:val="none" w:sz="0" w:space="0" w:color="auto"/>
            <w:right w:val="none" w:sz="0" w:space="0" w:color="auto"/>
          </w:divBdr>
        </w:div>
        <w:div w:id="156044013">
          <w:marLeft w:val="446"/>
          <w:marRight w:val="0"/>
          <w:marTop w:val="0"/>
          <w:marBottom w:val="0"/>
          <w:divBdr>
            <w:top w:val="none" w:sz="0" w:space="0" w:color="auto"/>
            <w:left w:val="none" w:sz="0" w:space="0" w:color="auto"/>
            <w:bottom w:val="none" w:sz="0" w:space="0" w:color="auto"/>
            <w:right w:val="none" w:sz="0" w:space="0" w:color="auto"/>
          </w:divBdr>
        </w:div>
        <w:div w:id="214437496">
          <w:marLeft w:val="1166"/>
          <w:marRight w:val="0"/>
          <w:marTop w:val="0"/>
          <w:marBottom w:val="0"/>
          <w:divBdr>
            <w:top w:val="none" w:sz="0" w:space="0" w:color="auto"/>
            <w:left w:val="none" w:sz="0" w:space="0" w:color="auto"/>
            <w:bottom w:val="none" w:sz="0" w:space="0" w:color="auto"/>
            <w:right w:val="none" w:sz="0" w:space="0" w:color="auto"/>
          </w:divBdr>
        </w:div>
        <w:div w:id="641081989">
          <w:marLeft w:val="446"/>
          <w:marRight w:val="0"/>
          <w:marTop w:val="0"/>
          <w:marBottom w:val="0"/>
          <w:divBdr>
            <w:top w:val="none" w:sz="0" w:space="0" w:color="auto"/>
            <w:left w:val="none" w:sz="0" w:space="0" w:color="auto"/>
            <w:bottom w:val="none" w:sz="0" w:space="0" w:color="auto"/>
            <w:right w:val="none" w:sz="0" w:space="0" w:color="auto"/>
          </w:divBdr>
        </w:div>
        <w:div w:id="1091050335">
          <w:marLeft w:val="1166"/>
          <w:marRight w:val="0"/>
          <w:marTop w:val="0"/>
          <w:marBottom w:val="0"/>
          <w:divBdr>
            <w:top w:val="none" w:sz="0" w:space="0" w:color="auto"/>
            <w:left w:val="none" w:sz="0" w:space="0" w:color="auto"/>
            <w:bottom w:val="none" w:sz="0" w:space="0" w:color="auto"/>
            <w:right w:val="none" w:sz="0" w:space="0" w:color="auto"/>
          </w:divBdr>
        </w:div>
      </w:divsChild>
    </w:div>
    <w:div w:id="641887587">
      <w:bodyDiv w:val="1"/>
      <w:marLeft w:val="0"/>
      <w:marRight w:val="0"/>
      <w:marTop w:val="0"/>
      <w:marBottom w:val="0"/>
      <w:divBdr>
        <w:top w:val="none" w:sz="0" w:space="0" w:color="auto"/>
        <w:left w:val="none" w:sz="0" w:space="0" w:color="auto"/>
        <w:bottom w:val="none" w:sz="0" w:space="0" w:color="auto"/>
        <w:right w:val="none" w:sz="0" w:space="0" w:color="auto"/>
      </w:divBdr>
    </w:div>
    <w:div w:id="645430883">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73987556">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59195688">
      <w:bodyDiv w:val="1"/>
      <w:marLeft w:val="0"/>
      <w:marRight w:val="0"/>
      <w:marTop w:val="0"/>
      <w:marBottom w:val="0"/>
      <w:divBdr>
        <w:top w:val="none" w:sz="0" w:space="0" w:color="auto"/>
        <w:left w:val="none" w:sz="0" w:space="0" w:color="auto"/>
        <w:bottom w:val="none" w:sz="0" w:space="0" w:color="auto"/>
        <w:right w:val="none" w:sz="0" w:space="0" w:color="auto"/>
      </w:divBdr>
    </w:div>
    <w:div w:id="893733811">
      <w:bodyDiv w:val="1"/>
      <w:marLeft w:val="0"/>
      <w:marRight w:val="0"/>
      <w:marTop w:val="0"/>
      <w:marBottom w:val="0"/>
      <w:divBdr>
        <w:top w:val="none" w:sz="0" w:space="0" w:color="auto"/>
        <w:left w:val="none" w:sz="0" w:space="0" w:color="auto"/>
        <w:bottom w:val="none" w:sz="0" w:space="0" w:color="auto"/>
        <w:right w:val="none" w:sz="0" w:space="0" w:color="auto"/>
      </w:divBdr>
    </w:div>
    <w:div w:id="922909121">
      <w:bodyDiv w:val="1"/>
      <w:marLeft w:val="0"/>
      <w:marRight w:val="0"/>
      <w:marTop w:val="0"/>
      <w:marBottom w:val="0"/>
      <w:divBdr>
        <w:top w:val="none" w:sz="0" w:space="0" w:color="auto"/>
        <w:left w:val="none" w:sz="0" w:space="0" w:color="auto"/>
        <w:bottom w:val="none" w:sz="0" w:space="0" w:color="auto"/>
        <w:right w:val="none" w:sz="0" w:space="0" w:color="auto"/>
      </w:divBdr>
    </w:div>
    <w:div w:id="936257043">
      <w:bodyDiv w:val="1"/>
      <w:marLeft w:val="0"/>
      <w:marRight w:val="0"/>
      <w:marTop w:val="0"/>
      <w:marBottom w:val="0"/>
      <w:divBdr>
        <w:top w:val="none" w:sz="0" w:space="0" w:color="auto"/>
        <w:left w:val="none" w:sz="0" w:space="0" w:color="auto"/>
        <w:bottom w:val="none" w:sz="0" w:space="0" w:color="auto"/>
        <w:right w:val="none" w:sz="0" w:space="0" w:color="auto"/>
      </w:divBdr>
    </w:div>
    <w:div w:id="947195768">
      <w:bodyDiv w:val="1"/>
      <w:marLeft w:val="0"/>
      <w:marRight w:val="0"/>
      <w:marTop w:val="0"/>
      <w:marBottom w:val="0"/>
      <w:divBdr>
        <w:top w:val="none" w:sz="0" w:space="0" w:color="auto"/>
        <w:left w:val="none" w:sz="0" w:space="0" w:color="auto"/>
        <w:bottom w:val="none" w:sz="0" w:space="0" w:color="auto"/>
        <w:right w:val="none" w:sz="0" w:space="0" w:color="auto"/>
      </w:divBdr>
    </w:div>
    <w:div w:id="955603717">
      <w:bodyDiv w:val="1"/>
      <w:marLeft w:val="0"/>
      <w:marRight w:val="0"/>
      <w:marTop w:val="0"/>
      <w:marBottom w:val="0"/>
      <w:divBdr>
        <w:top w:val="none" w:sz="0" w:space="0" w:color="auto"/>
        <w:left w:val="none" w:sz="0" w:space="0" w:color="auto"/>
        <w:bottom w:val="none" w:sz="0" w:space="0" w:color="auto"/>
        <w:right w:val="none" w:sz="0" w:space="0" w:color="auto"/>
      </w:divBdr>
    </w:div>
    <w:div w:id="9746792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754150">
      <w:bodyDiv w:val="1"/>
      <w:marLeft w:val="0"/>
      <w:marRight w:val="0"/>
      <w:marTop w:val="0"/>
      <w:marBottom w:val="0"/>
      <w:divBdr>
        <w:top w:val="none" w:sz="0" w:space="0" w:color="auto"/>
        <w:left w:val="none" w:sz="0" w:space="0" w:color="auto"/>
        <w:bottom w:val="none" w:sz="0" w:space="0" w:color="auto"/>
        <w:right w:val="none" w:sz="0" w:space="0" w:color="auto"/>
      </w:divBdr>
    </w:div>
    <w:div w:id="1009405368">
      <w:bodyDiv w:val="1"/>
      <w:marLeft w:val="0"/>
      <w:marRight w:val="0"/>
      <w:marTop w:val="0"/>
      <w:marBottom w:val="0"/>
      <w:divBdr>
        <w:top w:val="none" w:sz="0" w:space="0" w:color="auto"/>
        <w:left w:val="none" w:sz="0" w:space="0" w:color="auto"/>
        <w:bottom w:val="none" w:sz="0" w:space="0" w:color="auto"/>
        <w:right w:val="none" w:sz="0" w:space="0" w:color="auto"/>
      </w:divBdr>
    </w:div>
    <w:div w:id="1027022582">
      <w:bodyDiv w:val="1"/>
      <w:marLeft w:val="0"/>
      <w:marRight w:val="0"/>
      <w:marTop w:val="0"/>
      <w:marBottom w:val="0"/>
      <w:divBdr>
        <w:top w:val="none" w:sz="0" w:space="0" w:color="auto"/>
        <w:left w:val="none" w:sz="0" w:space="0" w:color="auto"/>
        <w:bottom w:val="none" w:sz="0" w:space="0" w:color="auto"/>
        <w:right w:val="none" w:sz="0" w:space="0" w:color="auto"/>
      </w:divBdr>
    </w:div>
    <w:div w:id="1091971947">
      <w:bodyDiv w:val="1"/>
      <w:marLeft w:val="0"/>
      <w:marRight w:val="0"/>
      <w:marTop w:val="0"/>
      <w:marBottom w:val="0"/>
      <w:divBdr>
        <w:top w:val="none" w:sz="0" w:space="0" w:color="auto"/>
        <w:left w:val="none" w:sz="0" w:space="0" w:color="auto"/>
        <w:bottom w:val="none" w:sz="0" w:space="0" w:color="auto"/>
        <w:right w:val="none" w:sz="0" w:space="0" w:color="auto"/>
      </w:divBdr>
    </w:div>
    <w:div w:id="1104151341">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59006314">
      <w:bodyDiv w:val="1"/>
      <w:marLeft w:val="0"/>
      <w:marRight w:val="0"/>
      <w:marTop w:val="0"/>
      <w:marBottom w:val="0"/>
      <w:divBdr>
        <w:top w:val="none" w:sz="0" w:space="0" w:color="auto"/>
        <w:left w:val="none" w:sz="0" w:space="0" w:color="auto"/>
        <w:bottom w:val="none" w:sz="0" w:space="0" w:color="auto"/>
        <w:right w:val="none" w:sz="0" w:space="0" w:color="auto"/>
      </w:divBdr>
    </w:div>
    <w:div w:id="1232616536">
      <w:bodyDiv w:val="1"/>
      <w:marLeft w:val="0"/>
      <w:marRight w:val="0"/>
      <w:marTop w:val="0"/>
      <w:marBottom w:val="0"/>
      <w:divBdr>
        <w:top w:val="none" w:sz="0" w:space="0" w:color="auto"/>
        <w:left w:val="none" w:sz="0" w:space="0" w:color="auto"/>
        <w:bottom w:val="none" w:sz="0" w:space="0" w:color="auto"/>
        <w:right w:val="none" w:sz="0" w:space="0" w:color="auto"/>
      </w:divBdr>
    </w:div>
    <w:div w:id="1281835969">
      <w:bodyDiv w:val="1"/>
      <w:marLeft w:val="0"/>
      <w:marRight w:val="0"/>
      <w:marTop w:val="0"/>
      <w:marBottom w:val="0"/>
      <w:divBdr>
        <w:top w:val="none" w:sz="0" w:space="0" w:color="auto"/>
        <w:left w:val="none" w:sz="0" w:space="0" w:color="auto"/>
        <w:bottom w:val="none" w:sz="0" w:space="0" w:color="auto"/>
        <w:right w:val="none" w:sz="0" w:space="0" w:color="auto"/>
      </w:divBdr>
    </w:div>
    <w:div w:id="1296637289">
      <w:bodyDiv w:val="1"/>
      <w:marLeft w:val="0"/>
      <w:marRight w:val="0"/>
      <w:marTop w:val="0"/>
      <w:marBottom w:val="0"/>
      <w:divBdr>
        <w:top w:val="none" w:sz="0" w:space="0" w:color="auto"/>
        <w:left w:val="none" w:sz="0" w:space="0" w:color="auto"/>
        <w:bottom w:val="none" w:sz="0" w:space="0" w:color="auto"/>
        <w:right w:val="none" w:sz="0" w:space="0" w:color="auto"/>
      </w:divBdr>
    </w:div>
    <w:div w:id="1303657316">
      <w:bodyDiv w:val="1"/>
      <w:marLeft w:val="0"/>
      <w:marRight w:val="0"/>
      <w:marTop w:val="0"/>
      <w:marBottom w:val="0"/>
      <w:divBdr>
        <w:top w:val="none" w:sz="0" w:space="0" w:color="auto"/>
        <w:left w:val="none" w:sz="0" w:space="0" w:color="auto"/>
        <w:bottom w:val="none" w:sz="0" w:space="0" w:color="auto"/>
        <w:right w:val="none" w:sz="0" w:space="0" w:color="auto"/>
      </w:divBdr>
    </w:div>
    <w:div w:id="1398286136">
      <w:bodyDiv w:val="1"/>
      <w:marLeft w:val="0"/>
      <w:marRight w:val="0"/>
      <w:marTop w:val="0"/>
      <w:marBottom w:val="0"/>
      <w:divBdr>
        <w:top w:val="none" w:sz="0" w:space="0" w:color="auto"/>
        <w:left w:val="none" w:sz="0" w:space="0" w:color="auto"/>
        <w:bottom w:val="none" w:sz="0" w:space="0" w:color="auto"/>
        <w:right w:val="none" w:sz="0" w:space="0" w:color="auto"/>
      </w:divBdr>
    </w:div>
    <w:div w:id="1418404906">
      <w:bodyDiv w:val="1"/>
      <w:marLeft w:val="0"/>
      <w:marRight w:val="0"/>
      <w:marTop w:val="0"/>
      <w:marBottom w:val="0"/>
      <w:divBdr>
        <w:top w:val="none" w:sz="0" w:space="0" w:color="auto"/>
        <w:left w:val="none" w:sz="0" w:space="0" w:color="auto"/>
        <w:bottom w:val="none" w:sz="0" w:space="0" w:color="auto"/>
        <w:right w:val="none" w:sz="0" w:space="0" w:color="auto"/>
      </w:divBdr>
    </w:div>
    <w:div w:id="1440562988">
      <w:bodyDiv w:val="1"/>
      <w:marLeft w:val="0"/>
      <w:marRight w:val="0"/>
      <w:marTop w:val="0"/>
      <w:marBottom w:val="0"/>
      <w:divBdr>
        <w:top w:val="none" w:sz="0" w:space="0" w:color="auto"/>
        <w:left w:val="none" w:sz="0" w:space="0" w:color="auto"/>
        <w:bottom w:val="none" w:sz="0" w:space="0" w:color="auto"/>
        <w:right w:val="none" w:sz="0" w:space="0" w:color="auto"/>
      </w:divBdr>
    </w:div>
    <w:div w:id="1442871756">
      <w:bodyDiv w:val="1"/>
      <w:marLeft w:val="0"/>
      <w:marRight w:val="0"/>
      <w:marTop w:val="0"/>
      <w:marBottom w:val="0"/>
      <w:divBdr>
        <w:top w:val="none" w:sz="0" w:space="0" w:color="auto"/>
        <w:left w:val="none" w:sz="0" w:space="0" w:color="auto"/>
        <w:bottom w:val="none" w:sz="0" w:space="0" w:color="auto"/>
        <w:right w:val="none" w:sz="0" w:space="0" w:color="auto"/>
      </w:divBdr>
      <w:divsChild>
        <w:div w:id="14771212">
          <w:marLeft w:val="1166"/>
          <w:marRight w:val="0"/>
          <w:marTop w:val="0"/>
          <w:marBottom w:val="0"/>
          <w:divBdr>
            <w:top w:val="none" w:sz="0" w:space="0" w:color="auto"/>
            <w:left w:val="none" w:sz="0" w:space="0" w:color="auto"/>
            <w:bottom w:val="none" w:sz="0" w:space="0" w:color="auto"/>
            <w:right w:val="none" w:sz="0" w:space="0" w:color="auto"/>
          </w:divBdr>
        </w:div>
        <w:div w:id="52430253">
          <w:marLeft w:val="446"/>
          <w:marRight w:val="0"/>
          <w:marTop w:val="0"/>
          <w:marBottom w:val="0"/>
          <w:divBdr>
            <w:top w:val="none" w:sz="0" w:space="0" w:color="auto"/>
            <w:left w:val="none" w:sz="0" w:space="0" w:color="auto"/>
            <w:bottom w:val="none" w:sz="0" w:space="0" w:color="auto"/>
            <w:right w:val="none" w:sz="0" w:space="0" w:color="auto"/>
          </w:divBdr>
        </w:div>
        <w:div w:id="137891233">
          <w:marLeft w:val="446"/>
          <w:marRight w:val="0"/>
          <w:marTop w:val="0"/>
          <w:marBottom w:val="0"/>
          <w:divBdr>
            <w:top w:val="none" w:sz="0" w:space="0" w:color="auto"/>
            <w:left w:val="none" w:sz="0" w:space="0" w:color="auto"/>
            <w:bottom w:val="none" w:sz="0" w:space="0" w:color="auto"/>
            <w:right w:val="none" w:sz="0" w:space="0" w:color="auto"/>
          </w:divBdr>
        </w:div>
        <w:div w:id="338702611">
          <w:marLeft w:val="1166"/>
          <w:marRight w:val="0"/>
          <w:marTop w:val="0"/>
          <w:marBottom w:val="0"/>
          <w:divBdr>
            <w:top w:val="none" w:sz="0" w:space="0" w:color="auto"/>
            <w:left w:val="none" w:sz="0" w:space="0" w:color="auto"/>
            <w:bottom w:val="none" w:sz="0" w:space="0" w:color="auto"/>
            <w:right w:val="none" w:sz="0" w:space="0" w:color="auto"/>
          </w:divBdr>
        </w:div>
        <w:div w:id="671838414">
          <w:marLeft w:val="1166"/>
          <w:marRight w:val="0"/>
          <w:marTop w:val="0"/>
          <w:marBottom w:val="0"/>
          <w:divBdr>
            <w:top w:val="none" w:sz="0" w:space="0" w:color="auto"/>
            <w:left w:val="none" w:sz="0" w:space="0" w:color="auto"/>
            <w:bottom w:val="none" w:sz="0" w:space="0" w:color="auto"/>
            <w:right w:val="none" w:sz="0" w:space="0" w:color="auto"/>
          </w:divBdr>
        </w:div>
        <w:div w:id="1342703152">
          <w:marLeft w:val="1166"/>
          <w:marRight w:val="0"/>
          <w:marTop w:val="0"/>
          <w:marBottom w:val="0"/>
          <w:divBdr>
            <w:top w:val="none" w:sz="0" w:space="0" w:color="auto"/>
            <w:left w:val="none" w:sz="0" w:space="0" w:color="auto"/>
            <w:bottom w:val="none" w:sz="0" w:space="0" w:color="auto"/>
            <w:right w:val="none" w:sz="0" w:space="0" w:color="auto"/>
          </w:divBdr>
        </w:div>
        <w:div w:id="1876966376">
          <w:marLeft w:val="1166"/>
          <w:marRight w:val="0"/>
          <w:marTop w:val="0"/>
          <w:marBottom w:val="0"/>
          <w:divBdr>
            <w:top w:val="none" w:sz="0" w:space="0" w:color="auto"/>
            <w:left w:val="none" w:sz="0" w:space="0" w:color="auto"/>
            <w:bottom w:val="none" w:sz="0" w:space="0" w:color="auto"/>
            <w:right w:val="none" w:sz="0" w:space="0" w:color="auto"/>
          </w:divBdr>
        </w:div>
        <w:div w:id="2058314443">
          <w:marLeft w:val="446"/>
          <w:marRight w:val="0"/>
          <w:marTop w:val="0"/>
          <w:marBottom w:val="0"/>
          <w:divBdr>
            <w:top w:val="none" w:sz="0" w:space="0" w:color="auto"/>
            <w:left w:val="none" w:sz="0" w:space="0" w:color="auto"/>
            <w:bottom w:val="none" w:sz="0" w:space="0" w:color="auto"/>
            <w:right w:val="none" w:sz="0" w:space="0" w:color="auto"/>
          </w:divBdr>
        </w:div>
      </w:divsChild>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23128339">
      <w:bodyDiv w:val="1"/>
      <w:marLeft w:val="0"/>
      <w:marRight w:val="0"/>
      <w:marTop w:val="0"/>
      <w:marBottom w:val="0"/>
      <w:divBdr>
        <w:top w:val="none" w:sz="0" w:space="0" w:color="auto"/>
        <w:left w:val="none" w:sz="0" w:space="0" w:color="auto"/>
        <w:bottom w:val="none" w:sz="0" w:space="0" w:color="auto"/>
        <w:right w:val="none" w:sz="0" w:space="0" w:color="auto"/>
      </w:divBdr>
    </w:div>
    <w:div w:id="1609317792">
      <w:bodyDiv w:val="1"/>
      <w:marLeft w:val="0"/>
      <w:marRight w:val="0"/>
      <w:marTop w:val="0"/>
      <w:marBottom w:val="0"/>
      <w:divBdr>
        <w:top w:val="none" w:sz="0" w:space="0" w:color="auto"/>
        <w:left w:val="none" w:sz="0" w:space="0" w:color="auto"/>
        <w:bottom w:val="none" w:sz="0" w:space="0" w:color="auto"/>
        <w:right w:val="none" w:sz="0" w:space="0" w:color="auto"/>
      </w:divBdr>
    </w:div>
    <w:div w:id="1616670180">
      <w:bodyDiv w:val="1"/>
      <w:marLeft w:val="0"/>
      <w:marRight w:val="0"/>
      <w:marTop w:val="0"/>
      <w:marBottom w:val="0"/>
      <w:divBdr>
        <w:top w:val="none" w:sz="0" w:space="0" w:color="auto"/>
        <w:left w:val="none" w:sz="0" w:space="0" w:color="auto"/>
        <w:bottom w:val="none" w:sz="0" w:space="0" w:color="auto"/>
        <w:right w:val="none" w:sz="0" w:space="0" w:color="auto"/>
      </w:divBdr>
    </w:div>
    <w:div w:id="1624654590">
      <w:bodyDiv w:val="1"/>
      <w:marLeft w:val="0"/>
      <w:marRight w:val="0"/>
      <w:marTop w:val="0"/>
      <w:marBottom w:val="0"/>
      <w:divBdr>
        <w:top w:val="none" w:sz="0" w:space="0" w:color="auto"/>
        <w:left w:val="none" w:sz="0" w:space="0" w:color="auto"/>
        <w:bottom w:val="none" w:sz="0" w:space="0" w:color="auto"/>
        <w:right w:val="none" w:sz="0" w:space="0" w:color="auto"/>
      </w:divBdr>
    </w:div>
    <w:div w:id="1637374145">
      <w:bodyDiv w:val="1"/>
      <w:marLeft w:val="0"/>
      <w:marRight w:val="0"/>
      <w:marTop w:val="0"/>
      <w:marBottom w:val="0"/>
      <w:divBdr>
        <w:top w:val="none" w:sz="0" w:space="0" w:color="auto"/>
        <w:left w:val="none" w:sz="0" w:space="0" w:color="auto"/>
        <w:bottom w:val="none" w:sz="0" w:space="0" w:color="auto"/>
        <w:right w:val="none" w:sz="0" w:space="0" w:color="auto"/>
      </w:divBdr>
    </w:div>
    <w:div w:id="1649623849">
      <w:bodyDiv w:val="1"/>
      <w:marLeft w:val="0"/>
      <w:marRight w:val="0"/>
      <w:marTop w:val="0"/>
      <w:marBottom w:val="0"/>
      <w:divBdr>
        <w:top w:val="none" w:sz="0" w:space="0" w:color="auto"/>
        <w:left w:val="none" w:sz="0" w:space="0" w:color="auto"/>
        <w:bottom w:val="none" w:sz="0" w:space="0" w:color="auto"/>
        <w:right w:val="none" w:sz="0" w:space="0" w:color="auto"/>
      </w:divBdr>
    </w:div>
    <w:div w:id="1668240190">
      <w:bodyDiv w:val="1"/>
      <w:marLeft w:val="0"/>
      <w:marRight w:val="0"/>
      <w:marTop w:val="0"/>
      <w:marBottom w:val="0"/>
      <w:divBdr>
        <w:top w:val="none" w:sz="0" w:space="0" w:color="auto"/>
        <w:left w:val="none" w:sz="0" w:space="0" w:color="auto"/>
        <w:bottom w:val="none" w:sz="0" w:space="0" w:color="auto"/>
        <w:right w:val="none" w:sz="0" w:space="0" w:color="auto"/>
      </w:divBdr>
    </w:div>
    <w:div w:id="1696729719">
      <w:bodyDiv w:val="1"/>
      <w:marLeft w:val="0"/>
      <w:marRight w:val="0"/>
      <w:marTop w:val="0"/>
      <w:marBottom w:val="0"/>
      <w:divBdr>
        <w:top w:val="none" w:sz="0" w:space="0" w:color="auto"/>
        <w:left w:val="none" w:sz="0" w:space="0" w:color="auto"/>
        <w:bottom w:val="none" w:sz="0" w:space="0" w:color="auto"/>
        <w:right w:val="none" w:sz="0" w:space="0" w:color="auto"/>
      </w:divBdr>
      <w:divsChild>
        <w:div w:id="219025891">
          <w:marLeft w:val="1166"/>
          <w:marRight w:val="0"/>
          <w:marTop w:val="0"/>
          <w:marBottom w:val="0"/>
          <w:divBdr>
            <w:top w:val="none" w:sz="0" w:space="0" w:color="auto"/>
            <w:left w:val="none" w:sz="0" w:space="0" w:color="auto"/>
            <w:bottom w:val="none" w:sz="0" w:space="0" w:color="auto"/>
            <w:right w:val="none" w:sz="0" w:space="0" w:color="auto"/>
          </w:divBdr>
        </w:div>
        <w:div w:id="524903086">
          <w:marLeft w:val="446"/>
          <w:marRight w:val="0"/>
          <w:marTop w:val="0"/>
          <w:marBottom w:val="0"/>
          <w:divBdr>
            <w:top w:val="none" w:sz="0" w:space="0" w:color="auto"/>
            <w:left w:val="none" w:sz="0" w:space="0" w:color="auto"/>
            <w:bottom w:val="none" w:sz="0" w:space="0" w:color="auto"/>
            <w:right w:val="none" w:sz="0" w:space="0" w:color="auto"/>
          </w:divBdr>
        </w:div>
        <w:div w:id="1336227474">
          <w:marLeft w:val="1166"/>
          <w:marRight w:val="0"/>
          <w:marTop w:val="0"/>
          <w:marBottom w:val="0"/>
          <w:divBdr>
            <w:top w:val="none" w:sz="0" w:space="0" w:color="auto"/>
            <w:left w:val="none" w:sz="0" w:space="0" w:color="auto"/>
            <w:bottom w:val="none" w:sz="0" w:space="0" w:color="auto"/>
            <w:right w:val="none" w:sz="0" w:space="0" w:color="auto"/>
          </w:divBdr>
        </w:div>
        <w:div w:id="1349791453">
          <w:marLeft w:val="1166"/>
          <w:marRight w:val="0"/>
          <w:marTop w:val="0"/>
          <w:marBottom w:val="0"/>
          <w:divBdr>
            <w:top w:val="none" w:sz="0" w:space="0" w:color="auto"/>
            <w:left w:val="none" w:sz="0" w:space="0" w:color="auto"/>
            <w:bottom w:val="none" w:sz="0" w:space="0" w:color="auto"/>
            <w:right w:val="none" w:sz="0" w:space="0" w:color="auto"/>
          </w:divBdr>
        </w:div>
        <w:div w:id="1596279155">
          <w:marLeft w:val="1166"/>
          <w:marRight w:val="0"/>
          <w:marTop w:val="0"/>
          <w:marBottom w:val="0"/>
          <w:divBdr>
            <w:top w:val="none" w:sz="0" w:space="0" w:color="auto"/>
            <w:left w:val="none" w:sz="0" w:space="0" w:color="auto"/>
            <w:bottom w:val="none" w:sz="0" w:space="0" w:color="auto"/>
            <w:right w:val="none" w:sz="0" w:space="0" w:color="auto"/>
          </w:divBdr>
        </w:div>
        <w:div w:id="1770277260">
          <w:marLeft w:val="1166"/>
          <w:marRight w:val="0"/>
          <w:marTop w:val="0"/>
          <w:marBottom w:val="0"/>
          <w:divBdr>
            <w:top w:val="none" w:sz="0" w:space="0" w:color="auto"/>
            <w:left w:val="none" w:sz="0" w:space="0" w:color="auto"/>
            <w:bottom w:val="none" w:sz="0" w:space="0" w:color="auto"/>
            <w:right w:val="none" w:sz="0" w:space="0" w:color="auto"/>
          </w:divBdr>
        </w:div>
        <w:div w:id="1828788812">
          <w:marLeft w:val="446"/>
          <w:marRight w:val="0"/>
          <w:marTop w:val="0"/>
          <w:marBottom w:val="0"/>
          <w:divBdr>
            <w:top w:val="none" w:sz="0" w:space="0" w:color="auto"/>
            <w:left w:val="none" w:sz="0" w:space="0" w:color="auto"/>
            <w:bottom w:val="none" w:sz="0" w:space="0" w:color="auto"/>
            <w:right w:val="none" w:sz="0" w:space="0" w:color="auto"/>
          </w:divBdr>
        </w:div>
        <w:div w:id="1922786600">
          <w:marLeft w:val="446"/>
          <w:marRight w:val="0"/>
          <w:marTop w:val="0"/>
          <w:marBottom w:val="0"/>
          <w:divBdr>
            <w:top w:val="none" w:sz="0" w:space="0" w:color="auto"/>
            <w:left w:val="none" w:sz="0" w:space="0" w:color="auto"/>
            <w:bottom w:val="none" w:sz="0" w:space="0" w:color="auto"/>
            <w:right w:val="none" w:sz="0" w:space="0" w:color="auto"/>
          </w:divBdr>
        </w:div>
      </w:divsChild>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05516652">
      <w:bodyDiv w:val="1"/>
      <w:marLeft w:val="0"/>
      <w:marRight w:val="0"/>
      <w:marTop w:val="0"/>
      <w:marBottom w:val="0"/>
      <w:divBdr>
        <w:top w:val="none" w:sz="0" w:space="0" w:color="auto"/>
        <w:left w:val="none" w:sz="0" w:space="0" w:color="auto"/>
        <w:bottom w:val="none" w:sz="0" w:space="0" w:color="auto"/>
        <w:right w:val="none" w:sz="0" w:space="0" w:color="auto"/>
      </w:divBdr>
    </w:div>
    <w:div w:id="17060549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237446">
      <w:bodyDiv w:val="1"/>
      <w:marLeft w:val="0"/>
      <w:marRight w:val="0"/>
      <w:marTop w:val="0"/>
      <w:marBottom w:val="0"/>
      <w:divBdr>
        <w:top w:val="none" w:sz="0" w:space="0" w:color="auto"/>
        <w:left w:val="none" w:sz="0" w:space="0" w:color="auto"/>
        <w:bottom w:val="none" w:sz="0" w:space="0" w:color="auto"/>
        <w:right w:val="none" w:sz="0" w:space="0" w:color="auto"/>
      </w:divBdr>
    </w:div>
    <w:div w:id="1743333664">
      <w:bodyDiv w:val="1"/>
      <w:marLeft w:val="0"/>
      <w:marRight w:val="0"/>
      <w:marTop w:val="0"/>
      <w:marBottom w:val="0"/>
      <w:divBdr>
        <w:top w:val="none" w:sz="0" w:space="0" w:color="auto"/>
        <w:left w:val="none" w:sz="0" w:space="0" w:color="auto"/>
        <w:bottom w:val="none" w:sz="0" w:space="0" w:color="auto"/>
        <w:right w:val="none" w:sz="0" w:space="0" w:color="auto"/>
      </w:divBdr>
    </w:div>
    <w:div w:id="1757051390">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12552377">
      <w:bodyDiv w:val="1"/>
      <w:marLeft w:val="0"/>
      <w:marRight w:val="0"/>
      <w:marTop w:val="0"/>
      <w:marBottom w:val="0"/>
      <w:divBdr>
        <w:top w:val="none" w:sz="0" w:space="0" w:color="auto"/>
        <w:left w:val="none" w:sz="0" w:space="0" w:color="auto"/>
        <w:bottom w:val="none" w:sz="0" w:space="0" w:color="auto"/>
        <w:right w:val="none" w:sz="0" w:space="0" w:color="auto"/>
      </w:divBdr>
    </w:div>
    <w:div w:id="1812793666">
      <w:bodyDiv w:val="1"/>
      <w:marLeft w:val="0"/>
      <w:marRight w:val="0"/>
      <w:marTop w:val="0"/>
      <w:marBottom w:val="0"/>
      <w:divBdr>
        <w:top w:val="none" w:sz="0" w:space="0" w:color="auto"/>
        <w:left w:val="none" w:sz="0" w:space="0" w:color="auto"/>
        <w:bottom w:val="none" w:sz="0" w:space="0" w:color="auto"/>
        <w:right w:val="none" w:sz="0" w:space="0" w:color="auto"/>
      </w:divBdr>
    </w:div>
    <w:div w:id="1828744037">
      <w:bodyDiv w:val="1"/>
      <w:marLeft w:val="0"/>
      <w:marRight w:val="0"/>
      <w:marTop w:val="0"/>
      <w:marBottom w:val="0"/>
      <w:divBdr>
        <w:top w:val="none" w:sz="0" w:space="0" w:color="auto"/>
        <w:left w:val="none" w:sz="0" w:space="0" w:color="auto"/>
        <w:bottom w:val="none" w:sz="0" w:space="0" w:color="auto"/>
        <w:right w:val="none" w:sz="0" w:space="0" w:color="auto"/>
      </w:divBdr>
    </w:div>
    <w:div w:id="1832872875">
      <w:bodyDiv w:val="1"/>
      <w:marLeft w:val="0"/>
      <w:marRight w:val="0"/>
      <w:marTop w:val="0"/>
      <w:marBottom w:val="0"/>
      <w:divBdr>
        <w:top w:val="none" w:sz="0" w:space="0" w:color="auto"/>
        <w:left w:val="none" w:sz="0" w:space="0" w:color="auto"/>
        <w:bottom w:val="none" w:sz="0" w:space="0" w:color="auto"/>
        <w:right w:val="none" w:sz="0" w:space="0" w:color="auto"/>
      </w:divBdr>
    </w:div>
    <w:div w:id="18896793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792785">
      <w:bodyDiv w:val="1"/>
      <w:marLeft w:val="0"/>
      <w:marRight w:val="0"/>
      <w:marTop w:val="0"/>
      <w:marBottom w:val="0"/>
      <w:divBdr>
        <w:top w:val="none" w:sz="0" w:space="0" w:color="auto"/>
        <w:left w:val="none" w:sz="0" w:space="0" w:color="auto"/>
        <w:bottom w:val="none" w:sz="0" w:space="0" w:color="auto"/>
        <w:right w:val="none" w:sz="0" w:space="0" w:color="auto"/>
      </w:divBdr>
    </w:div>
    <w:div w:id="1944531767">
      <w:bodyDiv w:val="1"/>
      <w:marLeft w:val="0"/>
      <w:marRight w:val="0"/>
      <w:marTop w:val="0"/>
      <w:marBottom w:val="0"/>
      <w:divBdr>
        <w:top w:val="none" w:sz="0" w:space="0" w:color="auto"/>
        <w:left w:val="none" w:sz="0" w:space="0" w:color="auto"/>
        <w:bottom w:val="none" w:sz="0" w:space="0" w:color="auto"/>
        <w:right w:val="none" w:sz="0" w:space="0" w:color="auto"/>
      </w:divBdr>
    </w:div>
    <w:div w:id="2012441066">
      <w:bodyDiv w:val="1"/>
      <w:marLeft w:val="0"/>
      <w:marRight w:val="0"/>
      <w:marTop w:val="0"/>
      <w:marBottom w:val="0"/>
      <w:divBdr>
        <w:top w:val="none" w:sz="0" w:space="0" w:color="auto"/>
        <w:left w:val="none" w:sz="0" w:space="0" w:color="auto"/>
        <w:bottom w:val="none" w:sz="0" w:space="0" w:color="auto"/>
        <w:right w:val="none" w:sz="0" w:space="0" w:color="auto"/>
      </w:divBdr>
    </w:div>
    <w:div w:id="2018383774">
      <w:bodyDiv w:val="1"/>
      <w:marLeft w:val="0"/>
      <w:marRight w:val="0"/>
      <w:marTop w:val="0"/>
      <w:marBottom w:val="0"/>
      <w:divBdr>
        <w:top w:val="none" w:sz="0" w:space="0" w:color="auto"/>
        <w:left w:val="none" w:sz="0" w:space="0" w:color="auto"/>
        <w:bottom w:val="none" w:sz="0" w:space="0" w:color="auto"/>
        <w:right w:val="none" w:sz="0" w:space="0" w:color="auto"/>
      </w:divBdr>
    </w:div>
    <w:div w:id="2026399728">
      <w:bodyDiv w:val="1"/>
      <w:marLeft w:val="0"/>
      <w:marRight w:val="0"/>
      <w:marTop w:val="0"/>
      <w:marBottom w:val="0"/>
      <w:divBdr>
        <w:top w:val="none" w:sz="0" w:space="0" w:color="auto"/>
        <w:left w:val="none" w:sz="0" w:space="0" w:color="auto"/>
        <w:bottom w:val="none" w:sz="0" w:space="0" w:color="auto"/>
        <w:right w:val="none" w:sz="0" w:space="0" w:color="auto"/>
      </w:divBdr>
    </w:div>
    <w:div w:id="2060087528">
      <w:bodyDiv w:val="1"/>
      <w:marLeft w:val="0"/>
      <w:marRight w:val="0"/>
      <w:marTop w:val="0"/>
      <w:marBottom w:val="0"/>
      <w:divBdr>
        <w:top w:val="none" w:sz="0" w:space="0" w:color="auto"/>
        <w:left w:val="none" w:sz="0" w:space="0" w:color="auto"/>
        <w:bottom w:val="none" w:sz="0" w:space="0" w:color="auto"/>
        <w:right w:val="none" w:sz="0" w:space="0" w:color="auto"/>
      </w:divBdr>
    </w:div>
    <w:div w:id="2066567026">
      <w:bodyDiv w:val="1"/>
      <w:marLeft w:val="0"/>
      <w:marRight w:val="0"/>
      <w:marTop w:val="0"/>
      <w:marBottom w:val="0"/>
      <w:divBdr>
        <w:top w:val="none" w:sz="0" w:space="0" w:color="auto"/>
        <w:left w:val="none" w:sz="0" w:space="0" w:color="auto"/>
        <w:bottom w:val="none" w:sz="0" w:space="0" w:color="auto"/>
        <w:right w:val="none" w:sz="0" w:space="0" w:color="auto"/>
      </w:divBdr>
    </w:div>
    <w:div w:id="2084836694">
      <w:bodyDiv w:val="1"/>
      <w:marLeft w:val="0"/>
      <w:marRight w:val="0"/>
      <w:marTop w:val="0"/>
      <w:marBottom w:val="0"/>
      <w:divBdr>
        <w:top w:val="none" w:sz="0" w:space="0" w:color="auto"/>
        <w:left w:val="none" w:sz="0" w:space="0" w:color="auto"/>
        <w:bottom w:val="none" w:sz="0" w:space="0" w:color="auto"/>
        <w:right w:val="none" w:sz="0" w:space="0" w:color="auto"/>
      </w:divBdr>
    </w:div>
    <w:div w:id="2100905395">
      <w:bodyDiv w:val="1"/>
      <w:marLeft w:val="0"/>
      <w:marRight w:val="0"/>
      <w:marTop w:val="0"/>
      <w:marBottom w:val="0"/>
      <w:divBdr>
        <w:top w:val="none" w:sz="0" w:space="0" w:color="auto"/>
        <w:left w:val="none" w:sz="0" w:space="0" w:color="auto"/>
        <w:bottom w:val="none" w:sz="0" w:space="0" w:color="auto"/>
        <w:right w:val="none" w:sz="0" w:space="0" w:color="auto"/>
      </w:divBdr>
    </w:div>
    <w:div w:id="212745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3BCE14-9AA1-4F1A-A335-4EDA29FA7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2182</Words>
  <Characters>10980</Characters>
  <Application>Microsoft Office Word</Application>
  <DocSecurity>0</DocSecurity>
  <Lines>215</Lines>
  <Paragraphs>105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Xiaolei TIE</dc:creator>
  <cp:keywords/>
  <dc:description/>
  <cp:lastModifiedBy>Huawei</cp:lastModifiedBy>
  <cp:revision>11</cp:revision>
  <cp:lastPrinted>2007-06-18T22:08:00Z</cp:lastPrinted>
  <dcterms:created xsi:type="dcterms:W3CDTF">2023-02-17T13:35:00Z</dcterms:created>
  <dcterms:modified xsi:type="dcterms:W3CDTF">2023-02-17T16:57:00Z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(3)7hVMihZKFsbhdegsCpZVBKtjoRh9Atreh0B8hjqqsr8Fq8ZOZrdkXBZ6LymX9G9DxE9alW0d
FqR8sWI3mwjjXp6q9sId5Xj/RL05ftuMuUKiVhbPaZCA5AxR6nZ1bx67RBgtNh4kBdRBwdGF
3695RzVFfRezwYnVCVyR3oXVDmOq/Jkjo+rNKKV2xnmsXg3Fknb7mxlO4M3tDyuBBnl8s98/
KUvrghbvTCSYjBBlzT</vt:lpwstr>
  </property>
  <property fmtid="{D5CDD505-2E9C-101B-9397-08002B2CF9AE}" pid="13" name="_2015_ms_pID_725343_00">
    <vt:lpwstr>_2015_ms_pID_725343</vt:lpwstr>
  </property>
  <property fmtid="{D5CDD505-2E9C-101B-9397-08002B2CF9AE}" pid="14" name="_2015_ms_pID_7253431">
    <vt:lpwstr>a0MgCK6NkrLMvAXnQzqGfslYjP6Nw1wyRasxCL0mmTCElivoL5ZNzg
mD1p1vMvYkEd8YnkoQkXNZbvSBXIISB91Gel6lEwIPlOyg3OiOPIB+nA0vLjR3DULi/8+Ccs
i2DbkA6PIU9Yp5SvJkZFHgefuALGlQ/tl8AZqq2bUwHET7YpQ7dYM8JlQ/M0zHpGupHVW4bL
qkjD+MkpIv1AM1CA2g0cx9/YsuDjXGhz4MUD</vt:lpwstr>
  </property>
  <property fmtid="{D5CDD505-2E9C-101B-9397-08002B2CF9AE}" pid="15" name="_2015_ms_pID_7253431_00">
    <vt:lpwstr>_2015_ms_pID_7253431</vt:lpwstr>
  </property>
  <property fmtid="{D5CDD505-2E9C-101B-9397-08002B2CF9AE}" pid="16" name="_2015_ms_pID_7253432">
    <vt:lpwstr>Xk/029HzeKotzjidLqIYaDo5GbT8aEM24Bw9
D8OVZH62ZhAbS01CXqP2XzoEgrOUhw==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1676641102</vt:lpwstr>
  </property>
</Properties>
</file>