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0F344A70" w:rsidR="004D5B09" w:rsidRPr="004D5B09" w:rsidRDefault="001759C2" w:rsidP="004D5B09">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w:t>
      </w:r>
      <w:r w:rsidR="00912FF5">
        <w:rPr>
          <w:rFonts w:ascii="Arial" w:eastAsia="MS Mincho" w:hAnsi="Arial" w:cs="Arial"/>
          <w:b/>
          <w:bCs/>
          <w:sz w:val="28"/>
          <w:lang w:eastAsia="ja-JP"/>
        </w:rPr>
        <w:t>2</w:t>
      </w:r>
      <w:r w:rsidR="004D5B09" w:rsidRPr="004D5B09">
        <w:rPr>
          <w:rFonts w:ascii="Arial" w:eastAsia="MS Mincho" w:hAnsi="Arial" w:cs="Arial"/>
          <w:b/>
          <w:bCs/>
          <w:sz w:val="28"/>
          <w:lang w:eastAsia="ja-JP"/>
        </w:rPr>
        <w:tab/>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R1-2</w:t>
      </w:r>
      <w:r w:rsidR="00995CD0">
        <w:rPr>
          <w:rFonts w:ascii="Arial" w:eastAsia="MS Mincho" w:hAnsi="Arial" w:cs="Arial"/>
          <w:b/>
          <w:bCs/>
          <w:sz w:val="28"/>
          <w:lang w:eastAsia="ja-JP"/>
        </w:rPr>
        <w:t>300585</w:t>
      </w:r>
    </w:p>
    <w:p w14:paraId="2251776F" w14:textId="6B209E25" w:rsidR="007E07C2" w:rsidRPr="009513AC" w:rsidRDefault="00D252DA" w:rsidP="004D5B09">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E80472">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1B5CB28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86582A">
        <w:rPr>
          <w:rFonts w:ascii="Arial" w:eastAsia="宋体" w:hAnsi="Arial" w:cs="Arial"/>
          <w:b/>
          <w:sz w:val="24"/>
          <w:szCs w:val="20"/>
          <w:lang w:val="en-GB"/>
        </w:rPr>
        <w:t>4</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5BC398B"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86582A">
        <w:rPr>
          <w:rFonts w:ascii="Arial" w:eastAsia="宋体" w:hAnsi="Arial" w:cs="Arial"/>
          <w:b/>
          <w:sz w:val="24"/>
          <w:szCs w:val="20"/>
          <w:lang w:val="en-GB"/>
        </w:rPr>
        <w:t>Bandwidth aggregation for positioning</w:t>
      </w:r>
      <w:r w:rsidR="002D46BD" w:rsidRPr="002D46BD">
        <w:rPr>
          <w:rFonts w:ascii="Arial" w:eastAsia="宋体" w:hAnsi="Arial" w:cs="Arial"/>
          <w:b/>
          <w:sz w:val="24"/>
          <w:szCs w:val="20"/>
          <w:lang w:val="en-GB"/>
        </w:rPr>
        <w:t xml:space="preserv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2994CAA1"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DA6F1F">
        <w:rPr>
          <w:rFonts w:hint="eastAsia"/>
          <w:bCs/>
          <w:lang w:eastAsia="zh-CN"/>
        </w:rPr>
        <w:t>band</w:t>
      </w:r>
      <w:r w:rsidR="00DA6F1F">
        <w:rPr>
          <w:bCs/>
        </w:rPr>
        <w:t>width aggregation for positioning</w:t>
      </w:r>
      <w:r w:rsidR="00916656">
        <w:rPr>
          <w:lang w:eastAsia="zh-CN"/>
        </w:rPr>
        <w:t xml:space="preserve"> can be seen as below:</w:t>
      </w:r>
    </w:p>
    <w:p w14:paraId="6626835B" w14:textId="77777777" w:rsidR="00DA6F1F" w:rsidRPr="00DA6F1F" w:rsidRDefault="00DA6F1F" w:rsidP="00DA6F1F">
      <w:pPr>
        <w:numPr>
          <w:ilvl w:val="0"/>
          <w:numId w:val="9"/>
        </w:numPr>
        <w:autoSpaceDE/>
        <w:autoSpaceDN/>
        <w:adjustRightInd/>
        <w:snapToGrid/>
        <w:spacing w:after="0" w:line="276" w:lineRule="auto"/>
        <w:jc w:val="left"/>
        <w:rPr>
          <w:rFonts w:eastAsia="MS Mincho"/>
          <w:i/>
          <w:iCs/>
          <w:sz w:val="20"/>
          <w:szCs w:val="20"/>
          <w:lang w:eastAsia="ko-KR"/>
        </w:rPr>
      </w:pPr>
      <w:r w:rsidRPr="00DA6F1F">
        <w:rPr>
          <w:rFonts w:eastAsia="MS Mincho"/>
          <w:i/>
          <w:iCs/>
          <w:sz w:val="20"/>
          <w:szCs w:val="20"/>
          <w:lang w:eastAsia="ko-KR"/>
        </w:rPr>
        <w:t>Specify bandwidth aggregation for positioning measurements across up to three intra-band contiguous carriers [RAN1, RAN2, RAN4].</w:t>
      </w:r>
    </w:p>
    <w:p w14:paraId="6E8A1CA9" w14:textId="77777777" w:rsidR="00DA6F1F" w:rsidRPr="00DA6F1F" w:rsidRDefault="00DA6F1F" w:rsidP="00DA6F1F">
      <w:pPr>
        <w:numPr>
          <w:ilvl w:val="1"/>
          <w:numId w:val="9"/>
        </w:numPr>
        <w:autoSpaceDE/>
        <w:autoSpaceDN/>
        <w:adjustRightInd/>
        <w:snapToGrid/>
        <w:spacing w:after="0" w:line="276" w:lineRule="auto"/>
        <w:jc w:val="left"/>
        <w:rPr>
          <w:i/>
          <w:iCs/>
          <w:sz w:val="20"/>
          <w:szCs w:val="20"/>
          <w:lang w:eastAsia="ko-KR"/>
        </w:rPr>
      </w:pPr>
      <w:r w:rsidRPr="00DA6F1F">
        <w:rPr>
          <w:i/>
          <w:iCs/>
          <w:sz w:val="20"/>
          <w:szCs w:val="20"/>
          <w:lang w:eastAsia="ko-KR"/>
        </w:rPr>
        <w:t xml:space="preserve">Specify </w:t>
      </w:r>
      <w:proofErr w:type="spellStart"/>
      <w:r w:rsidRPr="00DA6F1F">
        <w:rPr>
          <w:i/>
          <w:iCs/>
          <w:sz w:val="20"/>
          <w:szCs w:val="20"/>
          <w:lang w:eastAsia="ko-KR"/>
        </w:rPr>
        <w:t>signalling</w:t>
      </w:r>
      <w:proofErr w:type="spellEnd"/>
      <w:r w:rsidRPr="00DA6F1F">
        <w:rPr>
          <w:i/>
          <w:iCs/>
          <w:sz w:val="20"/>
          <w:szCs w:val="20"/>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37A8118" w14:textId="77777777" w:rsidR="00DA6F1F" w:rsidRPr="00DA6F1F" w:rsidRDefault="00DA6F1F" w:rsidP="00DA6F1F">
      <w:pPr>
        <w:numPr>
          <w:ilvl w:val="2"/>
          <w:numId w:val="9"/>
        </w:numPr>
        <w:autoSpaceDE/>
        <w:autoSpaceDN/>
        <w:adjustRightInd/>
        <w:snapToGrid/>
        <w:spacing w:after="0" w:line="276" w:lineRule="auto"/>
        <w:jc w:val="left"/>
        <w:rPr>
          <w:i/>
          <w:iCs/>
          <w:sz w:val="20"/>
          <w:szCs w:val="20"/>
          <w:lang w:eastAsia="ko-KR"/>
        </w:rPr>
      </w:pPr>
      <w:r w:rsidRPr="00DA6F1F">
        <w:rPr>
          <w:i/>
          <w:iCs/>
          <w:sz w:val="20"/>
          <w:szCs w:val="20"/>
          <w:lang w:eastAsia="ko-KR"/>
        </w:rPr>
        <w:t>NOTE: The support of bandwidth aggregation for positioning measurements applies only to timing related measurements (e.g., RSTD, RTOA, and UE/</w:t>
      </w:r>
      <w:proofErr w:type="spellStart"/>
      <w:r w:rsidRPr="00DA6F1F">
        <w:rPr>
          <w:i/>
          <w:iCs/>
          <w:sz w:val="20"/>
          <w:szCs w:val="20"/>
          <w:lang w:eastAsia="ko-KR"/>
        </w:rPr>
        <w:t>gNB</w:t>
      </w:r>
      <w:proofErr w:type="spellEnd"/>
      <w:r w:rsidRPr="00DA6F1F">
        <w:rPr>
          <w:i/>
          <w:iCs/>
          <w:sz w:val="20"/>
          <w:szCs w:val="20"/>
          <w:lang w:eastAsia="ko-KR"/>
        </w:rPr>
        <w:t xml:space="preserve"> Rx-Tx time difference).</w:t>
      </w:r>
    </w:p>
    <w:p w14:paraId="4DB75FBE" w14:textId="77777777" w:rsidR="00DA6F1F" w:rsidRPr="00DA6F1F" w:rsidRDefault="00DA6F1F" w:rsidP="00DA6F1F">
      <w:pPr>
        <w:pStyle w:val="af2"/>
        <w:numPr>
          <w:ilvl w:val="1"/>
          <w:numId w:val="9"/>
        </w:numPr>
        <w:overflowPunct w:val="0"/>
        <w:snapToGrid/>
        <w:spacing w:after="180"/>
        <w:ind w:firstLineChars="0"/>
        <w:contextualSpacing/>
        <w:jc w:val="left"/>
        <w:textAlignment w:val="baseline"/>
        <w:rPr>
          <w:i/>
          <w:iCs/>
          <w:sz w:val="20"/>
          <w:szCs w:val="20"/>
          <w:lang w:eastAsia="ko-KR"/>
        </w:rPr>
      </w:pPr>
      <w:r w:rsidRPr="00DA6F1F">
        <w:rPr>
          <w:i/>
          <w:iCs/>
          <w:sz w:val="20"/>
          <w:szCs w:val="20"/>
          <w:lang w:eastAsia="ko-KR"/>
        </w:rPr>
        <w:t>Specify RRM requirements with measurement gaps in connected mode, and in inactive mode, including PRS measurement period/reporting [RAN4].</w:t>
      </w:r>
    </w:p>
    <w:p w14:paraId="6736638B" w14:textId="721B51EE"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0410AA">
        <w:rPr>
          <w:rFonts w:eastAsia="Times New Roman"/>
        </w:rPr>
        <w:t xml:space="preserve"> </w:t>
      </w:r>
      <w:proofErr w:type="spellStart"/>
      <w:r w:rsidR="000410AA" w:rsidRPr="000410AA">
        <w:rPr>
          <w:rFonts w:eastAsia="Times New Roman"/>
        </w:rPr>
        <w:t>signalling</w:t>
      </w:r>
      <w:proofErr w:type="spellEnd"/>
      <w:r w:rsidR="000410AA" w:rsidRPr="000410AA">
        <w:rPr>
          <w:rFonts w:eastAsia="Times New Roman"/>
        </w:rPr>
        <w:t xml:space="preserve"> and procedures to support aggregation of PRS/SRS (respectively) resources across PFLs/carriers (respectively) for positioning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43E09E6" w14:textId="11DB6B38" w:rsidR="00F561A4" w:rsidRDefault="00931AF7" w:rsidP="00CD3DB1">
      <w:pPr>
        <w:pStyle w:val="1"/>
      </w:pPr>
      <w:r>
        <w:rPr>
          <w:lang w:eastAsia="zh-CN"/>
        </w:rPr>
        <w:t>Bandwidth</w:t>
      </w:r>
      <w:r w:rsidR="0063596D">
        <w:t xml:space="preserve"> </w:t>
      </w:r>
      <w:r w:rsidR="00472339">
        <w:t xml:space="preserve">aggregation </w:t>
      </w:r>
      <w:r>
        <w:t>for</w:t>
      </w:r>
      <w:r w:rsidR="00472339">
        <w:t xml:space="preserve"> positioning</w:t>
      </w:r>
      <w:r>
        <w:t xml:space="preserve"> measurement</w:t>
      </w:r>
      <w:r w:rsidR="008F2954">
        <w:t xml:space="preserve"> </w:t>
      </w:r>
    </w:p>
    <w:p w14:paraId="4C7D505C" w14:textId="55DD8B23" w:rsidR="003C118C" w:rsidRDefault="003C118C" w:rsidP="003C118C">
      <w:pPr>
        <w:rPr>
          <w:lang w:eastAsia="zh-CN"/>
        </w:rPr>
      </w:pPr>
      <w:r>
        <w:rPr>
          <w:lang w:eastAsia="zh-CN"/>
        </w:rPr>
        <w:t>According to [2], the following agreements were archived in RAN4 during study item phase.</w:t>
      </w:r>
    </w:p>
    <w:p w14:paraId="68DF4A52" w14:textId="77777777" w:rsidR="003C118C" w:rsidRPr="001A44E5" w:rsidRDefault="003C118C" w:rsidP="003C118C">
      <w:pPr>
        <w:rPr>
          <w:i/>
          <w:iCs/>
          <w:sz w:val="20"/>
          <w:szCs w:val="20"/>
        </w:rPr>
      </w:pPr>
      <w:r w:rsidRPr="001A44E5">
        <w:rPr>
          <w:i/>
          <w:iCs/>
          <w:sz w:val="20"/>
          <w:szCs w:val="20"/>
          <w:u w:val="single"/>
        </w:rPr>
        <w:t>Conditions/assumptions for PRS/SRS bandwidth aggregation</w:t>
      </w:r>
    </w:p>
    <w:p w14:paraId="59331BCE" w14:textId="77777777" w:rsidR="003C118C" w:rsidRPr="001A44E5" w:rsidRDefault="003C118C" w:rsidP="003C118C">
      <w:pPr>
        <w:pStyle w:val="af2"/>
        <w:widowControl w:val="0"/>
        <w:numPr>
          <w:ilvl w:val="0"/>
          <w:numId w:val="39"/>
        </w:numPr>
        <w:autoSpaceDE/>
        <w:autoSpaceDN/>
        <w:adjustRightInd/>
        <w:snapToGrid/>
        <w:spacing w:after="0"/>
        <w:ind w:firstLineChars="0"/>
        <w:rPr>
          <w:i/>
          <w:iCs/>
          <w:sz w:val="20"/>
          <w:szCs w:val="20"/>
          <w:lang w:val="en-GB"/>
        </w:rPr>
      </w:pPr>
      <w:r w:rsidRPr="001A44E5">
        <w:rPr>
          <w:b/>
          <w:bCs/>
          <w:i/>
          <w:iCs/>
          <w:sz w:val="20"/>
          <w:szCs w:val="20"/>
          <w:lang w:val="en-GB"/>
        </w:rPr>
        <w:t>Agreement:</w:t>
      </w:r>
      <w:r w:rsidRPr="001A44E5">
        <w:rPr>
          <w:i/>
          <w:iCs/>
          <w:sz w:val="20"/>
          <w:szCs w:val="20"/>
          <w:lang w:val="en-GB"/>
        </w:rPr>
        <w:t xml:space="preserve"> </w:t>
      </w:r>
    </w:p>
    <w:p w14:paraId="18BE9CE2" w14:textId="77777777" w:rsidR="003C118C" w:rsidRPr="001A44E5" w:rsidRDefault="003C118C" w:rsidP="003C118C">
      <w:pPr>
        <w:pStyle w:val="af2"/>
        <w:widowControl w:val="0"/>
        <w:numPr>
          <w:ilvl w:val="0"/>
          <w:numId w:val="39"/>
        </w:numPr>
        <w:autoSpaceDE/>
        <w:autoSpaceDN/>
        <w:adjustRightInd/>
        <w:snapToGrid/>
        <w:spacing w:after="0"/>
        <w:ind w:firstLineChars="0"/>
        <w:rPr>
          <w:i/>
          <w:iCs/>
          <w:sz w:val="20"/>
          <w:szCs w:val="20"/>
          <w:lang w:val="en-GB"/>
        </w:rPr>
      </w:pPr>
      <w:r w:rsidRPr="001A44E5">
        <w:rPr>
          <w:i/>
          <w:iCs/>
          <w:sz w:val="20"/>
          <w:szCs w:val="20"/>
        </w:rPr>
        <w:t>Regarding numerology across PFLs</w:t>
      </w:r>
    </w:p>
    <w:p w14:paraId="639544EB" w14:textId="77777777" w:rsidR="003C118C" w:rsidRPr="001A44E5" w:rsidRDefault="003C118C" w:rsidP="003C118C">
      <w:pPr>
        <w:pStyle w:val="af2"/>
        <w:numPr>
          <w:ilvl w:val="1"/>
          <w:numId w:val="39"/>
        </w:numPr>
        <w:autoSpaceDE/>
        <w:autoSpaceDN/>
        <w:adjustRightInd/>
        <w:snapToGrid/>
        <w:ind w:firstLineChars="0"/>
        <w:contextualSpacing/>
        <w:jc w:val="left"/>
        <w:rPr>
          <w:bCs/>
          <w:i/>
          <w:iCs/>
          <w:sz w:val="20"/>
          <w:szCs w:val="20"/>
          <w:lang w:eastAsia="zh-CN"/>
        </w:rPr>
      </w:pPr>
      <w:r w:rsidRPr="001A44E5">
        <w:rPr>
          <w:bCs/>
          <w:i/>
          <w:iCs/>
          <w:sz w:val="20"/>
          <w:szCs w:val="20"/>
          <w:lang w:eastAsia="zh-CN"/>
        </w:rPr>
        <w:t>For PRS bandwidth aggregation, a common numerology is required across all intra-band contiguous PFLs to be aggregated.</w:t>
      </w:r>
    </w:p>
    <w:p w14:paraId="7081DBC3" w14:textId="77777777" w:rsidR="003C118C" w:rsidRPr="001A44E5" w:rsidRDefault="003C118C" w:rsidP="003C118C">
      <w:pPr>
        <w:pStyle w:val="af2"/>
        <w:numPr>
          <w:ilvl w:val="1"/>
          <w:numId w:val="39"/>
        </w:numPr>
        <w:autoSpaceDE/>
        <w:autoSpaceDN/>
        <w:adjustRightInd/>
        <w:snapToGrid/>
        <w:spacing w:after="180"/>
        <w:ind w:firstLineChars="0"/>
        <w:contextualSpacing/>
        <w:jc w:val="left"/>
        <w:rPr>
          <w:bCs/>
          <w:i/>
          <w:iCs/>
          <w:sz w:val="20"/>
          <w:szCs w:val="20"/>
          <w:lang w:eastAsia="zh-CN"/>
        </w:rPr>
      </w:pPr>
      <w:r w:rsidRPr="001A44E5">
        <w:rPr>
          <w:bCs/>
          <w:i/>
          <w:iCs/>
          <w:sz w:val="20"/>
          <w:szCs w:val="20"/>
          <w:lang w:eastAsia="zh-CN"/>
        </w:rPr>
        <w:t>For SRS bandwidth aggregation, a common numerology is required across all intra-band contiguous PFLs to be aggregated.</w:t>
      </w:r>
    </w:p>
    <w:p w14:paraId="40D8B35D" w14:textId="77777777" w:rsidR="003C118C" w:rsidRPr="001A44E5" w:rsidRDefault="003C118C" w:rsidP="003C118C">
      <w:pPr>
        <w:pStyle w:val="af2"/>
        <w:widowControl w:val="0"/>
        <w:numPr>
          <w:ilvl w:val="0"/>
          <w:numId w:val="39"/>
        </w:numPr>
        <w:autoSpaceDE/>
        <w:autoSpaceDN/>
        <w:adjustRightInd/>
        <w:snapToGrid/>
        <w:spacing w:after="0"/>
        <w:ind w:firstLineChars="0"/>
        <w:rPr>
          <w:i/>
          <w:iCs/>
          <w:sz w:val="20"/>
          <w:szCs w:val="20"/>
          <w:lang w:val="en-GB"/>
        </w:rPr>
      </w:pPr>
      <w:r w:rsidRPr="001A44E5">
        <w:rPr>
          <w:i/>
          <w:iCs/>
          <w:sz w:val="20"/>
          <w:szCs w:val="20"/>
        </w:rPr>
        <w:t>Regarding PRS and SRS BWs of PFLs</w:t>
      </w:r>
    </w:p>
    <w:p w14:paraId="5465C370" w14:textId="77777777" w:rsidR="003C118C" w:rsidRPr="001A44E5" w:rsidRDefault="003C118C" w:rsidP="003C118C">
      <w:pPr>
        <w:pStyle w:val="af2"/>
        <w:numPr>
          <w:ilvl w:val="1"/>
          <w:numId w:val="39"/>
        </w:numPr>
        <w:autoSpaceDE/>
        <w:autoSpaceDN/>
        <w:adjustRightInd/>
        <w:snapToGrid/>
        <w:ind w:firstLineChars="0"/>
        <w:contextualSpacing/>
        <w:jc w:val="left"/>
        <w:rPr>
          <w:bCs/>
          <w:i/>
          <w:iCs/>
          <w:sz w:val="20"/>
          <w:szCs w:val="20"/>
          <w:lang w:eastAsia="zh-CN"/>
        </w:rPr>
      </w:pPr>
      <w:r w:rsidRPr="001A44E5">
        <w:rPr>
          <w:bCs/>
          <w:i/>
          <w:iCs/>
          <w:sz w:val="20"/>
          <w:szCs w:val="20"/>
          <w:lang w:eastAsia="zh-CN"/>
        </w:rPr>
        <w:t>PRS resources to be aggregated for MC positioning measurements from different PFLs can have different bandwidths (</w:t>
      </w:r>
      <w:proofErr w:type="gramStart"/>
      <w:r w:rsidRPr="001A44E5">
        <w:rPr>
          <w:bCs/>
          <w:i/>
          <w:iCs/>
          <w:sz w:val="20"/>
          <w:szCs w:val="20"/>
          <w:lang w:eastAsia="zh-CN"/>
        </w:rPr>
        <w:t>i.e.</w:t>
      </w:r>
      <w:proofErr w:type="gramEnd"/>
      <w:r w:rsidRPr="001A44E5">
        <w:rPr>
          <w:bCs/>
          <w:i/>
          <w:iCs/>
          <w:sz w:val="20"/>
          <w:szCs w:val="20"/>
          <w:lang w:eastAsia="zh-CN"/>
        </w:rPr>
        <w:t xml:space="preserve"> different number of PRS RBs).</w:t>
      </w:r>
    </w:p>
    <w:p w14:paraId="5F07728E" w14:textId="77777777" w:rsidR="003C118C" w:rsidRPr="001A44E5" w:rsidRDefault="003C118C" w:rsidP="003C118C">
      <w:pPr>
        <w:pStyle w:val="af2"/>
        <w:numPr>
          <w:ilvl w:val="1"/>
          <w:numId w:val="39"/>
        </w:numPr>
        <w:autoSpaceDE/>
        <w:autoSpaceDN/>
        <w:adjustRightInd/>
        <w:snapToGrid/>
        <w:spacing w:after="180"/>
        <w:ind w:firstLineChars="0"/>
        <w:contextualSpacing/>
        <w:jc w:val="left"/>
        <w:rPr>
          <w:bCs/>
          <w:i/>
          <w:iCs/>
          <w:sz w:val="20"/>
          <w:szCs w:val="20"/>
          <w:lang w:eastAsia="zh-CN"/>
        </w:rPr>
      </w:pPr>
      <w:r w:rsidRPr="001A44E5">
        <w:rPr>
          <w:bCs/>
          <w:i/>
          <w:iCs/>
          <w:sz w:val="20"/>
          <w:szCs w:val="20"/>
          <w:lang w:eastAsia="zh-CN"/>
        </w:rPr>
        <w:t>SRS resources to be aggregated for MC positioning measurements from different PFLs can have different bandwidths (</w:t>
      </w:r>
      <w:proofErr w:type="gramStart"/>
      <w:r w:rsidRPr="001A44E5">
        <w:rPr>
          <w:bCs/>
          <w:i/>
          <w:iCs/>
          <w:sz w:val="20"/>
          <w:szCs w:val="20"/>
          <w:lang w:eastAsia="zh-CN"/>
        </w:rPr>
        <w:t>i.e.</w:t>
      </w:r>
      <w:proofErr w:type="gramEnd"/>
      <w:r w:rsidRPr="001A44E5">
        <w:rPr>
          <w:bCs/>
          <w:i/>
          <w:iCs/>
          <w:sz w:val="20"/>
          <w:szCs w:val="20"/>
          <w:lang w:eastAsia="zh-CN"/>
        </w:rPr>
        <w:t xml:space="preserve"> different number of SRS RBs).</w:t>
      </w:r>
    </w:p>
    <w:p w14:paraId="3BC2ADBE" w14:textId="77777777" w:rsidR="003C118C" w:rsidRPr="001A44E5" w:rsidRDefault="003C118C" w:rsidP="003C118C">
      <w:pPr>
        <w:pStyle w:val="af2"/>
        <w:numPr>
          <w:ilvl w:val="0"/>
          <w:numId w:val="39"/>
        </w:numPr>
        <w:autoSpaceDE/>
        <w:autoSpaceDN/>
        <w:adjustRightInd/>
        <w:snapToGrid/>
        <w:spacing w:after="180"/>
        <w:ind w:firstLineChars="0"/>
        <w:contextualSpacing/>
        <w:jc w:val="left"/>
        <w:rPr>
          <w:bCs/>
          <w:i/>
          <w:iCs/>
          <w:sz w:val="20"/>
          <w:szCs w:val="20"/>
          <w:lang w:eastAsia="zh-CN"/>
        </w:rPr>
      </w:pPr>
      <w:r w:rsidRPr="001A44E5">
        <w:rPr>
          <w:bCs/>
          <w:i/>
          <w:iCs/>
          <w:sz w:val="20"/>
          <w:szCs w:val="20"/>
          <w:lang w:eastAsia="zh-CN"/>
        </w:rPr>
        <w:t>Regarding proximity of PFLs in frequency and time domains</w:t>
      </w:r>
    </w:p>
    <w:p w14:paraId="36902B0A" w14:textId="77777777" w:rsidR="003C118C" w:rsidRPr="001A44E5" w:rsidRDefault="003C118C" w:rsidP="003C118C">
      <w:pPr>
        <w:pStyle w:val="af2"/>
        <w:numPr>
          <w:ilvl w:val="1"/>
          <w:numId w:val="39"/>
        </w:numPr>
        <w:autoSpaceDE/>
        <w:autoSpaceDN/>
        <w:adjustRightInd/>
        <w:snapToGrid/>
        <w:spacing w:before="120" w:after="0"/>
        <w:ind w:firstLineChars="0"/>
        <w:contextualSpacing/>
        <w:jc w:val="left"/>
        <w:rPr>
          <w:bCs/>
          <w:i/>
          <w:iCs/>
          <w:sz w:val="20"/>
          <w:szCs w:val="20"/>
          <w:lang w:eastAsia="zh-CN"/>
        </w:rPr>
      </w:pPr>
      <w:r w:rsidRPr="001A44E5">
        <w:rPr>
          <w:bCs/>
          <w:i/>
          <w:iCs/>
          <w:sz w:val="20"/>
          <w:szCs w:val="20"/>
          <w:lang w:eastAsia="zh-CN"/>
        </w:rPr>
        <w:t>PRS resources from different PFLs to be aggregated are transmitted in the same slot and in the same symbols</w:t>
      </w:r>
    </w:p>
    <w:p w14:paraId="53CFF061" w14:textId="77777777" w:rsidR="003C118C" w:rsidRPr="001A44E5" w:rsidRDefault="003C118C" w:rsidP="003C118C">
      <w:pPr>
        <w:pStyle w:val="af2"/>
        <w:numPr>
          <w:ilvl w:val="1"/>
          <w:numId w:val="39"/>
        </w:numPr>
        <w:autoSpaceDE/>
        <w:autoSpaceDN/>
        <w:adjustRightInd/>
        <w:snapToGrid/>
        <w:spacing w:before="120" w:after="0"/>
        <w:ind w:firstLineChars="0"/>
        <w:contextualSpacing/>
        <w:jc w:val="left"/>
        <w:rPr>
          <w:bCs/>
          <w:i/>
          <w:iCs/>
          <w:sz w:val="20"/>
          <w:szCs w:val="20"/>
          <w:lang w:eastAsia="zh-CN"/>
        </w:rPr>
      </w:pPr>
      <w:r w:rsidRPr="001A44E5">
        <w:rPr>
          <w:bCs/>
          <w:i/>
          <w:iCs/>
          <w:sz w:val="20"/>
          <w:szCs w:val="20"/>
          <w:lang w:eastAsia="zh-CN"/>
        </w:rPr>
        <w:t>SRS resources in different carriers to be aggregated are transmitted in the same slot and in the same symbols</w:t>
      </w:r>
    </w:p>
    <w:p w14:paraId="6B459998" w14:textId="77777777" w:rsidR="003C118C" w:rsidRPr="001A44E5" w:rsidRDefault="003C118C" w:rsidP="003C118C">
      <w:pPr>
        <w:pStyle w:val="af2"/>
        <w:numPr>
          <w:ilvl w:val="0"/>
          <w:numId w:val="39"/>
        </w:numPr>
        <w:autoSpaceDE/>
        <w:autoSpaceDN/>
        <w:adjustRightInd/>
        <w:snapToGrid/>
        <w:spacing w:after="180"/>
        <w:ind w:firstLineChars="0"/>
        <w:contextualSpacing/>
        <w:jc w:val="left"/>
        <w:rPr>
          <w:bCs/>
          <w:i/>
          <w:iCs/>
          <w:sz w:val="20"/>
          <w:szCs w:val="20"/>
          <w:lang w:eastAsia="zh-CN"/>
        </w:rPr>
      </w:pPr>
      <w:r w:rsidRPr="001A44E5">
        <w:rPr>
          <w:bCs/>
          <w:i/>
          <w:iCs/>
          <w:sz w:val="20"/>
          <w:szCs w:val="20"/>
          <w:lang w:eastAsia="zh-CN"/>
        </w:rPr>
        <w:t>Regarding Co-location of carriers</w:t>
      </w:r>
    </w:p>
    <w:p w14:paraId="68224CAF" w14:textId="77777777" w:rsidR="003C118C" w:rsidRPr="001A44E5" w:rsidRDefault="003C118C" w:rsidP="003C118C">
      <w:pPr>
        <w:pStyle w:val="af2"/>
        <w:numPr>
          <w:ilvl w:val="1"/>
          <w:numId w:val="39"/>
        </w:numPr>
        <w:autoSpaceDE/>
        <w:autoSpaceDN/>
        <w:adjustRightInd/>
        <w:snapToGrid/>
        <w:ind w:firstLineChars="0"/>
        <w:contextualSpacing/>
        <w:jc w:val="left"/>
        <w:rPr>
          <w:i/>
          <w:iCs/>
          <w:sz w:val="20"/>
          <w:szCs w:val="20"/>
        </w:rPr>
      </w:pPr>
      <w:r w:rsidRPr="001A44E5">
        <w:rPr>
          <w:i/>
          <w:iCs/>
          <w:sz w:val="20"/>
          <w:szCs w:val="20"/>
        </w:rPr>
        <w:t>Focus on same TRP and de-prioritize collocated TRPs for PRS/SRS CA.</w:t>
      </w:r>
    </w:p>
    <w:p w14:paraId="06E4C825" w14:textId="77777777" w:rsidR="003C118C" w:rsidRPr="001A44E5" w:rsidRDefault="003C118C" w:rsidP="003C118C">
      <w:pPr>
        <w:pStyle w:val="af2"/>
        <w:numPr>
          <w:ilvl w:val="2"/>
          <w:numId w:val="39"/>
        </w:numPr>
        <w:autoSpaceDE/>
        <w:autoSpaceDN/>
        <w:adjustRightInd/>
        <w:snapToGrid/>
        <w:ind w:firstLineChars="0"/>
        <w:contextualSpacing/>
        <w:jc w:val="left"/>
        <w:rPr>
          <w:i/>
          <w:iCs/>
          <w:sz w:val="20"/>
          <w:szCs w:val="20"/>
        </w:rPr>
      </w:pPr>
      <w:r w:rsidRPr="001A44E5">
        <w:rPr>
          <w:i/>
          <w:iCs/>
          <w:sz w:val="20"/>
          <w:szCs w:val="20"/>
        </w:rPr>
        <w:t>PRS resources from different PFLs to be aggregated are transmitted by the same TRP and associated with a common Antenna Reference Point (ARP)</w:t>
      </w:r>
    </w:p>
    <w:p w14:paraId="11DEDC81" w14:textId="77777777" w:rsidR="003C118C" w:rsidRPr="001A44E5" w:rsidRDefault="003C118C" w:rsidP="003C118C">
      <w:pPr>
        <w:pStyle w:val="af2"/>
        <w:numPr>
          <w:ilvl w:val="0"/>
          <w:numId w:val="39"/>
        </w:numPr>
        <w:autoSpaceDE/>
        <w:autoSpaceDN/>
        <w:adjustRightInd/>
        <w:snapToGrid/>
        <w:spacing w:after="180"/>
        <w:ind w:firstLineChars="0"/>
        <w:contextualSpacing/>
        <w:jc w:val="left"/>
        <w:rPr>
          <w:bCs/>
          <w:i/>
          <w:iCs/>
          <w:sz w:val="20"/>
          <w:szCs w:val="20"/>
          <w:lang w:eastAsia="zh-CN"/>
        </w:rPr>
      </w:pPr>
      <w:r w:rsidRPr="001A44E5">
        <w:rPr>
          <w:bCs/>
          <w:i/>
          <w:iCs/>
          <w:sz w:val="20"/>
          <w:szCs w:val="20"/>
          <w:lang w:eastAsia="zh-CN"/>
        </w:rPr>
        <w:t>Regarding Activation/deactivation of PFLs</w:t>
      </w:r>
    </w:p>
    <w:p w14:paraId="2DBE0905" w14:textId="77777777" w:rsidR="003C118C" w:rsidRPr="001A44E5" w:rsidRDefault="003C118C" w:rsidP="003C118C">
      <w:pPr>
        <w:pStyle w:val="af2"/>
        <w:numPr>
          <w:ilvl w:val="1"/>
          <w:numId w:val="39"/>
        </w:numPr>
        <w:autoSpaceDE/>
        <w:autoSpaceDN/>
        <w:adjustRightInd/>
        <w:snapToGrid/>
        <w:spacing w:after="0"/>
        <w:ind w:firstLineChars="0"/>
        <w:contextualSpacing/>
        <w:jc w:val="left"/>
        <w:rPr>
          <w:i/>
          <w:iCs/>
          <w:sz w:val="20"/>
          <w:szCs w:val="20"/>
          <w:lang w:eastAsia="zh-CN"/>
        </w:rPr>
      </w:pPr>
      <w:r w:rsidRPr="001A44E5">
        <w:rPr>
          <w:i/>
          <w:iCs/>
          <w:sz w:val="20"/>
          <w:szCs w:val="20"/>
          <w:lang w:eastAsia="zh-CN"/>
        </w:rPr>
        <w:lastRenderedPageBreak/>
        <w:t>Discuss whether MC positioning measurements can be performed on the activated or deactivated CC’s or on non-serving carriers during the WI phase.</w:t>
      </w:r>
    </w:p>
    <w:p w14:paraId="2AA0808E" w14:textId="74790068" w:rsidR="003C118C" w:rsidRDefault="003C118C" w:rsidP="003C118C">
      <w:pPr>
        <w:rPr>
          <w:lang w:val="en-GB"/>
        </w:rPr>
      </w:pPr>
    </w:p>
    <w:p w14:paraId="1B2ECC62" w14:textId="77777777" w:rsidR="002143B4" w:rsidRDefault="00ED13C4" w:rsidP="003C118C">
      <w:pPr>
        <w:rPr>
          <w:lang w:val="en-GB" w:eastAsia="zh-CN"/>
        </w:rPr>
      </w:pPr>
      <w:r>
        <w:rPr>
          <w:lang w:val="en-GB" w:eastAsia="zh-CN"/>
        </w:rPr>
        <w:t>Based on the above agreements, we can find that the common numerology and same time domain resource is required across all intra-band contiguous PFLs to be aggregated for PRS/SRS bandwidth aggregation. But according to the legacy PRS/SRS, for some value of symbol</w:t>
      </w:r>
      <w:r w:rsidR="00943C20">
        <w:rPr>
          <w:lang w:val="en-GB" w:eastAsia="zh-CN"/>
        </w:rPr>
        <w:t xml:space="preserve"> numbers</w:t>
      </w:r>
      <w:r>
        <w:rPr>
          <w:lang w:val="en-GB" w:eastAsia="zh-CN"/>
        </w:rPr>
        <w:t xml:space="preserve"> for PRS/SRS, more than one comb size can be supported.</w:t>
      </w:r>
      <w:r w:rsidR="007F11A3">
        <w:rPr>
          <w:lang w:val="en-GB" w:eastAsia="zh-CN"/>
        </w:rPr>
        <w:t xml:space="preserve"> For </w:t>
      </w:r>
      <w:proofErr w:type="gramStart"/>
      <w:r w:rsidR="007F11A3">
        <w:rPr>
          <w:lang w:val="en-GB" w:eastAsia="zh-CN"/>
        </w:rPr>
        <w:t>example</w:t>
      </w:r>
      <w:proofErr w:type="gramEnd"/>
      <w:r w:rsidR="007F11A3">
        <w:rPr>
          <w:lang w:val="en-GB" w:eastAsia="zh-CN"/>
        </w:rPr>
        <w:t xml:space="preserve"> for PRS, </w:t>
      </w:r>
      <w:r w:rsidR="00943C20">
        <w:rPr>
          <w:lang w:val="en-GB" w:eastAsia="zh-CN"/>
        </w:rPr>
        <w:t xml:space="preserve">when PRS is configured with 4/6/12 symbols, there are more than one comb size. </w:t>
      </w:r>
      <w:proofErr w:type="gramStart"/>
      <w:r w:rsidR="00943C20">
        <w:rPr>
          <w:lang w:val="en-GB" w:eastAsia="zh-CN"/>
        </w:rPr>
        <w:t>Also</w:t>
      </w:r>
      <w:proofErr w:type="gramEnd"/>
      <w:r w:rsidR="00943C20">
        <w:rPr>
          <w:lang w:val="en-GB" w:eastAsia="zh-CN"/>
        </w:rPr>
        <w:t xml:space="preserve"> when SRS is configured with 2/4/8/12 symbols, there are also more than one comb size.</w:t>
      </w:r>
      <w:r w:rsidR="002143B4">
        <w:rPr>
          <w:lang w:val="en-GB" w:eastAsia="zh-CN"/>
        </w:rPr>
        <w:t xml:space="preserve"> In RAN4, only same time domain resource is required. But for comb size in different bandwidth, whether it should be same or not needs to be discussed.</w:t>
      </w:r>
    </w:p>
    <w:p w14:paraId="61119A07" w14:textId="20626B62" w:rsidR="00ED13C4" w:rsidRDefault="008A034B" w:rsidP="003C118C">
      <w:pPr>
        <w:rPr>
          <w:lang w:val="en-GB" w:eastAsia="zh-CN"/>
        </w:rPr>
      </w:pPr>
      <w:r>
        <w:rPr>
          <w:lang w:val="en-GB" w:eastAsia="zh-CN"/>
        </w:rPr>
        <w:t>Of course, if the comb size is same across all aggregated bandwidth, it will be simple for UE implementation</w:t>
      </w:r>
      <w:r w:rsidR="00696393">
        <w:rPr>
          <w:lang w:val="en-GB" w:eastAsia="zh-CN"/>
        </w:rPr>
        <w:t xml:space="preserve"> and will introduce higher accuracy improvement for positioning.</w:t>
      </w:r>
      <w:r w:rsidR="00304119">
        <w:rPr>
          <w:lang w:val="en-GB" w:eastAsia="zh-CN"/>
        </w:rPr>
        <w:t xml:space="preserve"> As well as the comb offset, we prefer common comb offset across all aggregated bandwidth.</w:t>
      </w:r>
    </w:p>
    <w:p w14:paraId="730D6780" w14:textId="6B3D29FC" w:rsidR="004300D4" w:rsidRDefault="004300D4" w:rsidP="004300D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Support a common comb size and comb offset for PRS/SRS across all aggregated bandwidth.</w:t>
      </w:r>
    </w:p>
    <w:p w14:paraId="2480AB73" w14:textId="7021EF77" w:rsidR="005D1A77" w:rsidRDefault="005D1A77" w:rsidP="004300D4">
      <w:pPr>
        <w:pStyle w:val="3GPPAgreements"/>
        <w:numPr>
          <w:ilvl w:val="0"/>
          <w:numId w:val="0"/>
        </w:numPr>
        <w:overflowPunct/>
        <w:snapToGrid w:val="0"/>
        <w:spacing w:before="0" w:after="120" w:line="259" w:lineRule="auto"/>
        <w:textAlignment w:val="auto"/>
        <w:rPr>
          <w:rFonts w:eastAsiaTheme="minorEastAsia"/>
          <w:szCs w:val="22"/>
          <w:lang w:val="en-GB"/>
        </w:rPr>
      </w:pPr>
      <w:r w:rsidRPr="005D1A77">
        <w:rPr>
          <w:rFonts w:eastAsiaTheme="minorEastAsia"/>
          <w:szCs w:val="22"/>
          <w:lang w:val="en-GB"/>
        </w:rPr>
        <w:t>For PRS measurement, both measurement gap and PRS processing window can be configured in legacy system.</w:t>
      </w:r>
      <w:r w:rsidR="00005497">
        <w:rPr>
          <w:rFonts w:eastAsiaTheme="minorEastAsia"/>
          <w:szCs w:val="22"/>
          <w:lang w:val="en-GB"/>
        </w:rPr>
        <w:t xml:space="preserve"> For measurement gap, it is configured per UE and only one CC can be measured in each time instance of measurement gap. But for PRS transmitted by bandwidth aggregation, </w:t>
      </w:r>
      <w:r w:rsidR="007C0CEB">
        <w:rPr>
          <w:rFonts w:eastAsiaTheme="minorEastAsia"/>
          <w:szCs w:val="22"/>
          <w:lang w:val="en-GB"/>
        </w:rPr>
        <w:t>it requires UE to measure PRS across all aggregated CCs/</w:t>
      </w:r>
      <w:r w:rsidR="007C0CEB">
        <w:rPr>
          <w:rFonts w:eastAsiaTheme="minorEastAsia" w:hint="eastAsia"/>
          <w:szCs w:val="22"/>
          <w:lang w:val="en-GB"/>
        </w:rPr>
        <w:t>PFLs</w:t>
      </w:r>
      <w:r w:rsidR="007C0CEB">
        <w:rPr>
          <w:rFonts w:eastAsiaTheme="minorEastAsia"/>
          <w:szCs w:val="22"/>
          <w:lang w:val="en-GB"/>
        </w:rPr>
        <w:t>.</w:t>
      </w:r>
    </w:p>
    <w:p w14:paraId="47A2B007" w14:textId="69845394" w:rsidR="007C0CEB" w:rsidRDefault="007C0CEB" w:rsidP="007C0CE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Support to measure PRS across all aggregated CCs/PFLs in one time instance of measurement gap</w:t>
      </w:r>
      <w:r w:rsidR="00995CD0">
        <w:rPr>
          <w:rFonts w:hint="eastAsia"/>
          <w:b/>
          <w:bCs/>
          <w:i/>
        </w:rPr>
        <w:t>/</w:t>
      </w:r>
      <w:r w:rsidR="00995CD0">
        <w:rPr>
          <w:b/>
          <w:bCs/>
          <w:i/>
        </w:rPr>
        <w:t>PPW</w:t>
      </w:r>
      <w:r>
        <w:rPr>
          <w:b/>
          <w:bCs/>
          <w:i/>
        </w:rPr>
        <w:t>.</w:t>
      </w:r>
    </w:p>
    <w:p w14:paraId="43EE5683" w14:textId="0D87D78B" w:rsidR="007C0CEB" w:rsidRPr="007C0CEB" w:rsidRDefault="007C0CEB" w:rsidP="007C0CEB">
      <w:pPr>
        <w:pStyle w:val="3GPPAgreements"/>
        <w:numPr>
          <w:ilvl w:val="0"/>
          <w:numId w:val="0"/>
        </w:numPr>
        <w:overflowPunct/>
        <w:snapToGrid w:val="0"/>
        <w:spacing w:before="0" w:after="120" w:line="259" w:lineRule="auto"/>
        <w:textAlignment w:val="auto"/>
        <w:rPr>
          <w:rFonts w:eastAsiaTheme="minorEastAsia"/>
          <w:szCs w:val="22"/>
          <w:lang w:val="en-GB"/>
        </w:rPr>
      </w:pPr>
      <w:r w:rsidRPr="007C0CEB">
        <w:rPr>
          <w:rFonts w:eastAsiaTheme="minorEastAsia"/>
          <w:szCs w:val="22"/>
          <w:lang w:val="en-GB"/>
        </w:rPr>
        <w:t xml:space="preserve">As well as PRS processing window, </w:t>
      </w:r>
      <w:r>
        <w:rPr>
          <w:rFonts w:eastAsiaTheme="minorEastAsia"/>
          <w:szCs w:val="22"/>
          <w:lang w:val="en-GB"/>
        </w:rPr>
        <w:t>in order to measure PRS across all aggregated CCs/</w:t>
      </w:r>
      <w:r>
        <w:rPr>
          <w:rFonts w:eastAsiaTheme="minorEastAsia" w:hint="eastAsia"/>
          <w:szCs w:val="22"/>
          <w:lang w:val="en-GB"/>
        </w:rPr>
        <w:t>PFLs</w:t>
      </w:r>
      <w:r>
        <w:rPr>
          <w:rFonts w:eastAsiaTheme="minorEastAsia"/>
          <w:szCs w:val="22"/>
          <w:lang w:val="en-GB"/>
        </w:rPr>
        <w:t xml:space="preserve"> in one PRS processing window, it is necessary to make sure that a common PRS processing window is configured across all aggregated CCs/PFLs. But as we all know, the PRS processing window is configured per BWP per CC in legacy system. In order to make sure a common PRS processing window across all aggregated CCs/PFLs, for RRC configuration, </w:t>
      </w:r>
      <w:proofErr w:type="spellStart"/>
      <w:r>
        <w:rPr>
          <w:rFonts w:eastAsiaTheme="minorEastAsia"/>
          <w:szCs w:val="22"/>
          <w:lang w:val="en-GB"/>
        </w:rPr>
        <w:t>gNB</w:t>
      </w:r>
      <w:proofErr w:type="spellEnd"/>
      <w:r>
        <w:rPr>
          <w:rFonts w:eastAsiaTheme="minorEastAsia"/>
          <w:szCs w:val="22"/>
          <w:lang w:val="en-GB"/>
        </w:rPr>
        <w:t xml:space="preserve"> implementation can support. In addition, the PRS processing window is activated per BWP per CC in legacy system too. </w:t>
      </w:r>
      <w:proofErr w:type="gramStart"/>
      <w:r>
        <w:rPr>
          <w:rFonts w:eastAsiaTheme="minorEastAsia"/>
          <w:szCs w:val="22"/>
          <w:lang w:val="en-GB"/>
        </w:rPr>
        <w:t>Thus</w:t>
      </w:r>
      <w:proofErr w:type="gramEnd"/>
      <w:r>
        <w:rPr>
          <w:rFonts w:eastAsiaTheme="minorEastAsia"/>
          <w:szCs w:val="22"/>
          <w:lang w:val="en-GB"/>
        </w:rPr>
        <w:t xml:space="preserve"> for bandwidth aggregation, multiple MAC CE will be needed to activate PRS processing window for aggregated CCs/PFLs and a common PRS processing window is activated. Which will introduce high MAC CE signalling overhead. </w:t>
      </w:r>
      <w:r w:rsidR="00B7699E">
        <w:rPr>
          <w:rFonts w:eastAsiaTheme="minorEastAsia"/>
          <w:szCs w:val="22"/>
          <w:lang w:val="en-GB"/>
        </w:rPr>
        <w:t xml:space="preserve">In order to reduce the MAC CE </w:t>
      </w:r>
      <w:proofErr w:type="spellStart"/>
      <w:r w:rsidR="00B7699E">
        <w:rPr>
          <w:rFonts w:eastAsiaTheme="minorEastAsia"/>
          <w:szCs w:val="22"/>
          <w:lang w:val="en-GB"/>
        </w:rPr>
        <w:t>signlaing</w:t>
      </w:r>
      <w:proofErr w:type="spellEnd"/>
      <w:r w:rsidR="00B7699E">
        <w:rPr>
          <w:rFonts w:eastAsiaTheme="minorEastAsia"/>
          <w:szCs w:val="22"/>
          <w:lang w:val="en-GB"/>
        </w:rPr>
        <w:t xml:space="preserve"> overhead, it is better to enhance the MAC CE for activation of PRS processing window for aggregated CCs/PFLs. For example, one MAC CE can be applied for </w:t>
      </w:r>
      <w:r w:rsidR="00A9184B">
        <w:rPr>
          <w:rFonts w:eastAsiaTheme="minorEastAsia"/>
          <w:szCs w:val="22"/>
          <w:lang w:val="en-GB"/>
        </w:rPr>
        <w:t>all aggregated CCs/PFLs and the activated PRS processing window is same across all aggregated CCs/PFLs by same PRS processing window ID configured by RRC.</w:t>
      </w:r>
      <w:r>
        <w:rPr>
          <w:rFonts w:eastAsiaTheme="minorEastAsia"/>
          <w:szCs w:val="22"/>
          <w:lang w:val="en-GB"/>
        </w:rPr>
        <w:t xml:space="preserve">  </w:t>
      </w:r>
      <w:r w:rsidR="005760CE">
        <w:rPr>
          <w:rFonts w:eastAsiaTheme="minorEastAsia"/>
          <w:szCs w:val="22"/>
          <w:lang w:val="en-GB"/>
        </w:rPr>
        <w:t>In this case, the type and the priority in PRS processing window on each CC/PFL are also same to each other.</w:t>
      </w:r>
    </w:p>
    <w:p w14:paraId="0D3D8E4B" w14:textId="4ED7D0B2" w:rsidR="007C0CEB" w:rsidRPr="00A9184B" w:rsidRDefault="00A9184B" w:rsidP="004300D4">
      <w:pPr>
        <w:pStyle w:val="3GPPAgreements"/>
        <w:numPr>
          <w:ilvl w:val="0"/>
          <w:numId w:val="0"/>
        </w:numPr>
        <w:overflowPunct/>
        <w:snapToGrid w:val="0"/>
        <w:spacing w:before="0" w:after="120" w:line="259" w:lineRule="auto"/>
        <w:textAlignment w:val="auto"/>
        <w:rPr>
          <w:rFonts w:eastAsiaTheme="minorEastAsia"/>
          <w:szCs w:val="22"/>
        </w:rPr>
      </w:pPr>
      <w:r w:rsidRPr="004B0B62">
        <w:rPr>
          <w:b/>
          <w:bCs/>
          <w:i/>
        </w:rPr>
        <w:t xml:space="preserve">Proposal </w:t>
      </w:r>
      <w:r>
        <w:rPr>
          <w:b/>
          <w:bCs/>
          <w:i/>
        </w:rPr>
        <w:t>3</w:t>
      </w:r>
      <w:r w:rsidRPr="004B0B62">
        <w:rPr>
          <w:b/>
          <w:bCs/>
          <w:i/>
        </w:rPr>
        <w:t xml:space="preserve">: </w:t>
      </w:r>
      <w:r>
        <w:rPr>
          <w:b/>
          <w:bCs/>
          <w:i/>
        </w:rPr>
        <w:t>Support to enhance MAC CE for activation of a common PRS processing window ID for all aggregated CCs/PFLs.</w:t>
      </w:r>
    </w:p>
    <w:p w14:paraId="535C4976" w14:textId="0DA0EED8" w:rsidR="001759C2" w:rsidRDefault="00F46866" w:rsidP="003D030A">
      <w:pPr>
        <w:pStyle w:val="1"/>
        <w:rPr>
          <w:lang w:eastAsia="zh-CN"/>
        </w:rPr>
      </w:pPr>
      <w:r>
        <w:rPr>
          <w:szCs w:val="20"/>
        </w:rPr>
        <w:t>Conclusion</w:t>
      </w:r>
    </w:p>
    <w:p w14:paraId="3CB3146D" w14:textId="35A39A66"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5760CE">
        <w:rPr>
          <w:bCs/>
        </w:rPr>
        <w:t>bandwidth aggregation for positioning</w:t>
      </w:r>
      <w:r w:rsidR="00F0096C" w:rsidRPr="00F257A4">
        <w:rPr>
          <w:bCs/>
        </w:rPr>
        <w:t xml:space="preserv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15EF185B" w14:textId="77777777" w:rsidR="005760CE" w:rsidRDefault="005760CE" w:rsidP="005760CE">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Support a common comb size and comb offset for PRS/SRS across all aggregated bandwidth.</w:t>
      </w:r>
    </w:p>
    <w:p w14:paraId="03BA1A7F" w14:textId="6BCF90B9" w:rsidR="005760CE" w:rsidRDefault="005760CE" w:rsidP="005760CE">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Support to measure PRS across all aggregated CCs/PFLs in one time instance of measurement gap</w:t>
      </w:r>
      <w:r w:rsidR="00B11C82">
        <w:rPr>
          <w:b/>
          <w:bCs/>
          <w:i/>
        </w:rPr>
        <w:t>/PPW</w:t>
      </w:r>
      <w:r>
        <w:rPr>
          <w:b/>
          <w:bCs/>
          <w:i/>
        </w:rPr>
        <w:t>.</w:t>
      </w:r>
    </w:p>
    <w:p w14:paraId="40DAB830" w14:textId="10EF2A97" w:rsidR="00510095" w:rsidRPr="005760CE" w:rsidRDefault="005760CE" w:rsidP="00510095">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3</w:t>
      </w:r>
      <w:r w:rsidRPr="004B0B62">
        <w:rPr>
          <w:b/>
          <w:bCs/>
          <w:i/>
        </w:rPr>
        <w:t xml:space="preserve">: </w:t>
      </w:r>
      <w:r>
        <w:rPr>
          <w:b/>
          <w:bCs/>
          <w:i/>
        </w:rPr>
        <w:t>To enhance MAC CE for activation of a common PRS processing window ID for all aggregated CCs/PFLs.</w:t>
      </w:r>
    </w:p>
    <w:p w14:paraId="517B3EAC" w14:textId="77777777" w:rsidR="00832ACF" w:rsidRPr="00510095" w:rsidRDefault="00832ACF" w:rsidP="001759C2">
      <w:pPr>
        <w:pBdr>
          <w:bottom w:val="single" w:sz="12" w:space="1" w:color="auto"/>
        </w:pBdr>
        <w:rPr>
          <w:color w:val="000000"/>
          <w:lang w:eastAsia="zh-CN"/>
        </w:rPr>
      </w:pPr>
    </w:p>
    <w:p w14:paraId="4C39E563" w14:textId="77777777" w:rsidR="001759C2" w:rsidRDefault="001759C2" w:rsidP="001759C2">
      <w:pPr>
        <w:pStyle w:val="1"/>
      </w:pPr>
      <w:r>
        <w:lastRenderedPageBreak/>
        <w:t>References</w:t>
      </w:r>
    </w:p>
    <w:p w14:paraId="7E974128" w14:textId="77777777" w:rsidR="00DE79C0" w:rsidRDefault="007429C4" w:rsidP="007429C4">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p>
    <w:p w14:paraId="64E9DAB9" w14:textId="7C37AA90" w:rsidR="00670C10" w:rsidRPr="00DE79C0" w:rsidRDefault="00DE79C0" w:rsidP="007429C4">
      <w:pPr>
        <w:widowControl w:val="0"/>
        <w:numPr>
          <w:ilvl w:val="0"/>
          <w:numId w:val="6"/>
        </w:numPr>
        <w:autoSpaceDE/>
        <w:autoSpaceDN/>
        <w:adjustRightInd/>
        <w:snapToGrid/>
        <w:rPr>
          <w:rFonts w:eastAsia="宋体"/>
          <w:color w:val="000000" w:themeColor="text1"/>
          <w:szCs w:val="21"/>
        </w:rPr>
      </w:pPr>
      <w:r w:rsidRPr="00DE79C0">
        <w:rPr>
          <w:rFonts w:eastAsia="宋体"/>
          <w:color w:val="000000" w:themeColor="text1"/>
          <w:szCs w:val="21"/>
        </w:rPr>
        <w:t xml:space="preserve">3GPP </w:t>
      </w:r>
      <w:bookmarkStart w:id="1" w:name="specType1"/>
      <w:r w:rsidRPr="00DE79C0">
        <w:rPr>
          <w:rFonts w:eastAsia="宋体"/>
          <w:color w:val="000000" w:themeColor="text1"/>
          <w:szCs w:val="21"/>
        </w:rPr>
        <w:t>TR</w:t>
      </w:r>
      <w:bookmarkEnd w:id="1"/>
      <w:r w:rsidRPr="00DE79C0">
        <w:rPr>
          <w:rFonts w:eastAsia="宋体"/>
          <w:color w:val="000000" w:themeColor="text1"/>
          <w:szCs w:val="21"/>
        </w:rPr>
        <w:t xml:space="preserve"> </w:t>
      </w:r>
      <w:bookmarkStart w:id="2" w:name="specNumber"/>
      <w:r w:rsidRPr="00DE79C0">
        <w:rPr>
          <w:rFonts w:eastAsia="宋体"/>
          <w:color w:val="000000" w:themeColor="text1"/>
          <w:szCs w:val="21"/>
        </w:rPr>
        <w:t>38.</w:t>
      </w:r>
      <w:bookmarkEnd w:id="2"/>
      <w:r w:rsidRPr="00DE79C0">
        <w:rPr>
          <w:rFonts w:eastAsia="宋体"/>
          <w:color w:val="000000" w:themeColor="text1"/>
          <w:szCs w:val="21"/>
        </w:rPr>
        <w:t xml:space="preserve">859 </w:t>
      </w:r>
      <w:bookmarkStart w:id="3" w:name="specVersion"/>
      <w:r w:rsidRPr="00DE79C0">
        <w:rPr>
          <w:rFonts w:eastAsia="宋体"/>
          <w:color w:val="000000" w:themeColor="text1"/>
          <w:szCs w:val="21"/>
        </w:rPr>
        <w:t>V18.0.</w:t>
      </w:r>
      <w:bookmarkEnd w:id="3"/>
      <w:r w:rsidRPr="00DE79C0">
        <w:rPr>
          <w:rFonts w:eastAsia="宋体"/>
          <w:color w:val="000000" w:themeColor="text1"/>
          <w:szCs w:val="21"/>
        </w:rPr>
        <w:t>0, Study on expanded and improved NR positioning</w:t>
      </w:r>
    </w:p>
    <w:sectPr w:rsidR="00670C10" w:rsidRPr="00DE79C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5CB59" w14:textId="77777777" w:rsidR="00235661" w:rsidRDefault="00235661">
      <w:r>
        <w:separator/>
      </w:r>
    </w:p>
  </w:endnote>
  <w:endnote w:type="continuationSeparator" w:id="0">
    <w:p w14:paraId="4EDF1211" w14:textId="77777777" w:rsidR="00235661" w:rsidRDefault="0023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7E79F" w14:textId="77777777" w:rsidR="00235661" w:rsidRDefault="00235661">
      <w:r>
        <w:separator/>
      </w:r>
    </w:p>
  </w:footnote>
  <w:footnote w:type="continuationSeparator" w:id="0">
    <w:p w14:paraId="18338209" w14:textId="77777777" w:rsidR="00235661" w:rsidRDefault="00235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21BD9"/>
    <w:multiLevelType w:val="hybridMultilevel"/>
    <w:tmpl w:val="0484A608"/>
    <w:lvl w:ilvl="0" w:tplc="04090001">
      <w:start w:val="1"/>
      <w:numFmt w:val="bullet"/>
      <w:lvlText w:val=""/>
      <w:lvlJc w:val="left"/>
      <w:pPr>
        <w:ind w:left="774" w:hanging="360"/>
      </w:pPr>
      <w:rPr>
        <w:rFonts w:ascii="Symbol" w:hAnsi="Symbol" w:hint="default"/>
      </w:rPr>
    </w:lvl>
    <w:lvl w:ilvl="1" w:tplc="FA62175A">
      <w:start w:val="1"/>
      <w:numFmt w:val="bullet"/>
      <w:lvlText w:val="-"/>
      <w:lvlJc w:val="left"/>
      <w:pPr>
        <w:ind w:left="1494" w:hanging="360"/>
      </w:pPr>
      <w:rPr>
        <w:rFonts w:ascii="Symbol" w:hAnsi="Symbol" w:hint="default"/>
      </w:rPr>
    </w:lvl>
    <w:lvl w:ilvl="2" w:tplc="BFA6C8E2">
      <w:start w:val="1"/>
      <w:numFmt w:val="bullet"/>
      <w:lvlText w:val=""/>
      <w:lvlJc w:val="left"/>
      <w:pPr>
        <w:ind w:left="2214" w:hanging="360"/>
      </w:pPr>
      <w:rPr>
        <w:rFonts w:ascii="Wingdings" w:hAnsi="Wingdings" w:hint="default"/>
      </w:rPr>
    </w:lvl>
    <w:lvl w:ilvl="3" w:tplc="BFA6C8E2">
      <w:start w:val="1"/>
      <w:numFmt w:val="bullet"/>
      <w:lvlText w:val=""/>
      <w:lvlJc w:val="left"/>
      <w:pPr>
        <w:ind w:left="2934" w:hanging="360"/>
      </w:pPr>
      <w:rPr>
        <w:rFonts w:ascii="Wingdings" w:hAnsi="Wingdings"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15:restartNumberingAfterBreak="0">
    <w:nsid w:val="308E6EC3"/>
    <w:multiLevelType w:val="multilevel"/>
    <w:tmpl w:val="0B066914"/>
    <w:lvl w:ilvl="0">
      <w:start w:val="1"/>
      <w:numFmt w:val="bullet"/>
      <w:lvlText w:val=""/>
      <w:lvlJc w:val="left"/>
      <w:pPr>
        <w:tabs>
          <w:tab w:val="num" w:pos="0"/>
        </w:tabs>
        <w:ind w:left="420" w:hanging="420"/>
      </w:pPr>
      <w:rPr>
        <w:rFonts w:ascii="Symbol" w:hAnsi="Symbol" w:hint="default"/>
        <w:color w:val="auto"/>
      </w:rPr>
    </w:lvl>
    <w:lvl w:ilvl="1">
      <w:start w:val="1"/>
      <w:numFmt w:val="bullet"/>
      <w:lvlText w:val="-"/>
      <w:lvlJc w:val="left"/>
      <w:pPr>
        <w:tabs>
          <w:tab w:val="num" w:pos="0"/>
        </w:tabs>
        <w:ind w:left="840" w:hanging="420"/>
      </w:pPr>
      <w:rPr>
        <w:rFonts w:ascii="Symbol" w:hAnsi="Symbo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7E077D"/>
    <w:multiLevelType w:val="hybridMultilevel"/>
    <w:tmpl w:val="D2FE0D0C"/>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8BE47AA"/>
    <w:multiLevelType w:val="hybridMultilevel"/>
    <w:tmpl w:val="7D300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32C81"/>
    <w:multiLevelType w:val="multilevel"/>
    <w:tmpl w:val="4CEC7F16"/>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FB68E1"/>
    <w:multiLevelType w:val="hybridMultilevel"/>
    <w:tmpl w:val="7F5A3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327AC"/>
    <w:multiLevelType w:val="hybridMultilevel"/>
    <w:tmpl w:val="755269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114853"/>
    <w:multiLevelType w:val="multilevel"/>
    <w:tmpl w:val="75D88478"/>
    <w:lvl w:ilvl="0">
      <w:start w:val="1"/>
      <w:numFmt w:val="bullet"/>
      <w:lvlText w:val="-"/>
      <w:lvlJc w:val="left"/>
      <w:pPr>
        <w:tabs>
          <w:tab w:val="num" w:pos="0"/>
        </w:tabs>
        <w:ind w:left="420" w:hanging="420"/>
      </w:pPr>
      <w:rPr>
        <w:rFonts w:ascii="Symbol" w:hAnsi="Symbol"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6"/>
  </w:num>
  <w:num w:numId="3">
    <w:abstractNumId w:val="33"/>
  </w:num>
  <w:num w:numId="4">
    <w:abstractNumId w:val="34"/>
  </w:num>
  <w:num w:numId="5">
    <w:abstractNumId w:val="25"/>
  </w:num>
  <w:num w:numId="6">
    <w:abstractNumId w:val="12"/>
  </w:num>
  <w:num w:numId="7">
    <w:abstractNumId w:val="39"/>
  </w:num>
  <w:num w:numId="8">
    <w:abstractNumId w:val="2"/>
  </w:num>
  <w:num w:numId="9">
    <w:abstractNumId w:val="35"/>
  </w:num>
  <w:num w:numId="10">
    <w:abstractNumId w:val="22"/>
  </w:num>
  <w:num w:numId="11">
    <w:abstractNumId w:val="16"/>
  </w:num>
  <w:num w:numId="12">
    <w:abstractNumId w:val="13"/>
  </w:num>
  <w:num w:numId="13">
    <w:abstractNumId w:val="20"/>
  </w:num>
  <w:num w:numId="14">
    <w:abstractNumId w:val="3"/>
  </w:num>
  <w:num w:numId="15">
    <w:abstractNumId w:val="23"/>
  </w:num>
  <w:num w:numId="16">
    <w:abstractNumId w:val="8"/>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8"/>
  </w:num>
  <w:num w:numId="19">
    <w:abstractNumId w:val="30"/>
  </w:num>
  <w:num w:numId="20">
    <w:abstractNumId w:val="10"/>
  </w:num>
  <w:num w:numId="21">
    <w:abstractNumId w:val="11"/>
  </w:num>
  <w:num w:numId="22">
    <w:abstractNumId w:val="4"/>
  </w:num>
  <w:num w:numId="23">
    <w:abstractNumId w:val="15"/>
  </w:num>
  <w:num w:numId="24">
    <w:abstractNumId w:val="21"/>
  </w:num>
  <w:num w:numId="25">
    <w:abstractNumId w:val="1"/>
  </w:num>
  <w:num w:numId="26">
    <w:abstractNumId w:val="9"/>
  </w:num>
  <w:num w:numId="27">
    <w:abstractNumId w:val="25"/>
  </w:num>
  <w:num w:numId="28">
    <w:abstractNumId w:val="32"/>
  </w:num>
  <w:num w:numId="29">
    <w:abstractNumId w:val="37"/>
  </w:num>
  <w:num w:numId="30">
    <w:abstractNumId w:val="6"/>
  </w:num>
  <w:num w:numId="31">
    <w:abstractNumId w:val="27"/>
  </w:num>
  <w:num w:numId="32">
    <w:abstractNumId w:val="25"/>
  </w:num>
  <w:num w:numId="33">
    <w:abstractNumId w:val="14"/>
  </w:num>
  <w:num w:numId="34">
    <w:abstractNumId w:val="14"/>
  </w:num>
  <w:num w:numId="35">
    <w:abstractNumId w:val="7"/>
  </w:num>
  <w:num w:numId="36">
    <w:abstractNumId w:val="18"/>
  </w:num>
  <w:num w:numId="37">
    <w:abstractNumId w:val="26"/>
  </w:num>
  <w:num w:numId="38">
    <w:abstractNumId w:val="31"/>
  </w:num>
  <w:num w:numId="39">
    <w:abstractNumId w:val="29"/>
  </w:num>
  <w:num w:numId="40">
    <w:abstractNumId w:val="38"/>
  </w:num>
  <w:num w:numId="41">
    <w:abstractNumId w:val="5"/>
  </w:num>
  <w:num w:numId="42">
    <w:abstractNumId w:val="24"/>
  </w:num>
  <w:num w:numId="43">
    <w:abstractNumId w:val="17"/>
  </w:num>
  <w:num w:numId="44">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7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97"/>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35"/>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0AA"/>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BB5"/>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4A1"/>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4E5"/>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2E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1C"/>
    <w:rsid w:val="00202163"/>
    <w:rsid w:val="002027E1"/>
    <w:rsid w:val="0020294D"/>
    <w:rsid w:val="00202D02"/>
    <w:rsid w:val="00203214"/>
    <w:rsid w:val="0020349A"/>
    <w:rsid w:val="002034B4"/>
    <w:rsid w:val="002034E1"/>
    <w:rsid w:val="00203908"/>
    <w:rsid w:val="002039C7"/>
    <w:rsid w:val="0020401F"/>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F8D"/>
    <w:rsid w:val="00214087"/>
    <w:rsid w:val="002140FF"/>
    <w:rsid w:val="0021421D"/>
    <w:rsid w:val="002143B4"/>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988"/>
    <w:rsid w:val="00234ADD"/>
    <w:rsid w:val="00234F8C"/>
    <w:rsid w:val="002352DC"/>
    <w:rsid w:val="0023550D"/>
    <w:rsid w:val="00235542"/>
    <w:rsid w:val="00235661"/>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6D72"/>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0DCA"/>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B85"/>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119"/>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8C"/>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249"/>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0D4"/>
    <w:rsid w:val="004303A3"/>
    <w:rsid w:val="004303B0"/>
    <w:rsid w:val="004306BC"/>
    <w:rsid w:val="004307F1"/>
    <w:rsid w:val="00430A2D"/>
    <w:rsid w:val="00430D6E"/>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339"/>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09"/>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4FB8"/>
    <w:rsid w:val="00505105"/>
    <w:rsid w:val="00505134"/>
    <w:rsid w:val="00505364"/>
    <w:rsid w:val="00505577"/>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12E"/>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0CE"/>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3E1"/>
    <w:rsid w:val="0059146A"/>
    <w:rsid w:val="00591472"/>
    <w:rsid w:val="00591A24"/>
    <w:rsid w:val="00591C7D"/>
    <w:rsid w:val="00591EFE"/>
    <w:rsid w:val="0059200C"/>
    <w:rsid w:val="0059235B"/>
    <w:rsid w:val="0059240E"/>
    <w:rsid w:val="00592712"/>
    <w:rsid w:val="005928D9"/>
    <w:rsid w:val="005929C3"/>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3B"/>
    <w:rsid w:val="005A184A"/>
    <w:rsid w:val="005A1B24"/>
    <w:rsid w:val="005A1C87"/>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A77"/>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393"/>
    <w:rsid w:val="006966C3"/>
    <w:rsid w:val="00696B16"/>
    <w:rsid w:val="00696C07"/>
    <w:rsid w:val="00696C5C"/>
    <w:rsid w:val="00696C9A"/>
    <w:rsid w:val="00696D88"/>
    <w:rsid w:val="006971CB"/>
    <w:rsid w:val="00697733"/>
    <w:rsid w:val="00697980"/>
    <w:rsid w:val="00697ACD"/>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B46"/>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7E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CEB"/>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45B"/>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A3"/>
    <w:rsid w:val="007F11C8"/>
    <w:rsid w:val="007F13F0"/>
    <w:rsid w:val="007F1443"/>
    <w:rsid w:val="007F14C6"/>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679"/>
    <w:rsid w:val="00811731"/>
    <w:rsid w:val="00811835"/>
    <w:rsid w:val="00811FA4"/>
    <w:rsid w:val="00812090"/>
    <w:rsid w:val="008123A6"/>
    <w:rsid w:val="00812767"/>
    <w:rsid w:val="00812A50"/>
    <w:rsid w:val="00812B1B"/>
    <w:rsid w:val="00813413"/>
    <w:rsid w:val="00813A1E"/>
    <w:rsid w:val="00813B31"/>
    <w:rsid w:val="008143AA"/>
    <w:rsid w:val="008143F7"/>
    <w:rsid w:val="0081449A"/>
    <w:rsid w:val="00814565"/>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D76"/>
    <w:rsid w:val="008650FC"/>
    <w:rsid w:val="0086512A"/>
    <w:rsid w:val="008653E8"/>
    <w:rsid w:val="008655CF"/>
    <w:rsid w:val="0086576E"/>
    <w:rsid w:val="0086582A"/>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34B"/>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3"/>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AF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0"/>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CD0"/>
    <w:rsid w:val="00995E85"/>
    <w:rsid w:val="00996468"/>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8E3"/>
    <w:rsid w:val="00A43BBB"/>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E7B"/>
    <w:rsid w:val="00A902B2"/>
    <w:rsid w:val="00A909BB"/>
    <w:rsid w:val="00A90B97"/>
    <w:rsid w:val="00A90DE9"/>
    <w:rsid w:val="00A90E72"/>
    <w:rsid w:val="00A91062"/>
    <w:rsid w:val="00A910F9"/>
    <w:rsid w:val="00A912C8"/>
    <w:rsid w:val="00A917C8"/>
    <w:rsid w:val="00A9184B"/>
    <w:rsid w:val="00A91DC1"/>
    <w:rsid w:val="00A922A2"/>
    <w:rsid w:val="00A92ED8"/>
    <w:rsid w:val="00A9327B"/>
    <w:rsid w:val="00A936E1"/>
    <w:rsid w:val="00A93A98"/>
    <w:rsid w:val="00A93B69"/>
    <w:rsid w:val="00A9404D"/>
    <w:rsid w:val="00A94633"/>
    <w:rsid w:val="00A948D6"/>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C82"/>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99E"/>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97F2F"/>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2"/>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6D9C"/>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6EE6"/>
    <w:rsid w:val="00BF7243"/>
    <w:rsid w:val="00BF7395"/>
    <w:rsid w:val="00BF73F2"/>
    <w:rsid w:val="00C005BE"/>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BBB"/>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A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E69"/>
    <w:rsid w:val="00D5416A"/>
    <w:rsid w:val="00D54202"/>
    <w:rsid w:val="00D54255"/>
    <w:rsid w:val="00D548F1"/>
    <w:rsid w:val="00D54B2F"/>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396"/>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6F1F"/>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9C0"/>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83A"/>
    <w:rsid w:val="00ED0927"/>
    <w:rsid w:val="00ED0D5D"/>
    <w:rsid w:val="00ED0DF8"/>
    <w:rsid w:val="00ED1288"/>
    <w:rsid w:val="00ED13C4"/>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AC3"/>
    <w:rsid w:val="00EF7C54"/>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CE9"/>
    <w:rsid w:val="00F94E58"/>
    <w:rsid w:val="00F950B5"/>
    <w:rsid w:val="00F9513F"/>
    <w:rsid w:val="00F95518"/>
    <w:rsid w:val="00F956AC"/>
    <w:rsid w:val="00F95A26"/>
    <w:rsid w:val="00F95F80"/>
    <w:rsid w:val="00F96251"/>
    <w:rsid w:val="00F9644B"/>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257"/>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6"/>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7"/>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2023-02-17T06:59:00Z</dcterms:created>
  <dcterms:modified xsi:type="dcterms:W3CDTF">2023-02-17T06:59:00Z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