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A4C7CBC" w14:textId="0C9FC698" w:rsidR="00043302" w:rsidRDefault="00043302" w:rsidP="00043302">
      <w:pPr>
        <w:tabs>
          <w:tab w:val="center" w:pos="4536"/>
          <w:tab w:val="right" w:pos="7938"/>
          <w:tab w:val="right" w:pos="9639"/>
        </w:tabs>
        <w:ind w:right="2"/>
        <w:rPr>
          <w:rFonts w:ascii="Arial" w:hAnsi="Arial" w:cs="Arial"/>
          <w:b/>
          <w:bCs/>
          <w:sz w:val="28"/>
          <w:lang w:eastAsia="en-US"/>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1B7B63" w:rsidRPr="001B7B63">
        <w:rPr>
          <w:rFonts w:ascii="Arial" w:hAnsi="Arial" w:cs="Arial"/>
          <w:b/>
          <w:bCs/>
          <w:sz w:val="28"/>
        </w:rPr>
        <w:t>R1-2300234</w:t>
      </w:r>
    </w:p>
    <w:p w14:paraId="435A106A" w14:textId="77777777" w:rsidR="00043302" w:rsidRDefault="00043302" w:rsidP="00043302">
      <w:pPr>
        <w:tabs>
          <w:tab w:val="center" w:pos="4536"/>
          <w:tab w:val="right" w:pos="9072"/>
        </w:tabs>
        <w:rPr>
          <w:rFonts w:ascii="Arial" w:hAnsi="Arial" w:cs="Arial"/>
          <w:b/>
          <w:bCs/>
          <w:sz w:val="28"/>
          <w:lang w:eastAsia="ja-JP"/>
        </w:rPr>
      </w:pPr>
      <w:r>
        <w:rPr>
          <w:rFonts w:ascii="Arial" w:hAnsi="Arial" w:cs="Arial"/>
          <w:b/>
          <w:bCs/>
          <w:sz w:val="28"/>
          <w:lang w:eastAsia="ja-JP"/>
        </w:rPr>
        <w:t>Athens, Greece, February 27</w:t>
      </w:r>
      <w:r>
        <w:rPr>
          <w:rFonts w:ascii="Arial" w:hAnsi="Arial" w:cs="Arial"/>
          <w:b/>
          <w:bCs/>
          <w:sz w:val="28"/>
          <w:vertAlign w:val="superscript"/>
          <w:lang w:eastAsia="ja-JP"/>
        </w:rPr>
        <w:t>th</w:t>
      </w:r>
      <w:r>
        <w:rPr>
          <w:rFonts w:ascii="Arial" w:hAnsi="Arial" w:cs="Arial"/>
          <w:b/>
          <w:bCs/>
          <w:sz w:val="28"/>
          <w:lang w:eastAsia="ja-JP"/>
        </w:rPr>
        <w:t xml:space="preserve"> – March 3</w:t>
      </w:r>
      <w:r>
        <w:rPr>
          <w:rFonts w:ascii="Arial" w:hAnsi="Arial" w:cs="Arial"/>
          <w:b/>
          <w:bCs/>
          <w:sz w:val="28"/>
          <w:vertAlign w:val="superscript"/>
          <w:lang w:eastAsia="ja-JP"/>
        </w:rPr>
        <w:t>rd</w:t>
      </w:r>
      <w:r>
        <w:rPr>
          <w:rFonts w:ascii="Arial" w:hAnsi="Arial" w:cs="Arial"/>
          <w:b/>
          <w:bCs/>
          <w:sz w:val="28"/>
          <w:lang w:eastAsia="ja-JP"/>
        </w:rPr>
        <w:t>, 2023</w:t>
      </w:r>
    </w:p>
    <w:p w14:paraId="2CF51AFF" w14:textId="61988779" w:rsidR="008768FE" w:rsidRPr="001D3F32" w:rsidRDefault="008768FE" w:rsidP="000E010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w:t>
      </w:r>
      <w:r w:rsidR="00262E48">
        <w:rPr>
          <w:b/>
          <w:noProof/>
          <w:sz w:val="22"/>
          <w:szCs w:val="22"/>
          <w:lang w:val="en-US"/>
        </w:rPr>
        <w:t>9</w:t>
      </w:r>
      <w:r w:rsidR="007E1DAB">
        <w:rPr>
          <w:b/>
          <w:noProof/>
          <w:sz w:val="22"/>
          <w:szCs w:val="22"/>
          <w:lang w:val="en-US"/>
        </w:rPr>
        <w:t>.2</w:t>
      </w:r>
    </w:p>
    <w:p w14:paraId="5219645B"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45EBC19" w:rsidR="008768FE" w:rsidRPr="001D3F32" w:rsidRDefault="008768FE" w:rsidP="000E010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Start w:id="4" w:name="OLE_LINK102"/>
      <w:bookmarkEnd w:id="1"/>
      <w:r w:rsidR="00C70281">
        <w:rPr>
          <w:b/>
          <w:noProof/>
          <w:sz w:val="22"/>
          <w:szCs w:val="22"/>
          <w:lang w:val="en-US"/>
        </w:rPr>
        <w:t>m</w:t>
      </w:r>
      <w:r w:rsidR="00C70281" w:rsidRPr="00C70281">
        <w:rPr>
          <w:b/>
          <w:noProof/>
          <w:sz w:val="22"/>
          <w:szCs w:val="22"/>
          <w:lang w:val="en-US"/>
        </w:rPr>
        <w:t>ulti-carrier UL Tx switching scheme</w:t>
      </w:r>
      <w:bookmarkEnd w:id="4"/>
    </w:p>
    <w:bookmarkEnd w:id="2"/>
    <w:bookmarkEnd w:id="3"/>
    <w:p w14:paraId="31A3C89E"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0E0103">
      <w:pPr>
        <w:pStyle w:val="1"/>
        <w:tabs>
          <w:tab w:val="num" w:pos="426"/>
        </w:tabs>
        <w:ind w:left="426" w:hanging="426"/>
        <w:jc w:val="both"/>
        <w:rPr>
          <w:szCs w:val="36"/>
          <w:lang w:eastAsia="ja-JP"/>
        </w:rPr>
      </w:pPr>
      <w:r w:rsidRPr="001D3F32">
        <w:rPr>
          <w:rFonts w:hint="eastAsia"/>
          <w:szCs w:val="36"/>
          <w:lang w:eastAsia="ja-JP"/>
        </w:rPr>
        <w:t>Introduction</w:t>
      </w:r>
    </w:p>
    <w:p w14:paraId="49D77011" w14:textId="2CCA20A6" w:rsidR="006B0E62" w:rsidRDefault="00927531" w:rsidP="000E0103">
      <w:pPr>
        <w:jc w:val="both"/>
        <w:rPr>
          <w:rFonts w:eastAsia="宋体"/>
          <w:lang w:eastAsia="zh-CN"/>
        </w:rPr>
      </w:pPr>
      <w:r>
        <w:rPr>
          <w:rFonts w:eastAsia="宋体"/>
          <w:lang w:eastAsia="zh-CN"/>
        </w:rPr>
        <w:t>In RAN#94 meeting, a new Work Item</w:t>
      </w:r>
      <w:r w:rsidR="00603294">
        <w:rPr>
          <w:rFonts w:eastAsia="宋体"/>
          <w:lang w:eastAsia="zh-CN"/>
        </w:rPr>
        <w:t xml:space="preserve"> [1]</w:t>
      </w:r>
      <w:r>
        <w:rPr>
          <w:rFonts w:eastAsia="宋体"/>
          <w:lang w:eastAsia="zh-CN"/>
        </w:rPr>
        <w:t xml:space="preserve"> was agreed to </w:t>
      </w:r>
      <w:r w:rsidR="00750264">
        <w:rPr>
          <w:rFonts w:eastAsia="宋体"/>
          <w:lang w:eastAsia="zh-CN"/>
        </w:rPr>
        <w:t>study</w:t>
      </w:r>
      <w:r>
        <w:rPr>
          <w:rFonts w:eastAsia="宋体"/>
          <w:lang w:eastAsia="zh-CN"/>
        </w:rPr>
        <w:t xml:space="preserve"> </w:t>
      </w:r>
      <w:r w:rsidR="003349EA" w:rsidRPr="00F76BDB">
        <w:rPr>
          <w:rFonts w:hint="eastAsia"/>
          <w:bCs/>
          <w:lang w:eastAsia="ja-JP"/>
        </w:rPr>
        <w:t>dynamic Tx carrier switching across</w:t>
      </w:r>
      <w:r w:rsidR="003349EA">
        <w:rPr>
          <w:bCs/>
          <w:lang w:eastAsia="ja-JP"/>
        </w:rPr>
        <w:t xml:space="preserve"> up to 3 or 4 bands</w:t>
      </w:r>
      <w:r>
        <w:rPr>
          <w:rFonts w:eastAsia="宋体"/>
          <w:lang w:eastAsia="zh-CN"/>
        </w:rPr>
        <w:t xml:space="preserve">. </w:t>
      </w:r>
      <w:r w:rsidR="006823E4">
        <w:rPr>
          <w:rFonts w:eastAsia="宋体"/>
          <w:lang w:eastAsia="zh-CN"/>
        </w:rPr>
        <w:t>P</w:t>
      </w:r>
      <w:r w:rsidR="006823E4" w:rsidRPr="006823E4">
        <w:rPr>
          <w:rFonts w:eastAsia="宋体"/>
          <w:lang w:eastAsia="zh-CN"/>
        </w:rPr>
        <w:t>roductive</w:t>
      </w:r>
      <w:r w:rsidR="003349EA">
        <w:rPr>
          <w:rFonts w:eastAsia="宋体"/>
          <w:lang w:eastAsia="zh-CN"/>
        </w:rPr>
        <w:t xml:space="preserve"> agr</w:t>
      </w:r>
      <w:r w:rsidR="006823E4">
        <w:rPr>
          <w:rFonts w:eastAsia="宋体"/>
          <w:lang w:eastAsia="zh-CN"/>
        </w:rPr>
        <w:t>eements were achieved in RAN1#11</w:t>
      </w:r>
      <w:r w:rsidR="00193A66">
        <w:rPr>
          <w:rFonts w:eastAsia="宋体"/>
          <w:lang w:eastAsia="zh-CN"/>
        </w:rPr>
        <w:t>1</w:t>
      </w:r>
      <w:r w:rsidR="003349EA">
        <w:rPr>
          <w:rFonts w:eastAsia="宋体"/>
          <w:lang w:eastAsia="zh-CN"/>
        </w:rPr>
        <w:t>.</w:t>
      </w:r>
    </w:p>
    <w:p w14:paraId="304E414A" w14:textId="30280079" w:rsidR="00927531" w:rsidRDefault="00927531" w:rsidP="000E0103">
      <w:pPr>
        <w:jc w:val="both"/>
        <w:rPr>
          <w:rFonts w:eastAsia="宋体"/>
          <w:lang w:eastAsia="zh-CN"/>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DC2F5B">
        <w:rPr>
          <w:rFonts w:eastAsia="宋体"/>
          <w:lang w:eastAsia="zh-CN"/>
        </w:rPr>
        <w:t>further</w:t>
      </w:r>
      <w:r w:rsidRPr="001D3F32">
        <w:rPr>
          <w:rFonts w:eastAsia="宋体"/>
          <w:lang w:eastAsia="zh-CN"/>
        </w:rPr>
        <w:t xml:space="preserve"> considerations on</w:t>
      </w:r>
      <w:r w:rsidR="005D7F68" w:rsidRPr="005D7F68">
        <w:t xml:space="preserve"> </w:t>
      </w:r>
      <w:r w:rsidR="000E2820" w:rsidRPr="000E2820">
        <w:rPr>
          <w:rFonts w:eastAsia="宋体"/>
          <w:lang w:eastAsia="zh-CN"/>
        </w:rPr>
        <w:t xml:space="preserve">multi-carrier UL Tx switching </w:t>
      </w:r>
      <w:r w:rsidR="000E2820">
        <w:rPr>
          <w:rFonts w:eastAsia="宋体"/>
          <w:lang w:eastAsia="zh-CN"/>
        </w:rPr>
        <w:t>operation</w:t>
      </w:r>
      <w:r w:rsidR="005D7F68">
        <w:rPr>
          <w:rFonts w:eastAsia="宋体"/>
          <w:lang w:eastAsia="zh-CN"/>
        </w:rPr>
        <w:t>.</w:t>
      </w:r>
    </w:p>
    <w:p w14:paraId="6AF84FCB" w14:textId="77777777" w:rsidR="009F48A6" w:rsidRPr="009F48A6" w:rsidRDefault="009F48A6" w:rsidP="009F48A6">
      <w:pPr>
        <w:pStyle w:val="aff8"/>
        <w:numPr>
          <w:ilvl w:val="0"/>
          <w:numId w:val="36"/>
        </w:numPr>
        <w:overflowPunct/>
        <w:snapToGrid w:val="0"/>
        <w:spacing w:after="120"/>
        <w:ind w:leftChars="0"/>
        <w:jc w:val="both"/>
      </w:pPr>
      <w:r>
        <w:t>A</w:t>
      </w:r>
      <w:r w:rsidRPr="00F90EF7">
        <w:t>mbiguity issue on switching period location</w:t>
      </w:r>
    </w:p>
    <w:p w14:paraId="3D1F8372" w14:textId="77777777" w:rsidR="00CF049C" w:rsidRDefault="00CF049C" w:rsidP="00CF049C">
      <w:pPr>
        <w:pStyle w:val="aff8"/>
        <w:numPr>
          <w:ilvl w:val="0"/>
          <w:numId w:val="36"/>
        </w:numPr>
        <w:overflowPunct/>
        <w:snapToGrid w:val="0"/>
        <w:spacing w:after="120"/>
        <w:ind w:leftChars="0"/>
        <w:jc w:val="both"/>
      </w:pPr>
      <w:r>
        <w:t>WA of Minimum separation time between two UL Tx switchings</w:t>
      </w:r>
    </w:p>
    <w:p w14:paraId="3D033E90" w14:textId="2D85AEEB" w:rsidR="00927531" w:rsidRDefault="00927531" w:rsidP="000E0103">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7C94378C" w14:textId="1A67D12D" w:rsidR="00347AD0" w:rsidRDefault="00D21EED" w:rsidP="00347AD0">
      <w:pPr>
        <w:rPr>
          <w:rFonts w:eastAsia="宋体"/>
          <w:lang w:eastAsia="zh-CN"/>
        </w:rPr>
      </w:pPr>
      <w:r>
        <w:rPr>
          <w:rFonts w:eastAsia="宋体"/>
          <w:lang w:eastAsia="zh-CN"/>
        </w:rPr>
        <w:t xml:space="preserve">For the supportive of 3 or 4 bands and </w:t>
      </w:r>
      <w:r w:rsidRPr="00347AD0">
        <w:rPr>
          <w:rFonts w:cs="Times"/>
          <w:bCs/>
          <w:i/>
          <w:lang w:eastAsia="ja-JP"/>
        </w:rPr>
        <w:t xml:space="preserve">Switched UL </w:t>
      </w:r>
      <w:r>
        <w:rPr>
          <w:rFonts w:cs="Times"/>
          <w:bCs/>
          <w:lang w:eastAsia="ja-JP"/>
        </w:rPr>
        <w:t>or</w:t>
      </w:r>
      <w:r w:rsidRPr="00347AD0">
        <w:rPr>
          <w:rFonts w:cs="Times"/>
          <w:bCs/>
          <w:i/>
          <w:lang w:eastAsia="ja-JP"/>
        </w:rPr>
        <w:t xml:space="preserve"> Dual UL</w:t>
      </w:r>
      <w:r>
        <w:rPr>
          <w:rFonts w:eastAsia="宋体"/>
          <w:lang w:eastAsia="zh-CN"/>
        </w:rPr>
        <w:t xml:space="preserve"> in Rel-18, we suggest to confirm the two WAs. Actually, some discussions and agreements have already include both of 3 and 4 bands, </w:t>
      </w:r>
      <w:r w:rsidRPr="00347AD0">
        <w:rPr>
          <w:rFonts w:cs="Times"/>
          <w:bCs/>
          <w:i/>
          <w:lang w:eastAsia="ja-JP"/>
        </w:rPr>
        <w:t xml:space="preserve">Switched UL </w:t>
      </w:r>
      <w:r w:rsidRPr="00D21EED">
        <w:rPr>
          <w:rFonts w:cs="Times"/>
          <w:bCs/>
          <w:lang w:eastAsia="ja-JP"/>
        </w:rPr>
        <w:t>and</w:t>
      </w:r>
      <w:r w:rsidRPr="00347AD0">
        <w:rPr>
          <w:rFonts w:cs="Times"/>
          <w:bCs/>
          <w:i/>
          <w:lang w:eastAsia="ja-JP"/>
        </w:rPr>
        <w:t xml:space="preserve"> Dual UL</w:t>
      </w:r>
      <w:r>
        <w:rPr>
          <w:rFonts w:eastAsia="宋体"/>
          <w:lang w:eastAsia="zh-CN"/>
        </w:rPr>
        <w:t xml:space="preserve"> options. From RAN1’s perspective, it is </w:t>
      </w:r>
      <w:r w:rsidR="00C24CDE">
        <w:rPr>
          <w:rFonts w:eastAsia="宋体"/>
          <w:lang w:eastAsia="zh-CN"/>
        </w:rPr>
        <w:t xml:space="preserve">benefit to support them all and </w:t>
      </w:r>
      <w:r w:rsidR="009F48A6">
        <w:rPr>
          <w:rFonts w:eastAsia="宋体"/>
          <w:lang w:eastAsia="zh-CN"/>
        </w:rPr>
        <w:t>actually they have been included in the switching assumptions</w:t>
      </w:r>
      <w:r w:rsidR="00C24CDE">
        <w:rPr>
          <w:rFonts w:eastAsia="宋体"/>
          <w:lang w:eastAsia="zh-CN"/>
        </w:rPr>
        <w:t>.</w:t>
      </w:r>
      <w:r w:rsidR="009F48A6">
        <w:rPr>
          <w:rFonts w:eastAsia="宋体"/>
          <w:lang w:eastAsia="zh-CN"/>
        </w:rPr>
        <w:t xml:space="preserve"> So it is good to have a clear agreement to confirm the</w:t>
      </w:r>
      <w:r w:rsidR="00C24CDE">
        <w:rPr>
          <w:rFonts w:eastAsia="宋体"/>
          <w:lang w:eastAsia="zh-CN"/>
        </w:rPr>
        <w:t xml:space="preserve"> </w:t>
      </w:r>
      <w:r w:rsidR="009F48A6">
        <w:rPr>
          <w:rFonts w:eastAsia="宋体"/>
          <w:lang w:eastAsia="zh-CN"/>
        </w:rPr>
        <w:t>working assumption.</w:t>
      </w:r>
    </w:p>
    <w:tbl>
      <w:tblPr>
        <w:tblStyle w:val="aff"/>
        <w:tblW w:w="0" w:type="auto"/>
        <w:tblLook w:val="04A0" w:firstRow="1" w:lastRow="0" w:firstColumn="1" w:lastColumn="0" w:noHBand="0" w:noVBand="1"/>
      </w:tblPr>
      <w:tblGrid>
        <w:gridCol w:w="9630"/>
      </w:tblGrid>
      <w:tr w:rsidR="00347AD0" w:rsidRPr="00347AD0" w14:paraId="103FBE60" w14:textId="77777777" w:rsidTr="00347AD0">
        <w:tc>
          <w:tcPr>
            <w:tcW w:w="9630" w:type="dxa"/>
          </w:tcPr>
          <w:p w14:paraId="06C7CF60" w14:textId="77777777" w:rsidR="00347AD0" w:rsidRPr="00347AD0" w:rsidRDefault="00347AD0" w:rsidP="00347AD0">
            <w:pPr>
              <w:rPr>
                <w:rFonts w:cs="Times"/>
                <w:b/>
                <w:bCs/>
                <w:i/>
                <w:lang w:eastAsia="ja-JP"/>
              </w:rPr>
            </w:pPr>
            <w:r w:rsidRPr="00347AD0">
              <w:rPr>
                <w:rFonts w:cs="Times"/>
                <w:b/>
                <w:bCs/>
                <w:i/>
                <w:highlight w:val="darkYellow"/>
                <w:lang w:eastAsia="ja-JP"/>
              </w:rPr>
              <w:t>Working Assumption</w:t>
            </w:r>
          </w:p>
          <w:p w14:paraId="1490C0C3" w14:textId="6DC48DAF" w:rsidR="00347AD0" w:rsidRPr="00347AD0" w:rsidRDefault="00347AD0" w:rsidP="00347AD0">
            <w:pPr>
              <w:rPr>
                <w:rFonts w:eastAsia="宋体"/>
                <w:i/>
                <w:lang w:eastAsia="zh-CN"/>
              </w:rPr>
            </w:pPr>
            <w:r w:rsidRPr="00347AD0">
              <w:rPr>
                <w:rFonts w:cs="Times"/>
                <w:bCs/>
                <w:i/>
                <w:lang w:eastAsia="ja-JP"/>
              </w:rPr>
              <w:t>If Rel-18 UL Tx switching for 3 or 4 bands is supported, both Switched UL and Dual UL are supported</w:t>
            </w:r>
          </w:p>
        </w:tc>
      </w:tr>
    </w:tbl>
    <w:p w14:paraId="43D57C06" w14:textId="34E345E2" w:rsidR="00347AD0" w:rsidRDefault="00347AD0" w:rsidP="00347AD0">
      <w:pPr>
        <w:rPr>
          <w:rFonts w:eastAsia="宋体"/>
          <w:lang w:eastAsia="zh-CN"/>
        </w:rPr>
      </w:pPr>
    </w:p>
    <w:p w14:paraId="0DFCB803" w14:textId="3D1C539C" w:rsidR="00347AD0" w:rsidRPr="00C24CDE" w:rsidRDefault="009F48A6" w:rsidP="0025238F">
      <w:pPr>
        <w:pStyle w:val="aff8"/>
        <w:numPr>
          <w:ilvl w:val="0"/>
          <w:numId w:val="31"/>
        </w:numPr>
        <w:ind w:leftChars="0"/>
        <w:rPr>
          <w:rFonts w:eastAsia="宋体"/>
          <w:b/>
          <w:i/>
          <w:lang w:eastAsia="zh-CN"/>
        </w:rPr>
      </w:pPr>
      <w:r>
        <w:rPr>
          <w:rFonts w:eastAsia="宋体"/>
          <w:b/>
          <w:i/>
          <w:lang w:eastAsia="zh-CN"/>
        </w:rPr>
        <w:t>Confirm the</w:t>
      </w:r>
      <w:r w:rsidR="00C24CDE" w:rsidRPr="00C24CDE">
        <w:rPr>
          <w:rFonts w:eastAsia="宋体"/>
          <w:b/>
          <w:i/>
          <w:lang w:eastAsia="zh-CN"/>
        </w:rPr>
        <w:t xml:space="preserve"> </w:t>
      </w:r>
      <w:r w:rsidR="00C24CDE">
        <w:rPr>
          <w:rFonts w:eastAsia="宋体"/>
          <w:b/>
          <w:i/>
          <w:lang w:eastAsia="zh-CN"/>
        </w:rPr>
        <w:t>working assumption</w:t>
      </w:r>
      <w:r w:rsidR="00C24CDE" w:rsidRPr="00C24CDE">
        <w:rPr>
          <w:rFonts w:eastAsia="宋体"/>
          <w:b/>
          <w:i/>
          <w:lang w:eastAsia="zh-CN"/>
        </w:rPr>
        <w:t xml:space="preserve">: </w:t>
      </w:r>
    </w:p>
    <w:p w14:paraId="5427A652" w14:textId="77777777" w:rsidR="00C24CDE" w:rsidRPr="00C24CDE" w:rsidRDefault="00C24CDE" w:rsidP="00C24CDE">
      <w:pPr>
        <w:rPr>
          <w:rFonts w:cs="Times"/>
          <w:b/>
          <w:bCs/>
          <w:i/>
          <w:lang w:eastAsia="ja-JP"/>
        </w:rPr>
      </w:pPr>
      <w:r w:rsidRPr="00C24CDE">
        <w:rPr>
          <w:rFonts w:cs="Times"/>
          <w:b/>
          <w:bCs/>
          <w:i/>
          <w:highlight w:val="darkYellow"/>
          <w:lang w:eastAsia="ja-JP"/>
        </w:rPr>
        <w:t>Working Assumption</w:t>
      </w:r>
    </w:p>
    <w:p w14:paraId="3E26DBF9" w14:textId="622AB385" w:rsidR="00347AD0" w:rsidRPr="009B3555" w:rsidRDefault="00C24CDE" w:rsidP="009B3555">
      <w:pPr>
        <w:pStyle w:val="aff8"/>
        <w:numPr>
          <w:ilvl w:val="0"/>
          <w:numId w:val="41"/>
        </w:numPr>
        <w:ind w:leftChars="0"/>
        <w:rPr>
          <w:rFonts w:eastAsia="宋体"/>
          <w:b/>
          <w:i/>
          <w:lang w:eastAsia="zh-CN"/>
        </w:rPr>
      </w:pPr>
      <w:r w:rsidRPr="009B3555">
        <w:rPr>
          <w:rFonts w:cs="Times"/>
          <w:b/>
          <w:bCs/>
          <w:i/>
          <w:lang w:eastAsia="ja-JP"/>
        </w:rPr>
        <w:t>If Rel-18 UL Tx switching for 3 or 4 bands is supported, both Switched UL and Dual UL are supported</w:t>
      </w:r>
    </w:p>
    <w:p w14:paraId="19AE8502" w14:textId="416F3D7F" w:rsidR="0020693F" w:rsidRDefault="0020693F" w:rsidP="00CF049C">
      <w:pPr>
        <w:pStyle w:val="2"/>
      </w:pPr>
      <w:r>
        <w:rPr>
          <w:rFonts w:cs="Times"/>
        </w:rPr>
        <w:t>A</w:t>
      </w:r>
      <w:r>
        <w:t>mbiguous switching period location and/or duration</w:t>
      </w:r>
    </w:p>
    <w:p w14:paraId="7322688E" w14:textId="61218241" w:rsidR="008005AD" w:rsidRDefault="00E84032" w:rsidP="00844BDB">
      <w:pPr>
        <w:rPr>
          <w:rFonts w:eastAsia="宋体"/>
        </w:rPr>
      </w:pPr>
      <w:r w:rsidRPr="00844BDB">
        <w:rPr>
          <w:rFonts w:eastAsia="宋体" w:hint="eastAsia"/>
        </w:rPr>
        <w:t>F</w:t>
      </w:r>
      <w:r w:rsidRPr="00844BDB">
        <w:rPr>
          <w:rFonts w:eastAsia="宋体"/>
        </w:rPr>
        <w:t xml:space="preserve">or </w:t>
      </w:r>
      <w:r w:rsidR="00F6463E" w:rsidRPr="00844BDB">
        <w:rPr>
          <w:rFonts w:eastAsia="宋体"/>
        </w:rPr>
        <w:t xml:space="preserve">the switching period location, </w:t>
      </w:r>
      <w:r w:rsidR="008005AD">
        <w:rPr>
          <w:rFonts w:eastAsia="宋体"/>
        </w:rPr>
        <w:t xml:space="preserve">there was some discussions, but without any consensus. </w:t>
      </w:r>
    </w:p>
    <w:tbl>
      <w:tblPr>
        <w:tblStyle w:val="aff"/>
        <w:tblW w:w="0" w:type="auto"/>
        <w:tblLook w:val="04A0" w:firstRow="1" w:lastRow="0" w:firstColumn="1" w:lastColumn="0" w:noHBand="0" w:noVBand="1"/>
      </w:tblPr>
      <w:tblGrid>
        <w:gridCol w:w="9630"/>
      </w:tblGrid>
      <w:tr w:rsidR="00392E08" w:rsidRPr="009B3555" w14:paraId="0D9A7CCD" w14:textId="77777777" w:rsidTr="00392E08">
        <w:tc>
          <w:tcPr>
            <w:tcW w:w="9630" w:type="dxa"/>
          </w:tcPr>
          <w:p w14:paraId="05A92E21" w14:textId="77777777" w:rsidR="00CF049C" w:rsidRPr="009B3555" w:rsidRDefault="00CF049C" w:rsidP="00CF049C">
            <w:pPr>
              <w:rPr>
                <w:i/>
              </w:rPr>
            </w:pPr>
            <w:r w:rsidRPr="009B3555">
              <w:rPr>
                <w:i/>
              </w:rPr>
              <w:t>Updated proposed agreement 6</w:t>
            </w:r>
          </w:p>
          <w:p w14:paraId="465B6E92" w14:textId="77777777" w:rsidR="00CF049C" w:rsidRPr="009B3555" w:rsidRDefault="00CF049C" w:rsidP="00CF049C">
            <w:pPr>
              <w:spacing w:afterLines="50" w:after="120"/>
              <w:rPr>
                <w:rFonts w:eastAsia="MS Mincho"/>
                <w:i/>
                <w:sz w:val="22"/>
              </w:rPr>
            </w:pPr>
            <w:r w:rsidRPr="009B3555">
              <w:rPr>
                <w:rFonts w:eastAsia="MS Mincho"/>
                <w:i/>
                <w:sz w:val="22"/>
              </w:rPr>
              <w:t>Down-select a solution for the ambiguity issue on switching period location from following alternatives.</w:t>
            </w:r>
          </w:p>
          <w:p w14:paraId="3CADB4ED"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i/>
              </w:rPr>
              <w:t>Alt.1: switching period location is configured per band pair</w:t>
            </w:r>
          </w:p>
          <w:p w14:paraId="6F02B26D"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 xml:space="preserve">If there are multiple bands configured with switching period location as TRUE in the bands involved in a switching, the switching period location is determined to </w:t>
            </w:r>
            <w:bookmarkStart w:id="8" w:name="OLE_LINK5"/>
            <w:bookmarkStart w:id="9" w:name="OLE_LINK6"/>
            <w:r w:rsidRPr="009B3555">
              <w:rPr>
                <w:rFonts w:eastAsia="MS Mincho"/>
                <w:i/>
              </w:rPr>
              <w:t>highest carrier frequency among the bands</w:t>
            </w:r>
            <w:bookmarkEnd w:id="8"/>
            <w:bookmarkEnd w:id="9"/>
            <w:r w:rsidRPr="009B3555">
              <w:rPr>
                <w:rFonts w:eastAsia="MS Mincho"/>
                <w:i/>
              </w:rPr>
              <w:t xml:space="preserve"> configured with switching period location as TRUE</w:t>
            </w:r>
          </w:p>
          <w:p w14:paraId="5583E0A1"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i/>
                <w:highlight w:val="yellow"/>
              </w:rPr>
              <w:t>Alt.2: switching period location is configured per band pair, and the priority list of bands is also configured</w:t>
            </w:r>
          </w:p>
          <w:p w14:paraId="3F4D6305"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 xml:space="preserve">If there are multiple bands configured with switching period location as TRUE in the bands involved in a switching, the switching period location is determined to the band with </w:t>
            </w:r>
            <w:bookmarkStart w:id="10" w:name="OLE_LINK7"/>
            <w:r w:rsidRPr="009B3555">
              <w:rPr>
                <w:rFonts w:eastAsia="MS Mincho"/>
                <w:i/>
              </w:rPr>
              <w:t>lowest priority among bands configured with switching period location as TRUE</w:t>
            </w:r>
            <w:bookmarkEnd w:id="10"/>
          </w:p>
          <w:p w14:paraId="16DC8B30"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hint="eastAsia"/>
                <w:i/>
              </w:rPr>
              <w:t>A</w:t>
            </w:r>
            <w:r w:rsidRPr="009B3555">
              <w:rPr>
                <w:rFonts w:eastAsia="MS Mincho"/>
                <w:i/>
              </w:rPr>
              <w:t>lt.3: gNB configures “switching-from band” or “switching-to band”</w:t>
            </w:r>
          </w:p>
          <w:p w14:paraId="25D47825"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lastRenderedPageBreak/>
              <w:t>If gNB configures “switching-from band” as switching period location, switching period is located on band(s) where preceding transmission is performed</w:t>
            </w:r>
          </w:p>
          <w:p w14:paraId="6311F6C3"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hint="eastAsia"/>
                <w:i/>
              </w:rPr>
              <w:t>A</w:t>
            </w:r>
            <w:r w:rsidRPr="009B3555">
              <w:rPr>
                <w:rFonts w:eastAsia="MS Mincho"/>
                <w:i/>
              </w:rPr>
              <w:t>lt.4: gNB configures switching period location per switching case</w:t>
            </w:r>
          </w:p>
          <w:p w14:paraId="43347014"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In 3 bands case, gNB configures switching period location for each of switching case pair such as {A - B}, {A - C}, {B - C}, {A+B - C}, {A+C - B}, {B+C - A}</w:t>
            </w:r>
          </w:p>
          <w:p w14:paraId="4DBC95EB"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In 4 bands case, gNB configures switching period location for each of switching case pair such as {A - B}, {A - C}, {A - D}, {B - C}, {B - D}, {C - D}, {A+B - C}, {A+B - D}, {A+C - B}, {A+C - D}, {A+D - B}, {A+D - C}, {B+C - A}, {B+C - D}, {B+D - A}, {B+D - C}, {C+D - A}, {C+D - B}, {A+B – C+D}, {A+C – B+D}, {A+D – B+C}</w:t>
            </w:r>
          </w:p>
          <w:p w14:paraId="56D02C5D"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hint="eastAsia"/>
                <w:i/>
              </w:rPr>
              <w:t>A</w:t>
            </w:r>
            <w:r w:rsidRPr="009B3555">
              <w:rPr>
                <w:rFonts w:eastAsia="MS Mincho"/>
                <w:i/>
              </w:rPr>
              <w:t>lt.4</w:t>
            </w:r>
            <w:r w:rsidRPr="009B3555">
              <w:rPr>
                <w:rFonts w:eastAsia="MS Mincho" w:hint="eastAsia"/>
                <w:i/>
              </w:rPr>
              <w:t>-rev</w:t>
            </w:r>
            <w:r w:rsidRPr="009B3555">
              <w:rPr>
                <w:rFonts w:eastAsia="MS Mincho"/>
                <w:i/>
              </w:rPr>
              <w:t>: gNB configures switching period location per configured 3 or 4 bands</w:t>
            </w:r>
          </w:p>
          <w:p w14:paraId="0B42DD61"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In 3 bands case, gNB configures switching period location for each of switching case pair such as {A, B}, {A, C}, {B, C}, {A, B, C}</w:t>
            </w:r>
          </w:p>
          <w:p w14:paraId="1F3393CE" w14:textId="77777777" w:rsidR="00CF049C"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In 4 bands case, gNB configures switching period location for each of switching case pair such as {A, B}, {A, C}, {A, D}, {B, C}, {B, D}, {C, D}, {A, B, C}, {A, B, D}, {B, C, D}, {A, B, C, D}</w:t>
            </w:r>
          </w:p>
          <w:p w14:paraId="18B9F6D7" w14:textId="77777777" w:rsidR="00CF049C" w:rsidRPr="009B3555" w:rsidRDefault="00CF049C" w:rsidP="00CF049C">
            <w:pPr>
              <w:pStyle w:val="aff8"/>
              <w:numPr>
                <w:ilvl w:val="0"/>
                <w:numId w:val="38"/>
              </w:numPr>
              <w:overflowPunct/>
              <w:autoSpaceDE/>
              <w:autoSpaceDN/>
              <w:adjustRightInd/>
              <w:spacing w:afterLines="50" w:after="120"/>
              <w:ind w:leftChars="0"/>
              <w:jc w:val="both"/>
              <w:rPr>
                <w:rFonts w:eastAsia="MS Mincho"/>
                <w:i/>
              </w:rPr>
            </w:pPr>
            <w:r w:rsidRPr="009B3555">
              <w:rPr>
                <w:rFonts w:eastAsia="MS Mincho"/>
                <w:i/>
              </w:rPr>
              <w:t>Alt.5: gNB configures priorities to each carrier/band.</w:t>
            </w:r>
          </w:p>
          <w:p w14:paraId="6F4A39DB" w14:textId="7DBC6E0C" w:rsidR="00392E08" w:rsidRPr="009B3555" w:rsidRDefault="00CF049C" w:rsidP="00CF049C">
            <w:pPr>
              <w:pStyle w:val="aff8"/>
              <w:numPr>
                <w:ilvl w:val="1"/>
                <w:numId w:val="38"/>
              </w:numPr>
              <w:overflowPunct/>
              <w:autoSpaceDE/>
              <w:autoSpaceDN/>
              <w:adjustRightInd/>
              <w:spacing w:afterLines="50" w:after="120"/>
              <w:ind w:leftChars="0"/>
              <w:jc w:val="both"/>
              <w:rPr>
                <w:rFonts w:eastAsia="MS Mincho"/>
                <w:i/>
              </w:rPr>
            </w:pPr>
            <w:r w:rsidRPr="009B3555">
              <w:rPr>
                <w:rFonts w:eastAsia="MS Mincho"/>
                <w:i/>
              </w:rPr>
              <w:t>The UE determines the switching period location on the band that is not with the highest priority.</w:t>
            </w:r>
          </w:p>
        </w:tc>
      </w:tr>
    </w:tbl>
    <w:p w14:paraId="295D8205" w14:textId="7CB7E8ED" w:rsidR="00254A27" w:rsidRDefault="00254A27" w:rsidP="00254A27"/>
    <w:p w14:paraId="1F841C53" w14:textId="38C1B6CC" w:rsidR="00A23117" w:rsidRDefault="00A23117" w:rsidP="00A23117">
      <w:pPr>
        <w:rPr>
          <w:rFonts w:eastAsia="MS Mincho"/>
        </w:rPr>
      </w:pPr>
      <w:r>
        <w:rPr>
          <w:rFonts w:eastAsia="宋体"/>
        </w:rPr>
        <w:t>Although</w:t>
      </w:r>
      <w:r w:rsidRPr="00844BDB">
        <w:rPr>
          <w:rFonts w:eastAsia="宋体"/>
        </w:rPr>
        <w:t xml:space="preserve"> RAN4 LS clearly stated RAN4 agreed to reuse the Rel-16/17 approach (i.e., semi-static configuration of switching period on one of the band for each switching band pair) for single-TAG case, </w:t>
      </w:r>
      <w:r>
        <w:rPr>
          <w:rFonts w:eastAsia="宋体"/>
        </w:rPr>
        <w:t xml:space="preserve">only Alt.1 is not sufficient to solve the ambiguity issue. </w:t>
      </w:r>
      <w:r w:rsidR="00E63946">
        <w:rPr>
          <w:rFonts w:eastAsia="宋体"/>
        </w:rPr>
        <w:t>So</w:t>
      </w:r>
      <w:r>
        <w:rPr>
          <w:rFonts w:eastAsia="宋体"/>
        </w:rPr>
        <w:t xml:space="preserve"> Alt 1 </w:t>
      </w:r>
      <w:r w:rsidR="00E63946">
        <w:rPr>
          <w:rFonts w:eastAsia="宋体"/>
        </w:rPr>
        <w:t xml:space="preserve">combined </w:t>
      </w:r>
      <w:r w:rsidR="00DE584F">
        <w:rPr>
          <w:rFonts w:eastAsia="MS Mincho"/>
        </w:rPr>
        <w:t>switching period location is configured per band pair</w:t>
      </w:r>
      <w:r w:rsidR="00DE584F">
        <w:rPr>
          <w:rFonts w:eastAsia="宋体"/>
        </w:rPr>
        <w:t xml:space="preserve"> </w:t>
      </w:r>
      <w:r w:rsidR="00E63946">
        <w:rPr>
          <w:rFonts w:eastAsia="宋体"/>
        </w:rPr>
        <w:t>with</w:t>
      </w:r>
      <w:r>
        <w:rPr>
          <w:rFonts w:eastAsia="宋体"/>
        </w:rPr>
        <w:t xml:space="preserve"> </w:t>
      </w:r>
      <w:r w:rsidRPr="00B9768B">
        <w:rPr>
          <w:rFonts w:eastAsia="MS Mincho"/>
        </w:rPr>
        <w:t>highest carrier frequency among the bands</w:t>
      </w:r>
      <w:r w:rsidR="00E63946">
        <w:rPr>
          <w:rFonts w:eastAsia="MS Mincho"/>
        </w:rPr>
        <w:t xml:space="preserve"> was proposed. </w:t>
      </w:r>
      <w:r w:rsidR="000D3D41">
        <w:rPr>
          <w:rFonts w:eastAsia="MS Mincho"/>
        </w:rPr>
        <w:t xml:space="preserve">Frankly speaking the highest carrier frequency has no direct relation with the band which need to protect. So it is less comfortable to have this predefined rule for the location of switching period. </w:t>
      </w:r>
    </w:p>
    <w:p w14:paraId="4F73D70C" w14:textId="40590059" w:rsidR="000D3D41" w:rsidRPr="00777A5D" w:rsidRDefault="00CC4BA6" w:rsidP="00777A5D">
      <w:pPr>
        <w:rPr>
          <w:rFonts w:eastAsia="宋体"/>
          <w:lang w:val="en-US"/>
        </w:rPr>
      </w:pPr>
      <w:r>
        <w:rPr>
          <w:rFonts w:eastAsia="MS Mincho"/>
        </w:rPr>
        <w:t>We support</w:t>
      </w:r>
      <w:r w:rsidR="000D3D41">
        <w:rPr>
          <w:rFonts w:eastAsia="MS Mincho"/>
        </w:rPr>
        <w:t xml:space="preserve"> Alt 2</w:t>
      </w:r>
      <w:r>
        <w:rPr>
          <w:rFonts w:eastAsia="MS Mincho"/>
        </w:rPr>
        <w:t xml:space="preserve">. It is another combination of </w:t>
      </w:r>
      <w:r w:rsidR="00DE584F">
        <w:rPr>
          <w:rFonts w:eastAsia="MS Mincho"/>
        </w:rPr>
        <w:t xml:space="preserve">switching period location is configured per band pair and </w:t>
      </w:r>
      <w:r w:rsidR="00DE584F" w:rsidRPr="00B9768B">
        <w:rPr>
          <w:rFonts w:eastAsia="MS Mincho"/>
        </w:rPr>
        <w:t>lowest priority among bands configured with switching period location as TRUE</w:t>
      </w:r>
      <w:r w:rsidR="00DE584F">
        <w:rPr>
          <w:rFonts w:eastAsia="MS Mincho"/>
        </w:rPr>
        <w:t>. Alt 2 is a solution without any ambiguity</w:t>
      </w:r>
      <w:r w:rsidR="0044530B">
        <w:rPr>
          <w:rFonts w:eastAsia="MS Mincho"/>
        </w:rPr>
        <w:t>. In additional, it is also a network friendly method.</w:t>
      </w:r>
      <w:r w:rsidR="00777A5D" w:rsidRPr="00777A5D">
        <w:t xml:space="preserve"> </w:t>
      </w:r>
      <w:r w:rsidR="00777A5D" w:rsidRPr="00777A5D">
        <w:rPr>
          <w:rFonts w:eastAsia="MS Mincho"/>
        </w:rPr>
        <w:t>E.g. for switching A+B-&gt;C</w:t>
      </w:r>
      <w:r w:rsidR="00777A5D">
        <w:rPr>
          <w:rFonts w:eastAsia="MS Mincho"/>
        </w:rPr>
        <w:t xml:space="preserve">, if </w:t>
      </w:r>
      <w:r w:rsidR="009E6372">
        <w:rPr>
          <w:rFonts w:eastAsia="MS Mincho"/>
        </w:rPr>
        <w:t xml:space="preserve">switching period location on band </w:t>
      </w:r>
      <w:r w:rsidR="00777A5D" w:rsidRPr="00777A5D">
        <w:rPr>
          <w:rFonts w:eastAsia="MS Mincho"/>
        </w:rPr>
        <w:t xml:space="preserve">A for </w:t>
      </w:r>
      <w:r w:rsidR="009E6372">
        <w:rPr>
          <w:rFonts w:eastAsia="MS Mincho"/>
        </w:rPr>
        <w:t xml:space="preserve">band pair </w:t>
      </w:r>
      <w:r w:rsidR="00777A5D" w:rsidRPr="00777A5D">
        <w:rPr>
          <w:rFonts w:eastAsia="MS Mincho"/>
        </w:rPr>
        <w:t xml:space="preserve">A </w:t>
      </w:r>
      <w:r w:rsidR="009E6372">
        <w:rPr>
          <w:rFonts w:eastAsia="MS Mincho"/>
        </w:rPr>
        <w:t>and</w:t>
      </w:r>
      <w:r w:rsidR="00777A5D" w:rsidRPr="00777A5D">
        <w:rPr>
          <w:rFonts w:eastAsia="MS Mincho"/>
        </w:rPr>
        <w:t xml:space="preserve"> B; </w:t>
      </w:r>
      <w:r w:rsidR="009E6372">
        <w:rPr>
          <w:rFonts w:eastAsia="MS Mincho"/>
        </w:rPr>
        <w:t xml:space="preserve">on band </w:t>
      </w:r>
      <w:r w:rsidR="00777A5D" w:rsidRPr="00777A5D">
        <w:rPr>
          <w:rFonts w:eastAsia="MS Mincho"/>
        </w:rPr>
        <w:t xml:space="preserve">B for </w:t>
      </w:r>
      <w:r w:rsidR="009E6372">
        <w:rPr>
          <w:rFonts w:eastAsia="MS Mincho"/>
        </w:rPr>
        <w:t xml:space="preserve">band pair B and C. Since the priority list is </w:t>
      </w:r>
      <w:r w:rsidR="00777A5D" w:rsidRPr="00777A5D">
        <w:rPr>
          <w:rFonts w:eastAsia="MS Mincho"/>
        </w:rPr>
        <w:t xml:space="preserve">A&gt;B&gt;C. </w:t>
      </w:r>
      <w:r w:rsidR="009E6372">
        <w:rPr>
          <w:rFonts w:eastAsia="MS Mincho"/>
        </w:rPr>
        <w:t>Since band A and band B both are configured with location as TRUE, t</w:t>
      </w:r>
      <w:r w:rsidR="00777A5D" w:rsidRPr="00777A5D">
        <w:rPr>
          <w:rFonts w:eastAsia="MS Mincho"/>
        </w:rPr>
        <w:t>he swi</w:t>
      </w:r>
      <w:r w:rsidR="009E6372">
        <w:rPr>
          <w:rFonts w:eastAsia="MS Mincho"/>
        </w:rPr>
        <w:t>tching period location is band B. Clearly, it can protect the high</w:t>
      </w:r>
      <w:r w:rsidR="0000000A">
        <w:rPr>
          <w:rFonts w:eastAsia="MS Mincho"/>
        </w:rPr>
        <w:t xml:space="preserve">er priority band, which is also configured by gNB. </w:t>
      </w:r>
    </w:p>
    <w:p w14:paraId="2A3F6E47" w14:textId="6B4F4068" w:rsidR="00A23117" w:rsidRDefault="00E95A8E" w:rsidP="00A23117">
      <w:pPr>
        <w:rPr>
          <w:rFonts w:eastAsia="宋体"/>
          <w:lang w:eastAsia="zh-CN"/>
        </w:rPr>
      </w:pPr>
      <w:r>
        <w:rPr>
          <w:rFonts w:eastAsia="宋体" w:hint="eastAsia"/>
          <w:lang w:eastAsia="zh-CN"/>
        </w:rPr>
        <w:t>F</w:t>
      </w:r>
      <w:r>
        <w:rPr>
          <w:rFonts w:eastAsia="宋体"/>
          <w:lang w:eastAsia="zh-CN"/>
        </w:rPr>
        <w:t xml:space="preserve">or Alt 3, it is against the spirit of RAN4 LS. Since </w:t>
      </w:r>
      <w:r w:rsidRPr="00E95A8E">
        <w:rPr>
          <w:rFonts w:eastAsia="宋体"/>
          <w:lang w:eastAsia="zh-CN"/>
        </w:rPr>
        <w:t>if switching period is configured as “switching-to band”, the switching period is located at the switching-to band for all the switching cases</w:t>
      </w:r>
      <w:r>
        <w:rPr>
          <w:rFonts w:eastAsia="宋体"/>
          <w:lang w:eastAsia="zh-CN"/>
        </w:rPr>
        <w:t>. When there is important transmission on switching-to band</w:t>
      </w:r>
      <w:r>
        <w:rPr>
          <w:rFonts w:eastAsia="宋体" w:hint="eastAsia"/>
          <w:lang w:eastAsia="zh-CN"/>
        </w:rPr>
        <w:t>,</w:t>
      </w:r>
      <w:r>
        <w:rPr>
          <w:rFonts w:eastAsia="宋体"/>
          <w:lang w:eastAsia="zh-CN"/>
        </w:rPr>
        <w:t xml:space="preserve"> it is a victim band anyway in Alt 3. Actually, this type of hurt can be avoid by configuration. </w:t>
      </w:r>
      <w:r w:rsidR="003A6153">
        <w:rPr>
          <w:rFonts w:eastAsia="宋体"/>
          <w:lang w:eastAsia="zh-CN"/>
        </w:rPr>
        <w:t>It is with less flexibility as other alternatives.</w:t>
      </w:r>
    </w:p>
    <w:p w14:paraId="5A66BD42" w14:textId="09E9F572" w:rsidR="003A6153" w:rsidRPr="00844BDB" w:rsidRDefault="003A6153" w:rsidP="00A23117">
      <w:pPr>
        <w:rPr>
          <w:rFonts w:eastAsia="宋体"/>
          <w:lang w:eastAsia="zh-CN"/>
        </w:rPr>
      </w:pPr>
      <w:r>
        <w:rPr>
          <w:rFonts w:eastAsia="宋体"/>
          <w:lang w:eastAsia="zh-CN"/>
        </w:rPr>
        <w:t xml:space="preserve">For Alt 4, it can work, but with too much singling overhead. Especially the four bands case. If majority companies want Alt 4, we can live with it. </w:t>
      </w:r>
    </w:p>
    <w:p w14:paraId="6E861ADD" w14:textId="0ACB7550" w:rsidR="002D47A1" w:rsidRPr="002D47A1" w:rsidRDefault="002D47A1" w:rsidP="002D47A1">
      <w:pPr>
        <w:pStyle w:val="aff8"/>
        <w:numPr>
          <w:ilvl w:val="0"/>
          <w:numId w:val="31"/>
        </w:numPr>
        <w:overflowPunct/>
        <w:autoSpaceDE/>
        <w:autoSpaceDN/>
        <w:adjustRightInd/>
        <w:spacing w:afterLines="50" w:after="120"/>
        <w:ind w:leftChars="0"/>
        <w:jc w:val="both"/>
        <w:rPr>
          <w:rFonts w:eastAsia="MS Mincho"/>
          <w:b/>
          <w:i/>
        </w:rPr>
      </w:pPr>
      <w:r>
        <w:rPr>
          <w:rFonts w:eastAsia="MS Mincho"/>
          <w:b/>
          <w:i/>
        </w:rPr>
        <w:t xml:space="preserve">Support </w:t>
      </w:r>
      <w:r w:rsidRPr="002D47A1">
        <w:rPr>
          <w:rFonts w:eastAsia="MS Mincho"/>
          <w:b/>
          <w:i/>
        </w:rPr>
        <w:t>Alt.2</w:t>
      </w:r>
      <w:r>
        <w:rPr>
          <w:rFonts w:eastAsia="MS Mincho"/>
          <w:b/>
          <w:i/>
        </w:rPr>
        <w:t xml:space="preserve"> as the </w:t>
      </w:r>
      <w:r w:rsidRPr="002D47A1">
        <w:rPr>
          <w:rFonts w:eastAsia="MS Mincho"/>
          <w:b/>
          <w:i/>
        </w:rPr>
        <w:t>switching period location: switching period location is configured per band pair, and the priority list of bands is also configured</w:t>
      </w:r>
    </w:p>
    <w:p w14:paraId="29C18FD1" w14:textId="77777777" w:rsidR="002D47A1" w:rsidRPr="002D47A1" w:rsidRDefault="002D47A1" w:rsidP="002D47A1">
      <w:pPr>
        <w:pStyle w:val="aff8"/>
        <w:numPr>
          <w:ilvl w:val="1"/>
          <w:numId w:val="31"/>
        </w:numPr>
        <w:overflowPunct/>
        <w:autoSpaceDE/>
        <w:autoSpaceDN/>
        <w:adjustRightInd/>
        <w:spacing w:afterLines="50" w:after="120"/>
        <w:ind w:leftChars="0"/>
        <w:jc w:val="both"/>
        <w:rPr>
          <w:rFonts w:eastAsia="MS Mincho"/>
          <w:b/>
          <w:i/>
        </w:rPr>
      </w:pPr>
      <w:r w:rsidRPr="002D47A1">
        <w:rPr>
          <w:rFonts w:eastAsia="MS Mincho"/>
          <w:b/>
          <w:i/>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386F8E9" w14:textId="3D6C45DF" w:rsidR="006B42ED" w:rsidRDefault="006B42ED" w:rsidP="00CF049C">
      <w:pPr>
        <w:pStyle w:val="2"/>
      </w:pPr>
      <w:r>
        <w:t>M</w:t>
      </w:r>
      <w:r w:rsidRPr="00380328">
        <w:rPr>
          <w:rFonts w:hint="eastAsia"/>
        </w:rPr>
        <w:t>inimum separation time between two UL Tx switchings</w:t>
      </w:r>
    </w:p>
    <w:p w14:paraId="7DC15D0A" w14:textId="7A02D417" w:rsidR="00C27932" w:rsidRDefault="000D5407" w:rsidP="00C27932">
      <w:pPr>
        <w:rPr>
          <w:rFonts w:eastAsia="宋体"/>
          <w:lang w:eastAsia="zh-CN"/>
        </w:rPr>
      </w:pPr>
      <w:r>
        <w:rPr>
          <w:rFonts w:eastAsia="宋体"/>
          <w:lang w:eastAsia="zh-CN"/>
        </w:rPr>
        <w:t xml:space="preserve">According to the minimum separation time between two UL Tx switching, </w:t>
      </w:r>
      <w:r w:rsidR="00F34F9B">
        <w:rPr>
          <w:rFonts w:eastAsia="宋体"/>
          <w:lang w:eastAsia="zh-CN"/>
        </w:rPr>
        <w:t xml:space="preserve">it </w:t>
      </w:r>
      <w:r w:rsidR="00630F47">
        <w:rPr>
          <w:rFonts w:eastAsia="宋体"/>
          <w:lang w:eastAsia="zh-CN"/>
        </w:rPr>
        <w:t>reuse</w:t>
      </w:r>
      <w:r w:rsidR="00144739">
        <w:rPr>
          <w:rFonts w:eastAsia="宋体"/>
          <w:lang w:eastAsia="zh-CN"/>
        </w:rPr>
        <w:t>s</w:t>
      </w:r>
      <w:r w:rsidR="00630F47">
        <w:rPr>
          <w:rFonts w:eastAsia="宋体"/>
          <w:lang w:eastAsia="zh-CN"/>
        </w:rPr>
        <w:t xml:space="preserve"> Rel-16/R-17 restrictions that </w:t>
      </w:r>
      <w:r w:rsidR="00630F47" w:rsidRPr="00630F47">
        <w:rPr>
          <w:rFonts w:eastAsia="宋体"/>
          <w:lang w:eastAsia="zh-CN"/>
        </w:rPr>
        <w:t>no more than one uplink Tx switching within a reference slot</w:t>
      </w:r>
      <w:r w:rsidR="00630F47">
        <w:rPr>
          <w:rFonts w:eastAsia="宋体"/>
          <w:lang w:eastAsia="zh-CN"/>
        </w:rPr>
        <w:t>. Second,</w:t>
      </w:r>
      <w:r w:rsidR="00261538">
        <w:rPr>
          <w:rFonts w:eastAsia="宋体"/>
          <w:lang w:eastAsia="zh-CN"/>
        </w:rPr>
        <w:t xml:space="preserve"> the intension of the WA is to</w:t>
      </w:r>
      <w:r w:rsidR="00144739">
        <w:rPr>
          <w:rFonts w:eastAsia="宋体"/>
          <w:lang w:eastAsia="zh-CN"/>
        </w:rPr>
        <w:t xml:space="preserve"> prevent frequent Tx switching, and </w:t>
      </w:r>
      <w:r w:rsidR="004A2A8D">
        <w:rPr>
          <w:rFonts w:eastAsia="宋体"/>
          <w:lang w:eastAsia="zh-CN"/>
        </w:rPr>
        <w:t>gives separate time between two UL tx switching for 3 bands and 4 bands.</w:t>
      </w:r>
      <w:r w:rsidR="00144739">
        <w:rPr>
          <w:rFonts w:eastAsia="宋体"/>
          <w:lang w:eastAsia="zh-CN"/>
        </w:rPr>
        <w:t xml:space="preserve"> It is generally fine to have a larger minimum separation time and reported by UE capability. So we support to confirm the WA. </w:t>
      </w:r>
      <w:r w:rsidR="00261538">
        <w:rPr>
          <w:rFonts w:eastAsia="宋体"/>
          <w:lang w:eastAsia="zh-CN"/>
        </w:rPr>
        <w:t xml:space="preserve"> </w:t>
      </w:r>
    </w:p>
    <w:p w14:paraId="598F5E5B" w14:textId="391C019F" w:rsidR="00144739" w:rsidRPr="00144739" w:rsidRDefault="00144739" w:rsidP="00144739">
      <w:pPr>
        <w:pStyle w:val="aff8"/>
        <w:numPr>
          <w:ilvl w:val="0"/>
          <w:numId w:val="31"/>
        </w:numPr>
        <w:ind w:leftChars="0"/>
        <w:rPr>
          <w:rFonts w:eastAsia="宋体"/>
          <w:b/>
          <w:i/>
          <w:lang w:eastAsia="zh-CN"/>
        </w:rPr>
      </w:pPr>
      <w:r w:rsidRPr="00144739">
        <w:rPr>
          <w:rFonts w:eastAsia="宋体"/>
          <w:b/>
          <w:i/>
          <w:lang w:eastAsia="zh-CN"/>
        </w:rPr>
        <w:t xml:space="preserve">Confirm the following working assumption. </w:t>
      </w:r>
    </w:p>
    <w:tbl>
      <w:tblPr>
        <w:tblStyle w:val="aff"/>
        <w:tblW w:w="0" w:type="auto"/>
        <w:tblLook w:val="04A0" w:firstRow="1" w:lastRow="0" w:firstColumn="1" w:lastColumn="0" w:noHBand="0" w:noVBand="1"/>
      </w:tblPr>
      <w:tblGrid>
        <w:gridCol w:w="9630"/>
      </w:tblGrid>
      <w:tr w:rsidR="00C27932" w:rsidRPr="009B3555" w14:paraId="127DD11E" w14:textId="77777777" w:rsidTr="00C27932">
        <w:tc>
          <w:tcPr>
            <w:tcW w:w="9630" w:type="dxa"/>
          </w:tcPr>
          <w:p w14:paraId="3A455568" w14:textId="77777777" w:rsidR="00CF049C" w:rsidRPr="009B3555" w:rsidRDefault="00CF049C" w:rsidP="00CF049C">
            <w:pPr>
              <w:rPr>
                <w:rFonts w:cs="Times"/>
                <w:b/>
                <w:bCs/>
                <w:i/>
                <w:highlight w:val="green"/>
                <w:lang w:eastAsia="x-none"/>
              </w:rPr>
            </w:pPr>
            <w:r w:rsidRPr="009B3555">
              <w:rPr>
                <w:rFonts w:cs="Times"/>
                <w:b/>
                <w:bCs/>
                <w:i/>
                <w:highlight w:val="green"/>
                <w:lang w:eastAsia="x-none"/>
              </w:rPr>
              <w:t>Agreement</w:t>
            </w:r>
          </w:p>
          <w:p w14:paraId="10EA39D8" w14:textId="77777777" w:rsidR="00CF049C" w:rsidRPr="009B3555" w:rsidRDefault="00CF049C" w:rsidP="00CF049C">
            <w:pPr>
              <w:rPr>
                <w:rFonts w:ascii="Calibri" w:eastAsia="宋体" w:hAnsi="Calibri" w:cs="Calibri"/>
                <w:i/>
                <w:sz w:val="22"/>
              </w:rPr>
            </w:pPr>
            <w:r w:rsidRPr="009B3555">
              <w:rPr>
                <w:rFonts w:eastAsia="宋体"/>
                <w:i/>
                <w:sz w:val="22"/>
              </w:rPr>
              <w:t>Following restrictions are applied for Rel-18 UL Tx switching across 3 or 4 bands.</w:t>
            </w:r>
          </w:p>
          <w:p w14:paraId="04B9DCC1" w14:textId="77777777" w:rsidR="00CF049C" w:rsidRPr="009B3555" w:rsidRDefault="00CF049C" w:rsidP="00CF049C">
            <w:pPr>
              <w:pStyle w:val="aff8"/>
              <w:numPr>
                <w:ilvl w:val="0"/>
                <w:numId w:val="37"/>
              </w:numPr>
              <w:overflowPunct/>
              <w:autoSpaceDE/>
              <w:autoSpaceDN/>
              <w:adjustRightInd/>
              <w:spacing w:after="0"/>
              <w:ind w:leftChars="0"/>
              <w:jc w:val="both"/>
              <w:rPr>
                <w:rFonts w:eastAsia="MS Mincho"/>
                <w:i/>
                <w:lang w:val="en-AU"/>
              </w:rPr>
            </w:pPr>
            <w:r w:rsidRPr="009B3555">
              <w:rPr>
                <w:rFonts w:eastAsia="MS Mincho"/>
                <w:i/>
                <w:lang w:val="en-AU"/>
              </w:rPr>
              <w:lastRenderedPageBreak/>
              <w:t>The UE does not expect to perform more than one uplink switching within a reference slot based on µ</w:t>
            </w:r>
            <w:r w:rsidRPr="009B3555">
              <w:rPr>
                <w:rFonts w:eastAsia="MS Mincho"/>
                <w:i/>
                <w:vertAlign w:val="subscript"/>
                <w:lang w:val="en-AU"/>
              </w:rPr>
              <w:t>UL</w:t>
            </w:r>
            <w:r w:rsidRPr="009B3555">
              <w:rPr>
                <w:rFonts w:eastAsia="MS Mincho"/>
                <w:i/>
                <w:lang w:val="en-AU"/>
              </w:rPr>
              <w:t> = max(µ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in case of 3 bands, µ</w:t>
            </w:r>
            <w:r w:rsidRPr="009B3555">
              <w:rPr>
                <w:rFonts w:eastAsia="MS Mincho"/>
                <w:i/>
                <w:vertAlign w:val="subscript"/>
                <w:lang w:val="en-AU"/>
              </w:rPr>
              <w:t>UL</w:t>
            </w:r>
            <w:r w:rsidRPr="009B3555">
              <w:rPr>
                <w:rFonts w:eastAsia="MS Mincho"/>
                <w:i/>
                <w:lang w:val="en-AU"/>
              </w:rPr>
              <w:t> = max(µ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µ</w:t>
            </w:r>
            <w:r w:rsidRPr="009B3555">
              <w:rPr>
                <w:rFonts w:eastAsia="MS Mincho"/>
                <w:i/>
                <w:vertAlign w:val="subscript"/>
                <w:lang w:val="en-AU"/>
              </w:rPr>
              <w:t>UL, 4</w:t>
            </w:r>
            <w:r w:rsidRPr="009B3555">
              <w:rPr>
                <w:rFonts w:eastAsia="MS Mincho"/>
                <w:i/>
                <w:lang w:val="en-AU"/>
              </w:rPr>
              <w:t>) in case of 4 bands, where 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µ</w:t>
            </w:r>
            <w:r w:rsidRPr="009B3555">
              <w:rPr>
                <w:rFonts w:eastAsia="MS Mincho"/>
                <w:i/>
                <w:vertAlign w:val="subscript"/>
                <w:lang w:val="en-AU"/>
              </w:rPr>
              <w:t>UL, 4</w:t>
            </w:r>
            <w:r w:rsidRPr="009B3555">
              <w:rPr>
                <w:rFonts w:eastAsia="MS Mincho"/>
                <w:i/>
                <w:lang w:val="en-AU"/>
              </w:rPr>
              <w:t> are SCSs of active UL bandwidth parts of the bands in the band combination</w:t>
            </w:r>
          </w:p>
          <w:p w14:paraId="69567DF3" w14:textId="77777777" w:rsidR="00CF049C" w:rsidRPr="009B3555" w:rsidRDefault="00CF049C" w:rsidP="00CF049C">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If there are two consecutive intra-band carriers in one band, µ</w:t>
            </w:r>
            <w:r w:rsidRPr="009B3555">
              <w:rPr>
                <w:rFonts w:eastAsia="MS Mincho"/>
                <w:i/>
                <w:vertAlign w:val="subscript"/>
                <w:lang w:val="en-AU"/>
              </w:rPr>
              <w:t>UL, 1</w:t>
            </w:r>
            <w:r w:rsidRPr="009B3555">
              <w:rPr>
                <w:rFonts w:eastAsia="MS Mincho"/>
                <w:i/>
                <w:lang w:val="en-AU"/>
              </w:rPr>
              <w:t> = max(µ</w:t>
            </w:r>
            <w:r w:rsidRPr="009B3555">
              <w:rPr>
                <w:rFonts w:eastAsia="MS Mincho"/>
                <w:i/>
                <w:vertAlign w:val="subscript"/>
                <w:lang w:val="en-AU"/>
              </w:rPr>
              <w:t>UL, 1-1</w:t>
            </w:r>
            <w:r w:rsidRPr="009B3555">
              <w:rPr>
                <w:rFonts w:eastAsia="MS Mincho"/>
                <w:i/>
                <w:lang w:val="en-AU"/>
              </w:rPr>
              <w:t>, µ</w:t>
            </w:r>
            <w:r w:rsidRPr="009B3555">
              <w:rPr>
                <w:rFonts w:eastAsia="MS Mincho"/>
                <w:i/>
                <w:vertAlign w:val="subscript"/>
                <w:lang w:val="en-AU"/>
              </w:rPr>
              <w:t>UL, 1-2</w:t>
            </w:r>
            <w:r w:rsidRPr="009B3555">
              <w:rPr>
                <w:rFonts w:eastAsia="MS Mincho"/>
                <w:i/>
                <w:lang w:val="en-AU"/>
              </w:rPr>
              <w:t>), where µ</w:t>
            </w:r>
            <w:r w:rsidRPr="009B3555">
              <w:rPr>
                <w:rFonts w:eastAsia="MS Mincho"/>
                <w:i/>
                <w:vertAlign w:val="subscript"/>
                <w:lang w:val="en-AU"/>
              </w:rPr>
              <w:t xml:space="preserve">UL, 1-1 </w:t>
            </w:r>
            <w:r w:rsidRPr="009B3555">
              <w:rPr>
                <w:rFonts w:eastAsia="MS Mincho"/>
                <w:i/>
                <w:lang w:val="en-AU"/>
              </w:rPr>
              <w:t>and µ</w:t>
            </w:r>
            <w:r w:rsidRPr="009B3555">
              <w:rPr>
                <w:rFonts w:eastAsia="MS Mincho"/>
                <w:i/>
                <w:vertAlign w:val="subscript"/>
                <w:lang w:val="en-AU"/>
              </w:rPr>
              <w:t>UL, 1-2</w:t>
            </w:r>
            <w:r w:rsidRPr="009B3555">
              <w:rPr>
                <w:rFonts w:eastAsia="MS Mincho"/>
                <w:i/>
                <w:lang w:val="en-AU"/>
              </w:rPr>
              <w:t> are SCSs of active UL bandwidth parts of the carriers in the band</w:t>
            </w:r>
          </w:p>
          <w:p w14:paraId="362AC911" w14:textId="77777777" w:rsidR="00CF049C" w:rsidRPr="009B3555" w:rsidRDefault="00CF049C" w:rsidP="00CF049C">
            <w:pPr>
              <w:pStyle w:val="aff8"/>
              <w:numPr>
                <w:ilvl w:val="0"/>
                <w:numId w:val="37"/>
              </w:numPr>
              <w:overflowPunct/>
              <w:autoSpaceDE/>
              <w:autoSpaceDN/>
              <w:adjustRightInd/>
              <w:spacing w:after="0"/>
              <w:ind w:leftChars="0"/>
              <w:jc w:val="both"/>
              <w:rPr>
                <w:rFonts w:eastAsia="MS Mincho"/>
                <w:i/>
                <w:lang w:val="en-AU"/>
              </w:rPr>
            </w:pPr>
            <w:r w:rsidRPr="009B3555">
              <w:rPr>
                <w:rFonts w:eastAsia="MS Mincho"/>
                <w:i/>
                <w:highlight w:val="darkYellow"/>
                <w:lang w:val="en-AU"/>
              </w:rPr>
              <w:t>(working assumption)</w:t>
            </w:r>
            <w:r w:rsidRPr="009B3555">
              <w:rPr>
                <w:rFonts w:eastAsia="MS Mincho"/>
                <w:i/>
                <w:lang w:val="en-AU"/>
              </w:rPr>
              <w:t xml:space="preserve"> If two uplink switching are triggered and result in UL transmissions on more than 2 bands within any two consecutive reference slots, then the time duration between the end of </w:t>
            </w:r>
            <w:r w:rsidRPr="009B3555">
              <w:rPr>
                <w:i/>
              </w:rPr>
              <w:t xml:space="preserve">all </w:t>
            </w:r>
            <w:r w:rsidRPr="009B3555">
              <w:rPr>
                <w:rFonts w:eastAsia="MS Mincho"/>
                <w:i/>
                <w:lang w:val="en-AU"/>
              </w:rPr>
              <w:t>transmission</w:t>
            </w:r>
            <w:r w:rsidRPr="009B3555">
              <w:rPr>
                <w:i/>
              </w:rPr>
              <w:t>(s) prior to the first uplink switching</w:t>
            </w:r>
            <w:r w:rsidRPr="009B3555">
              <w:rPr>
                <w:rFonts w:eastAsia="MS Mincho"/>
                <w:i/>
                <w:lang w:val="en-AU"/>
              </w:rPr>
              <w:t xml:space="preserve"> and the start of </w:t>
            </w:r>
            <w:r w:rsidRPr="009B3555">
              <w:rPr>
                <w:i/>
              </w:rPr>
              <w:t>all</w:t>
            </w:r>
            <w:r w:rsidRPr="009B3555">
              <w:rPr>
                <w:rFonts w:eastAsia="MS Mincho"/>
                <w:i/>
                <w:lang w:val="en-AU"/>
              </w:rPr>
              <w:t xml:space="preserve"> transmission</w:t>
            </w:r>
            <w:r w:rsidRPr="009B3555">
              <w:rPr>
                <w:i/>
              </w:rPr>
              <w:t>(s) after the second uplink switching</w:t>
            </w:r>
            <w:r w:rsidRPr="009B3555">
              <w:rPr>
                <w:rFonts w:eastAsia="MS Mincho"/>
                <w:i/>
                <w:lang w:val="en-AU"/>
              </w:rPr>
              <w:t xml:space="preserve"> within the two reference slots is expected to be not less than a minimum separation time </w:t>
            </w:r>
          </w:p>
          <w:p w14:paraId="22705955" w14:textId="77777777" w:rsidR="00CF049C" w:rsidRPr="009B3555" w:rsidRDefault="00CF049C" w:rsidP="00CF049C">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 xml:space="preserve">The minimum separation time is a sum of X us and the switching gap required for </w:t>
            </w:r>
            <w:r w:rsidRPr="009B3555">
              <w:rPr>
                <w:i/>
              </w:rPr>
              <w:t>the second uplink switching</w:t>
            </w:r>
            <w:r w:rsidRPr="009B3555">
              <w:rPr>
                <w:rFonts w:eastAsia="MS Mincho"/>
                <w:i/>
                <w:lang w:val="en-AU"/>
              </w:rPr>
              <w:t>.</w:t>
            </w:r>
          </w:p>
          <w:p w14:paraId="281D98DB" w14:textId="6856E49D" w:rsidR="00C27932" w:rsidRPr="00981C62" w:rsidRDefault="00CF049C" w:rsidP="00CF049C">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X us is subject to UE capability with a value set of {0us, 500us}</w:t>
            </w:r>
          </w:p>
        </w:tc>
      </w:tr>
    </w:tbl>
    <w:p w14:paraId="7BC4E0BA" w14:textId="77777777" w:rsidR="00C27932" w:rsidRDefault="00C27932" w:rsidP="00C27932">
      <w:pPr>
        <w:rPr>
          <w:rFonts w:eastAsiaTheme="minorEastAsia"/>
          <w:lang w:eastAsia="ja-JP"/>
        </w:rPr>
      </w:pPr>
    </w:p>
    <w:p w14:paraId="0886DEFB" w14:textId="65A31902" w:rsidR="00BD1E4F" w:rsidRPr="001D3F32" w:rsidRDefault="00BD1E4F" w:rsidP="000E0103">
      <w:pPr>
        <w:pStyle w:val="1"/>
        <w:tabs>
          <w:tab w:val="num" w:pos="426"/>
        </w:tabs>
        <w:ind w:left="426" w:hanging="426"/>
        <w:jc w:val="both"/>
        <w:rPr>
          <w:szCs w:val="36"/>
          <w:lang w:eastAsia="ja-JP"/>
        </w:rPr>
      </w:pPr>
      <w:r w:rsidRPr="001D3F32">
        <w:rPr>
          <w:szCs w:val="36"/>
          <w:lang w:eastAsia="ja-JP"/>
        </w:rPr>
        <w:t>Conclusion</w:t>
      </w:r>
    </w:p>
    <w:p w14:paraId="392502A6" w14:textId="7ADF4C5B" w:rsidR="00BD1E4F" w:rsidRDefault="00BD1E4F" w:rsidP="000E0103">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6DB82621" w14:textId="77777777" w:rsidR="00A54A7E" w:rsidRPr="00C24CDE" w:rsidRDefault="00A54A7E" w:rsidP="00A54A7E">
      <w:pPr>
        <w:pStyle w:val="aff8"/>
        <w:numPr>
          <w:ilvl w:val="0"/>
          <w:numId w:val="39"/>
        </w:numPr>
        <w:ind w:leftChars="0"/>
        <w:rPr>
          <w:rFonts w:eastAsia="宋体"/>
          <w:b/>
          <w:i/>
          <w:lang w:eastAsia="zh-CN"/>
        </w:rPr>
      </w:pPr>
      <w:r>
        <w:rPr>
          <w:rFonts w:eastAsia="宋体"/>
          <w:b/>
          <w:i/>
          <w:lang w:eastAsia="zh-CN"/>
        </w:rPr>
        <w:t>Confirm the</w:t>
      </w:r>
      <w:r w:rsidRPr="00C24CDE">
        <w:rPr>
          <w:rFonts w:eastAsia="宋体"/>
          <w:b/>
          <w:i/>
          <w:lang w:eastAsia="zh-CN"/>
        </w:rPr>
        <w:t xml:space="preserve"> </w:t>
      </w:r>
      <w:r>
        <w:rPr>
          <w:rFonts w:eastAsia="宋体"/>
          <w:b/>
          <w:i/>
          <w:lang w:eastAsia="zh-CN"/>
        </w:rPr>
        <w:t>working assumption</w:t>
      </w:r>
      <w:r w:rsidRPr="00C24CDE">
        <w:rPr>
          <w:rFonts w:eastAsia="宋体"/>
          <w:b/>
          <w:i/>
          <w:lang w:eastAsia="zh-CN"/>
        </w:rPr>
        <w:t xml:space="preserve">: </w:t>
      </w:r>
    </w:p>
    <w:p w14:paraId="4C9BA1C5" w14:textId="77777777" w:rsidR="00A54A7E" w:rsidRPr="00C24CDE" w:rsidRDefault="00A54A7E" w:rsidP="00A54A7E">
      <w:pPr>
        <w:rPr>
          <w:rFonts w:cs="Times"/>
          <w:b/>
          <w:bCs/>
          <w:i/>
          <w:lang w:eastAsia="ja-JP"/>
        </w:rPr>
      </w:pPr>
      <w:r w:rsidRPr="00C24CDE">
        <w:rPr>
          <w:rFonts w:cs="Times"/>
          <w:b/>
          <w:bCs/>
          <w:i/>
          <w:highlight w:val="darkYellow"/>
          <w:lang w:eastAsia="ja-JP"/>
        </w:rPr>
        <w:t>Working Assumption</w:t>
      </w:r>
    </w:p>
    <w:p w14:paraId="0999DE0F" w14:textId="77777777" w:rsidR="00A54A7E" w:rsidRPr="009B3555" w:rsidRDefault="00A54A7E" w:rsidP="009B3555">
      <w:pPr>
        <w:pStyle w:val="aff8"/>
        <w:numPr>
          <w:ilvl w:val="0"/>
          <w:numId w:val="40"/>
        </w:numPr>
        <w:ind w:leftChars="0"/>
        <w:rPr>
          <w:rFonts w:eastAsia="宋体"/>
          <w:b/>
          <w:i/>
          <w:lang w:eastAsia="zh-CN"/>
        </w:rPr>
      </w:pPr>
      <w:r w:rsidRPr="009B3555">
        <w:rPr>
          <w:rFonts w:cs="Times"/>
          <w:b/>
          <w:bCs/>
          <w:i/>
          <w:lang w:eastAsia="ja-JP"/>
        </w:rPr>
        <w:t>If Rel-18 UL Tx switching for 3 or 4 bands is supported, both Switched UL and Dual UL are supported</w:t>
      </w:r>
    </w:p>
    <w:p w14:paraId="6EE8909B" w14:textId="77777777" w:rsidR="00A54A7E" w:rsidRPr="002D47A1" w:rsidRDefault="00A54A7E" w:rsidP="00A54A7E">
      <w:pPr>
        <w:pStyle w:val="aff8"/>
        <w:numPr>
          <w:ilvl w:val="0"/>
          <w:numId w:val="39"/>
        </w:numPr>
        <w:overflowPunct/>
        <w:autoSpaceDE/>
        <w:autoSpaceDN/>
        <w:adjustRightInd/>
        <w:spacing w:afterLines="50" w:after="120"/>
        <w:ind w:leftChars="0"/>
        <w:jc w:val="both"/>
        <w:rPr>
          <w:rFonts w:eastAsia="MS Mincho"/>
          <w:b/>
          <w:i/>
        </w:rPr>
      </w:pPr>
      <w:r>
        <w:rPr>
          <w:rFonts w:eastAsia="MS Mincho"/>
          <w:b/>
          <w:i/>
        </w:rPr>
        <w:t xml:space="preserve">Support </w:t>
      </w:r>
      <w:r w:rsidRPr="002D47A1">
        <w:rPr>
          <w:rFonts w:eastAsia="MS Mincho"/>
          <w:b/>
          <w:i/>
        </w:rPr>
        <w:t>Alt.2</w:t>
      </w:r>
      <w:r>
        <w:rPr>
          <w:rFonts w:eastAsia="MS Mincho"/>
          <w:b/>
          <w:i/>
        </w:rPr>
        <w:t xml:space="preserve"> as the </w:t>
      </w:r>
      <w:r w:rsidRPr="002D47A1">
        <w:rPr>
          <w:rFonts w:eastAsia="MS Mincho"/>
          <w:b/>
          <w:i/>
        </w:rPr>
        <w:t>switching period location: switching period location is configured per band pair, and the priority list of bands is also configured</w:t>
      </w:r>
    </w:p>
    <w:p w14:paraId="6B007C1F" w14:textId="77777777" w:rsidR="00A54A7E" w:rsidRPr="002D47A1" w:rsidRDefault="00A54A7E" w:rsidP="00A54A7E">
      <w:pPr>
        <w:pStyle w:val="aff8"/>
        <w:numPr>
          <w:ilvl w:val="1"/>
          <w:numId w:val="39"/>
        </w:numPr>
        <w:overflowPunct/>
        <w:autoSpaceDE/>
        <w:autoSpaceDN/>
        <w:adjustRightInd/>
        <w:spacing w:afterLines="50" w:after="120"/>
        <w:ind w:leftChars="0"/>
        <w:jc w:val="both"/>
        <w:rPr>
          <w:rFonts w:eastAsia="MS Mincho"/>
          <w:b/>
          <w:i/>
        </w:rPr>
      </w:pPr>
      <w:r w:rsidRPr="002D47A1">
        <w:rPr>
          <w:rFonts w:eastAsia="MS Mincho"/>
          <w:b/>
          <w:i/>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0CA6AE2C" w14:textId="77777777" w:rsidR="00A54A7E" w:rsidRPr="00144739" w:rsidRDefault="00A54A7E" w:rsidP="00A54A7E">
      <w:pPr>
        <w:pStyle w:val="aff8"/>
        <w:numPr>
          <w:ilvl w:val="0"/>
          <w:numId w:val="39"/>
        </w:numPr>
        <w:ind w:leftChars="0"/>
        <w:rPr>
          <w:rFonts w:eastAsia="宋体"/>
          <w:b/>
          <w:i/>
          <w:lang w:eastAsia="zh-CN"/>
        </w:rPr>
      </w:pPr>
      <w:r w:rsidRPr="00144739">
        <w:rPr>
          <w:rFonts w:eastAsia="宋体"/>
          <w:b/>
          <w:i/>
          <w:lang w:eastAsia="zh-CN"/>
        </w:rPr>
        <w:t xml:space="preserve">Confirm the following working assumption. </w:t>
      </w:r>
    </w:p>
    <w:tbl>
      <w:tblPr>
        <w:tblStyle w:val="aff"/>
        <w:tblW w:w="0" w:type="auto"/>
        <w:tblLook w:val="04A0" w:firstRow="1" w:lastRow="0" w:firstColumn="1" w:lastColumn="0" w:noHBand="0" w:noVBand="1"/>
      </w:tblPr>
      <w:tblGrid>
        <w:gridCol w:w="9630"/>
      </w:tblGrid>
      <w:tr w:rsidR="00A54A7E" w:rsidRPr="009B3555" w14:paraId="754A352B" w14:textId="77777777" w:rsidTr="00C27932">
        <w:tc>
          <w:tcPr>
            <w:tcW w:w="9630" w:type="dxa"/>
          </w:tcPr>
          <w:p w14:paraId="717479AA" w14:textId="77777777" w:rsidR="00A54A7E" w:rsidRPr="009B3555" w:rsidRDefault="00A54A7E" w:rsidP="00092FCE">
            <w:pPr>
              <w:rPr>
                <w:rFonts w:cs="Times"/>
                <w:b/>
                <w:bCs/>
                <w:i/>
                <w:highlight w:val="green"/>
                <w:lang w:eastAsia="x-none"/>
              </w:rPr>
            </w:pPr>
            <w:r w:rsidRPr="009B3555">
              <w:rPr>
                <w:rFonts w:cs="Times"/>
                <w:b/>
                <w:bCs/>
                <w:i/>
                <w:highlight w:val="green"/>
                <w:lang w:eastAsia="x-none"/>
              </w:rPr>
              <w:t>Agreement</w:t>
            </w:r>
          </w:p>
          <w:p w14:paraId="1C6C6AFE" w14:textId="77777777" w:rsidR="00A54A7E" w:rsidRPr="009B3555" w:rsidRDefault="00A54A7E" w:rsidP="00092FCE">
            <w:pPr>
              <w:rPr>
                <w:rFonts w:ascii="Calibri" w:eastAsia="宋体" w:hAnsi="Calibri" w:cs="Calibri"/>
                <w:i/>
                <w:sz w:val="22"/>
              </w:rPr>
            </w:pPr>
            <w:r w:rsidRPr="009B3555">
              <w:rPr>
                <w:rFonts w:eastAsia="宋体"/>
                <w:i/>
                <w:sz w:val="22"/>
              </w:rPr>
              <w:t>Following restrictions are applied for Rel-18 UL Tx switching across 3 or 4 bands.</w:t>
            </w:r>
          </w:p>
          <w:p w14:paraId="06514C0C" w14:textId="77777777" w:rsidR="00A54A7E" w:rsidRPr="009B3555" w:rsidRDefault="00A54A7E" w:rsidP="00092FCE">
            <w:pPr>
              <w:pStyle w:val="aff8"/>
              <w:numPr>
                <w:ilvl w:val="0"/>
                <w:numId w:val="37"/>
              </w:numPr>
              <w:overflowPunct/>
              <w:autoSpaceDE/>
              <w:autoSpaceDN/>
              <w:adjustRightInd/>
              <w:spacing w:after="0"/>
              <w:ind w:leftChars="0"/>
              <w:jc w:val="both"/>
              <w:rPr>
                <w:rFonts w:eastAsia="MS Mincho"/>
                <w:i/>
                <w:lang w:val="en-AU"/>
              </w:rPr>
            </w:pPr>
            <w:r w:rsidRPr="009B3555">
              <w:rPr>
                <w:rFonts w:eastAsia="MS Mincho"/>
                <w:i/>
                <w:lang w:val="en-AU"/>
              </w:rPr>
              <w:t>The UE does not expect to perform more than one uplink switching within a reference slot based on µ</w:t>
            </w:r>
            <w:r w:rsidRPr="009B3555">
              <w:rPr>
                <w:rFonts w:eastAsia="MS Mincho"/>
                <w:i/>
                <w:vertAlign w:val="subscript"/>
                <w:lang w:val="en-AU"/>
              </w:rPr>
              <w:t>UL</w:t>
            </w:r>
            <w:r w:rsidRPr="009B3555">
              <w:rPr>
                <w:rFonts w:eastAsia="MS Mincho"/>
                <w:i/>
                <w:lang w:val="en-AU"/>
              </w:rPr>
              <w:t> = max(µ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in case of 3 bands, µ</w:t>
            </w:r>
            <w:r w:rsidRPr="009B3555">
              <w:rPr>
                <w:rFonts w:eastAsia="MS Mincho"/>
                <w:i/>
                <w:vertAlign w:val="subscript"/>
                <w:lang w:val="en-AU"/>
              </w:rPr>
              <w:t>UL</w:t>
            </w:r>
            <w:r w:rsidRPr="009B3555">
              <w:rPr>
                <w:rFonts w:eastAsia="MS Mincho"/>
                <w:i/>
                <w:lang w:val="en-AU"/>
              </w:rPr>
              <w:t> = max(µ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µ</w:t>
            </w:r>
            <w:r w:rsidRPr="009B3555">
              <w:rPr>
                <w:rFonts w:eastAsia="MS Mincho"/>
                <w:i/>
                <w:vertAlign w:val="subscript"/>
                <w:lang w:val="en-AU"/>
              </w:rPr>
              <w:t>UL, 4</w:t>
            </w:r>
            <w:r w:rsidRPr="009B3555">
              <w:rPr>
                <w:rFonts w:eastAsia="MS Mincho"/>
                <w:i/>
                <w:lang w:val="en-AU"/>
              </w:rPr>
              <w:t>) in case of 4 bands, where µ</w:t>
            </w:r>
            <w:r w:rsidRPr="009B3555">
              <w:rPr>
                <w:rFonts w:eastAsia="MS Mincho"/>
                <w:i/>
                <w:vertAlign w:val="subscript"/>
                <w:lang w:val="en-AU"/>
              </w:rPr>
              <w:t>UL, 1</w:t>
            </w:r>
            <w:r w:rsidRPr="009B3555">
              <w:rPr>
                <w:rFonts w:eastAsia="MS Mincho"/>
                <w:i/>
                <w:lang w:val="en-AU"/>
              </w:rPr>
              <w:t>, µ</w:t>
            </w:r>
            <w:r w:rsidRPr="009B3555">
              <w:rPr>
                <w:rFonts w:eastAsia="MS Mincho"/>
                <w:i/>
                <w:vertAlign w:val="subscript"/>
                <w:lang w:val="en-AU"/>
              </w:rPr>
              <w:t>UL, 2</w:t>
            </w:r>
            <w:r w:rsidRPr="009B3555">
              <w:rPr>
                <w:rFonts w:eastAsia="MS Mincho"/>
                <w:i/>
                <w:lang w:val="en-AU"/>
              </w:rPr>
              <w:t>, µ</w:t>
            </w:r>
            <w:r w:rsidRPr="009B3555">
              <w:rPr>
                <w:rFonts w:eastAsia="MS Mincho"/>
                <w:i/>
                <w:vertAlign w:val="subscript"/>
                <w:lang w:val="en-AU"/>
              </w:rPr>
              <w:t>UL, 3</w:t>
            </w:r>
            <w:r w:rsidRPr="009B3555">
              <w:rPr>
                <w:rFonts w:eastAsia="MS Mincho"/>
                <w:i/>
                <w:lang w:val="en-AU"/>
              </w:rPr>
              <w:t>, µ</w:t>
            </w:r>
            <w:r w:rsidRPr="009B3555">
              <w:rPr>
                <w:rFonts w:eastAsia="MS Mincho"/>
                <w:i/>
                <w:vertAlign w:val="subscript"/>
                <w:lang w:val="en-AU"/>
              </w:rPr>
              <w:t>UL, 4</w:t>
            </w:r>
            <w:r w:rsidRPr="009B3555">
              <w:rPr>
                <w:rFonts w:eastAsia="MS Mincho"/>
                <w:i/>
                <w:lang w:val="en-AU"/>
              </w:rPr>
              <w:t> are SCSs of active UL bandwidth parts of the bands in the band combination</w:t>
            </w:r>
          </w:p>
          <w:p w14:paraId="77DF1D8E" w14:textId="77777777" w:rsidR="00A54A7E" w:rsidRPr="009B3555" w:rsidRDefault="00A54A7E" w:rsidP="00092FCE">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If there are two consecutive intra-band carriers in one band, µ</w:t>
            </w:r>
            <w:r w:rsidRPr="009B3555">
              <w:rPr>
                <w:rFonts w:eastAsia="MS Mincho"/>
                <w:i/>
                <w:vertAlign w:val="subscript"/>
                <w:lang w:val="en-AU"/>
              </w:rPr>
              <w:t>UL, 1</w:t>
            </w:r>
            <w:r w:rsidRPr="009B3555">
              <w:rPr>
                <w:rFonts w:eastAsia="MS Mincho"/>
                <w:i/>
                <w:lang w:val="en-AU"/>
              </w:rPr>
              <w:t> = max(µ</w:t>
            </w:r>
            <w:r w:rsidRPr="009B3555">
              <w:rPr>
                <w:rFonts w:eastAsia="MS Mincho"/>
                <w:i/>
                <w:vertAlign w:val="subscript"/>
                <w:lang w:val="en-AU"/>
              </w:rPr>
              <w:t>UL, 1-1</w:t>
            </w:r>
            <w:r w:rsidRPr="009B3555">
              <w:rPr>
                <w:rFonts w:eastAsia="MS Mincho"/>
                <w:i/>
                <w:lang w:val="en-AU"/>
              </w:rPr>
              <w:t>, µ</w:t>
            </w:r>
            <w:r w:rsidRPr="009B3555">
              <w:rPr>
                <w:rFonts w:eastAsia="MS Mincho"/>
                <w:i/>
                <w:vertAlign w:val="subscript"/>
                <w:lang w:val="en-AU"/>
              </w:rPr>
              <w:t>UL, 1-2</w:t>
            </w:r>
            <w:r w:rsidRPr="009B3555">
              <w:rPr>
                <w:rFonts w:eastAsia="MS Mincho"/>
                <w:i/>
                <w:lang w:val="en-AU"/>
              </w:rPr>
              <w:t>), where µ</w:t>
            </w:r>
            <w:r w:rsidRPr="009B3555">
              <w:rPr>
                <w:rFonts w:eastAsia="MS Mincho"/>
                <w:i/>
                <w:vertAlign w:val="subscript"/>
                <w:lang w:val="en-AU"/>
              </w:rPr>
              <w:t xml:space="preserve">UL, 1-1 </w:t>
            </w:r>
            <w:r w:rsidRPr="009B3555">
              <w:rPr>
                <w:rFonts w:eastAsia="MS Mincho"/>
                <w:i/>
                <w:lang w:val="en-AU"/>
              </w:rPr>
              <w:t>and µ</w:t>
            </w:r>
            <w:r w:rsidRPr="009B3555">
              <w:rPr>
                <w:rFonts w:eastAsia="MS Mincho"/>
                <w:i/>
                <w:vertAlign w:val="subscript"/>
                <w:lang w:val="en-AU"/>
              </w:rPr>
              <w:t>UL, 1-2</w:t>
            </w:r>
            <w:r w:rsidRPr="009B3555">
              <w:rPr>
                <w:rFonts w:eastAsia="MS Mincho"/>
                <w:i/>
                <w:lang w:val="en-AU"/>
              </w:rPr>
              <w:t> are SCSs of active UL bandwidth parts of the carriers in the band</w:t>
            </w:r>
          </w:p>
          <w:p w14:paraId="457DCF71" w14:textId="77777777" w:rsidR="00A54A7E" w:rsidRPr="009B3555" w:rsidRDefault="00A54A7E" w:rsidP="00092FCE">
            <w:pPr>
              <w:pStyle w:val="aff8"/>
              <w:numPr>
                <w:ilvl w:val="0"/>
                <w:numId w:val="37"/>
              </w:numPr>
              <w:overflowPunct/>
              <w:autoSpaceDE/>
              <w:autoSpaceDN/>
              <w:adjustRightInd/>
              <w:spacing w:after="0"/>
              <w:ind w:leftChars="0"/>
              <w:jc w:val="both"/>
              <w:rPr>
                <w:rFonts w:eastAsia="MS Mincho"/>
                <w:i/>
                <w:lang w:val="en-AU"/>
              </w:rPr>
            </w:pPr>
            <w:r w:rsidRPr="009B3555">
              <w:rPr>
                <w:rFonts w:eastAsia="MS Mincho"/>
                <w:i/>
                <w:highlight w:val="darkYellow"/>
                <w:lang w:val="en-AU"/>
              </w:rPr>
              <w:t>(working assumption)</w:t>
            </w:r>
            <w:r w:rsidRPr="009B3555">
              <w:rPr>
                <w:rFonts w:eastAsia="MS Mincho"/>
                <w:i/>
                <w:lang w:val="en-AU"/>
              </w:rPr>
              <w:t xml:space="preserve"> If two uplink switching are triggered and result in UL transmissions on more than 2 bands within any two consecutive reference slots, then the time duration between the end of </w:t>
            </w:r>
            <w:r w:rsidRPr="009B3555">
              <w:rPr>
                <w:i/>
              </w:rPr>
              <w:t xml:space="preserve">all </w:t>
            </w:r>
            <w:r w:rsidRPr="009B3555">
              <w:rPr>
                <w:rFonts w:eastAsia="MS Mincho"/>
                <w:i/>
                <w:lang w:val="en-AU"/>
              </w:rPr>
              <w:t>transmission</w:t>
            </w:r>
            <w:r w:rsidRPr="009B3555">
              <w:rPr>
                <w:i/>
              </w:rPr>
              <w:t>(s) prior to the first uplink switching</w:t>
            </w:r>
            <w:r w:rsidRPr="009B3555">
              <w:rPr>
                <w:rFonts w:eastAsia="MS Mincho"/>
                <w:i/>
                <w:lang w:val="en-AU"/>
              </w:rPr>
              <w:t xml:space="preserve"> and the start of </w:t>
            </w:r>
            <w:r w:rsidRPr="009B3555">
              <w:rPr>
                <w:i/>
              </w:rPr>
              <w:t>all</w:t>
            </w:r>
            <w:r w:rsidRPr="009B3555">
              <w:rPr>
                <w:rFonts w:eastAsia="MS Mincho"/>
                <w:i/>
                <w:lang w:val="en-AU"/>
              </w:rPr>
              <w:t xml:space="preserve"> transmission</w:t>
            </w:r>
            <w:r w:rsidRPr="009B3555">
              <w:rPr>
                <w:i/>
              </w:rPr>
              <w:t>(s) after the second uplink switching</w:t>
            </w:r>
            <w:r w:rsidRPr="009B3555">
              <w:rPr>
                <w:rFonts w:eastAsia="MS Mincho"/>
                <w:i/>
                <w:lang w:val="en-AU"/>
              </w:rPr>
              <w:t xml:space="preserve"> within the two reference slots is expected to be not less than a minimum separation time </w:t>
            </w:r>
          </w:p>
          <w:p w14:paraId="068BE976" w14:textId="77777777" w:rsidR="00A54A7E" w:rsidRPr="009B3555" w:rsidRDefault="00A54A7E" w:rsidP="00092FCE">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 xml:space="preserve">The minimum separation time is a sum of X us and the switching gap required for </w:t>
            </w:r>
            <w:r w:rsidRPr="009B3555">
              <w:rPr>
                <w:i/>
              </w:rPr>
              <w:t>the second uplink switching</w:t>
            </w:r>
            <w:r w:rsidRPr="009B3555">
              <w:rPr>
                <w:rFonts w:eastAsia="MS Mincho"/>
                <w:i/>
                <w:lang w:val="en-AU"/>
              </w:rPr>
              <w:t>.</w:t>
            </w:r>
          </w:p>
          <w:p w14:paraId="40880B50" w14:textId="77777777" w:rsidR="00A54A7E" w:rsidRPr="009B3555" w:rsidRDefault="00A54A7E" w:rsidP="00092FCE">
            <w:pPr>
              <w:pStyle w:val="aff8"/>
              <w:numPr>
                <w:ilvl w:val="1"/>
                <w:numId w:val="37"/>
              </w:numPr>
              <w:overflowPunct/>
              <w:autoSpaceDE/>
              <w:autoSpaceDN/>
              <w:adjustRightInd/>
              <w:spacing w:after="0"/>
              <w:ind w:leftChars="0"/>
              <w:jc w:val="both"/>
              <w:rPr>
                <w:rFonts w:eastAsia="MS Mincho"/>
                <w:i/>
                <w:lang w:val="en-AU"/>
              </w:rPr>
            </w:pPr>
            <w:r w:rsidRPr="009B3555">
              <w:rPr>
                <w:rFonts w:eastAsia="MS Mincho"/>
                <w:i/>
                <w:lang w:val="en-AU"/>
              </w:rPr>
              <w:t>X us is subject to UE capability with a value set of {0us, 500us}</w:t>
            </w:r>
          </w:p>
          <w:p w14:paraId="3E26E5C9" w14:textId="77777777" w:rsidR="00A54A7E" w:rsidRPr="009B3555" w:rsidRDefault="00A54A7E" w:rsidP="00092FCE">
            <w:pPr>
              <w:rPr>
                <w:rFonts w:eastAsiaTheme="minorEastAsia"/>
                <w:i/>
                <w:lang w:val="en-AU"/>
              </w:rPr>
            </w:pPr>
          </w:p>
        </w:tc>
      </w:tr>
    </w:tbl>
    <w:bookmarkEnd w:id="6"/>
    <w:bookmarkEnd w:id="7"/>
    <w:p w14:paraId="06277EA8" w14:textId="77777777" w:rsidR="0045740A" w:rsidRPr="001D3F32" w:rsidRDefault="00FC0E47" w:rsidP="000E0103">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46BB2C3" w:rsidR="006B4BF3" w:rsidRDefault="006B0E62" w:rsidP="000E0103">
      <w:pPr>
        <w:pStyle w:val="References"/>
      </w:pPr>
      <w:r w:rsidRPr="006B0E62">
        <w:t>RP-</w:t>
      </w:r>
      <w:bookmarkStart w:id="11" w:name="OLE_LINK1"/>
      <w:r w:rsidRPr="006B0E62">
        <w:t>220834</w:t>
      </w:r>
      <w:r>
        <w:t xml:space="preserve"> </w:t>
      </w:r>
      <w:bookmarkEnd w:id="11"/>
      <w:r w:rsidRPr="006B0E62">
        <w:t>Revised WID on Multi-carrier enhancements</w:t>
      </w:r>
    </w:p>
    <w:p w14:paraId="72B5B1BD" w14:textId="648E2894" w:rsidR="00586131" w:rsidRDefault="00586131" w:rsidP="00586131">
      <w:pPr>
        <w:pStyle w:val="References"/>
      </w:pPr>
      <w:r w:rsidRPr="00586131">
        <w:t>Draft_Minutes_report_RAN1#1</w:t>
      </w:r>
      <w:r w:rsidR="00E0473F">
        <w:t>1</w:t>
      </w:r>
      <w:r w:rsidR="00144739">
        <w:t>1</w:t>
      </w:r>
    </w:p>
    <w:p w14:paraId="4E429226" w14:textId="52542096" w:rsidR="00430531" w:rsidRPr="0021760A" w:rsidRDefault="00144739" w:rsidP="00144739">
      <w:pPr>
        <w:pStyle w:val="References"/>
      </w:pPr>
      <w:r w:rsidRPr="00144739">
        <w:t>R1-2212879</w:t>
      </w:r>
      <w:r w:rsidRPr="00144739">
        <w:tab/>
        <w:t>Summary#3 of discussion on multi-carrier UL Tx switching scheme</w:t>
      </w:r>
      <w:r w:rsidRPr="00144739">
        <w:tab/>
        <w:t>Moderator (NTT DOCOMO, INC.)</w:t>
      </w:r>
      <w:bookmarkStart w:id="12" w:name="_GoBack"/>
      <w:bookmarkEnd w:id="12"/>
    </w:p>
    <w:sectPr w:rsidR="00430531"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C2736" w14:textId="77777777" w:rsidR="000F7EDD" w:rsidRDefault="000F7EDD">
      <w:r>
        <w:separator/>
      </w:r>
    </w:p>
  </w:endnote>
  <w:endnote w:type="continuationSeparator" w:id="0">
    <w:p w14:paraId="12523015" w14:textId="77777777" w:rsidR="000F7EDD" w:rsidRDefault="000F7EDD">
      <w:r>
        <w:continuationSeparator/>
      </w:r>
    </w:p>
  </w:endnote>
  <w:endnote w:type="continuationNotice" w:id="1">
    <w:p w14:paraId="28D56FEF" w14:textId="77777777" w:rsidR="000F7EDD" w:rsidRDefault="000F7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00000000"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3790B" w:rsidRDefault="001379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EF90DC2"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93A66">
      <w:rPr>
        <w:rStyle w:val="af9"/>
      </w:rPr>
      <w:t>1</w:t>
    </w:r>
    <w:r>
      <w:rPr>
        <w:rStyle w:val="af9"/>
      </w:rPr>
      <w:fldChar w:fldCharType="end"/>
    </w:r>
  </w:p>
  <w:p w14:paraId="1032240D" w14:textId="77777777" w:rsidR="0013790B" w:rsidRDefault="0013790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6BF60" w14:textId="77777777" w:rsidR="000F7EDD" w:rsidRDefault="000F7EDD">
      <w:r>
        <w:separator/>
      </w:r>
    </w:p>
  </w:footnote>
  <w:footnote w:type="continuationSeparator" w:id="0">
    <w:p w14:paraId="1A947D89" w14:textId="77777777" w:rsidR="000F7EDD" w:rsidRDefault="000F7EDD">
      <w:r>
        <w:continuationSeparator/>
      </w:r>
    </w:p>
  </w:footnote>
  <w:footnote w:type="continuationNotice" w:id="1">
    <w:p w14:paraId="26B2D798" w14:textId="77777777" w:rsidR="000F7EDD" w:rsidRDefault="000F7E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6642A11"/>
    <w:multiLevelType w:val="hybridMultilevel"/>
    <w:tmpl w:val="FCB674D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0158D"/>
    <w:multiLevelType w:val="hybridMultilevel"/>
    <w:tmpl w:val="E214D6C6"/>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993B46"/>
    <w:multiLevelType w:val="hybridMultilevel"/>
    <w:tmpl w:val="E990C86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6F79EC"/>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833431"/>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F4027"/>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77174A"/>
    <w:multiLevelType w:val="hybridMultilevel"/>
    <w:tmpl w:val="FB2A30B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7F3676"/>
    <w:multiLevelType w:val="hybridMultilevel"/>
    <w:tmpl w:val="167AA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07A4CE2"/>
    <w:multiLevelType w:val="hybridMultilevel"/>
    <w:tmpl w:val="77FED0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E8207F1"/>
    <w:multiLevelType w:val="hybridMultilevel"/>
    <w:tmpl w:val="D472AB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9"/>
  </w:num>
  <w:num w:numId="3">
    <w:abstractNumId w:val="13"/>
  </w:num>
  <w:num w:numId="4">
    <w:abstractNumId w:val="29"/>
  </w:num>
  <w:num w:numId="5">
    <w:abstractNumId w:val="17"/>
  </w:num>
  <w:num w:numId="6">
    <w:abstractNumId w:val="18"/>
  </w:num>
  <w:num w:numId="7">
    <w:abstractNumId w:val="16"/>
  </w:num>
  <w:num w:numId="8">
    <w:abstractNumId w:val="37"/>
  </w:num>
  <w:num w:numId="9">
    <w:abstractNumId w:val="10"/>
  </w:num>
  <w:num w:numId="10">
    <w:abstractNumId w:val="9"/>
  </w:num>
  <w:num w:numId="11">
    <w:abstractNumId w:val="34"/>
  </w:num>
  <w:num w:numId="12">
    <w:abstractNumId w:val="11"/>
  </w:num>
  <w:num w:numId="13">
    <w:abstractNumId w:val="0"/>
  </w:num>
  <w:num w:numId="14">
    <w:abstractNumId w:val="6"/>
  </w:num>
  <w:num w:numId="15">
    <w:abstractNumId w:val="27"/>
  </w:num>
  <w:num w:numId="16">
    <w:abstractNumId w:val="38"/>
  </w:num>
  <w:num w:numId="17">
    <w:abstractNumId w:val="2"/>
  </w:num>
  <w:num w:numId="18">
    <w:abstractNumId w:val="25"/>
  </w:num>
  <w:num w:numId="19">
    <w:abstractNumId w:val="4"/>
  </w:num>
  <w:num w:numId="20">
    <w:abstractNumId w:val="14"/>
  </w:num>
  <w:num w:numId="21">
    <w:abstractNumId w:val="32"/>
  </w:num>
  <w:num w:numId="22">
    <w:abstractNumId w:val="8"/>
  </w:num>
  <w:num w:numId="23">
    <w:abstractNumId w:val="20"/>
  </w:num>
  <w:num w:numId="24">
    <w:abstractNumId w:val="30"/>
  </w:num>
  <w:num w:numId="25">
    <w:abstractNumId w:val="33"/>
  </w:num>
  <w:num w:numId="26">
    <w:abstractNumId w:val="21"/>
  </w:num>
  <w:num w:numId="27">
    <w:abstractNumId w:val="24"/>
  </w:num>
  <w:num w:numId="28">
    <w:abstractNumId w:val="36"/>
  </w:num>
  <w:num w:numId="29">
    <w:abstractNumId w:val="26"/>
  </w:num>
  <w:num w:numId="30">
    <w:abstractNumId w:val="15"/>
  </w:num>
  <w:num w:numId="31">
    <w:abstractNumId w:val="19"/>
  </w:num>
  <w:num w:numId="32">
    <w:abstractNumId w:val="22"/>
  </w:num>
  <w:num w:numId="33">
    <w:abstractNumId w:val="23"/>
  </w:num>
  <w:num w:numId="34">
    <w:abstractNumId w:val="1"/>
  </w:num>
  <w:num w:numId="35">
    <w:abstractNumId w:val="7"/>
  </w:num>
  <w:num w:numId="36">
    <w:abstractNumId w:val="5"/>
  </w:num>
  <w:num w:numId="37">
    <w:abstractNumId w:val="3"/>
  </w:num>
  <w:num w:numId="38">
    <w:abstractNumId w:val="28"/>
  </w:num>
  <w:num w:numId="39">
    <w:abstractNumId w:val="12"/>
  </w:num>
  <w:num w:numId="40">
    <w:abstractNumId w:val="40"/>
  </w:num>
  <w:num w:numId="41">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0A"/>
    <w:rsid w:val="000000C1"/>
    <w:rsid w:val="00000230"/>
    <w:rsid w:val="00000361"/>
    <w:rsid w:val="00000835"/>
    <w:rsid w:val="00000AD8"/>
    <w:rsid w:val="00000E1B"/>
    <w:rsid w:val="00001767"/>
    <w:rsid w:val="00002262"/>
    <w:rsid w:val="000023A0"/>
    <w:rsid w:val="00002485"/>
    <w:rsid w:val="000027C3"/>
    <w:rsid w:val="000029DA"/>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DD1"/>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83E"/>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2E80"/>
    <w:rsid w:val="00043302"/>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17C"/>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6DE4"/>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CAB"/>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41"/>
    <w:rsid w:val="000D3D6D"/>
    <w:rsid w:val="000D4A4E"/>
    <w:rsid w:val="000D4AE6"/>
    <w:rsid w:val="000D5107"/>
    <w:rsid w:val="000D5114"/>
    <w:rsid w:val="000D519A"/>
    <w:rsid w:val="000D53FB"/>
    <w:rsid w:val="000D5407"/>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820"/>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D3A"/>
    <w:rsid w:val="000F5F92"/>
    <w:rsid w:val="000F5FB5"/>
    <w:rsid w:val="000F6D95"/>
    <w:rsid w:val="000F72C1"/>
    <w:rsid w:val="000F766C"/>
    <w:rsid w:val="000F7713"/>
    <w:rsid w:val="000F7AA6"/>
    <w:rsid w:val="000F7EDD"/>
    <w:rsid w:val="001003D1"/>
    <w:rsid w:val="001004F9"/>
    <w:rsid w:val="0010053A"/>
    <w:rsid w:val="0010062C"/>
    <w:rsid w:val="00100CDE"/>
    <w:rsid w:val="0010155C"/>
    <w:rsid w:val="00101982"/>
    <w:rsid w:val="00101A9B"/>
    <w:rsid w:val="0010201D"/>
    <w:rsid w:val="00102668"/>
    <w:rsid w:val="0010266D"/>
    <w:rsid w:val="00102B08"/>
    <w:rsid w:val="00102CEA"/>
    <w:rsid w:val="00102D91"/>
    <w:rsid w:val="00103674"/>
    <w:rsid w:val="00103B2C"/>
    <w:rsid w:val="00103BED"/>
    <w:rsid w:val="001041B2"/>
    <w:rsid w:val="001046AD"/>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2FC3"/>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90B"/>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739"/>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4B"/>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1CE"/>
    <w:rsid w:val="00187695"/>
    <w:rsid w:val="0018789C"/>
    <w:rsid w:val="00187DBD"/>
    <w:rsid w:val="00190674"/>
    <w:rsid w:val="00190C74"/>
    <w:rsid w:val="00190E33"/>
    <w:rsid w:val="00190EBA"/>
    <w:rsid w:val="00191C14"/>
    <w:rsid w:val="00192332"/>
    <w:rsid w:val="001926EC"/>
    <w:rsid w:val="00193580"/>
    <w:rsid w:val="001936FD"/>
    <w:rsid w:val="00193A66"/>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36"/>
    <w:rsid w:val="001B4583"/>
    <w:rsid w:val="001B46E3"/>
    <w:rsid w:val="001B48B1"/>
    <w:rsid w:val="001B4C69"/>
    <w:rsid w:val="001B4F38"/>
    <w:rsid w:val="001B4F90"/>
    <w:rsid w:val="001B572F"/>
    <w:rsid w:val="001B584E"/>
    <w:rsid w:val="001B7243"/>
    <w:rsid w:val="001B735B"/>
    <w:rsid w:val="001B7952"/>
    <w:rsid w:val="001B7A83"/>
    <w:rsid w:val="001B7B63"/>
    <w:rsid w:val="001B7E74"/>
    <w:rsid w:val="001C01C3"/>
    <w:rsid w:val="001C0569"/>
    <w:rsid w:val="001C0F66"/>
    <w:rsid w:val="001C148B"/>
    <w:rsid w:val="001C16AF"/>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3F"/>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1FA"/>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CC8"/>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6E1"/>
    <w:rsid w:val="00235709"/>
    <w:rsid w:val="00235A56"/>
    <w:rsid w:val="00236370"/>
    <w:rsid w:val="002368D5"/>
    <w:rsid w:val="002374E2"/>
    <w:rsid w:val="00237750"/>
    <w:rsid w:val="00237A8C"/>
    <w:rsid w:val="00237AEB"/>
    <w:rsid w:val="00237D0B"/>
    <w:rsid w:val="00240AD3"/>
    <w:rsid w:val="00240F63"/>
    <w:rsid w:val="00241E1F"/>
    <w:rsid w:val="00241F4C"/>
    <w:rsid w:val="00242874"/>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38F"/>
    <w:rsid w:val="0025258A"/>
    <w:rsid w:val="00252870"/>
    <w:rsid w:val="00252C20"/>
    <w:rsid w:val="002534B1"/>
    <w:rsid w:val="002536EA"/>
    <w:rsid w:val="002536ED"/>
    <w:rsid w:val="00253B10"/>
    <w:rsid w:val="002540DF"/>
    <w:rsid w:val="002541CB"/>
    <w:rsid w:val="00254A27"/>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538"/>
    <w:rsid w:val="00261A2A"/>
    <w:rsid w:val="002620D5"/>
    <w:rsid w:val="00262240"/>
    <w:rsid w:val="002625BC"/>
    <w:rsid w:val="002629A0"/>
    <w:rsid w:val="00262A5F"/>
    <w:rsid w:val="00262E48"/>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3F8"/>
    <w:rsid w:val="002A5C27"/>
    <w:rsid w:val="002A5D13"/>
    <w:rsid w:val="002A5E54"/>
    <w:rsid w:val="002A5EEA"/>
    <w:rsid w:val="002A602A"/>
    <w:rsid w:val="002A6EAD"/>
    <w:rsid w:val="002A6F24"/>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545"/>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7A1"/>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59B"/>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5FD"/>
    <w:rsid w:val="00312700"/>
    <w:rsid w:val="00312AAE"/>
    <w:rsid w:val="00312FB8"/>
    <w:rsid w:val="00313A22"/>
    <w:rsid w:val="00313FC5"/>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AD0"/>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229"/>
    <w:rsid w:val="003606B2"/>
    <w:rsid w:val="00361270"/>
    <w:rsid w:val="003612FC"/>
    <w:rsid w:val="0036143D"/>
    <w:rsid w:val="00361689"/>
    <w:rsid w:val="003619F3"/>
    <w:rsid w:val="00361E88"/>
    <w:rsid w:val="0036204C"/>
    <w:rsid w:val="00362ED2"/>
    <w:rsid w:val="00363025"/>
    <w:rsid w:val="003634B1"/>
    <w:rsid w:val="0036350D"/>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4CD4"/>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E08"/>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153"/>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67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218"/>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531"/>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3E83"/>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1EF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30B"/>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7D1"/>
    <w:rsid w:val="00451CD7"/>
    <w:rsid w:val="0045206B"/>
    <w:rsid w:val="00452238"/>
    <w:rsid w:val="00452285"/>
    <w:rsid w:val="00452324"/>
    <w:rsid w:val="00452744"/>
    <w:rsid w:val="00452B42"/>
    <w:rsid w:val="00452DFC"/>
    <w:rsid w:val="0045336E"/>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992"/>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DA4"/>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852"/>
    <w:rsid w:val="0047412A"/>
    <w:rsid w:val="00474496"/>
    <w:rsid w:val="004746EB"/>
    <w:rsid w:val="00474C30"/>
    <w:rsid w:val="004751BE"/>
    <w:rsid w:val="004753C6"/>
    <w:rsid w:val="004755DD"/>
    <w:rsid w:val="004757E4"/>
    <w:rsid w:val="004763F7"/>
    <w:rsid w:val="00476E5F"/>
    <w:rsid w:val="0047719C"/>
    <w:rsid w:val="004771A6"/>
    <w:rsid w:val="004772BF"/>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2A8D"/>
    <w:rsid w:val="004A2AAA"/>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628"/>
    <w:rsid w:val="004C299B"/>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1C15"/>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D02"/>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808"/>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338"/>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37A"/>
    <w:rsid w:val="00524F94"/>
    <w:rsid w:val="00525047"/>
    <w:rsid w:val="0052520D"/>
    <w:rsid w:val="0052593A"/>
    <w:rsid w:val="0052598D"/>
    <w:rsid w:val="00526810"/>
    <w:rsid w:val="0052688D"/>
    <w:rsid w:val="005269E0"/>
    <w:rsid w:val="00526BC2"/>
    <w:rsid w:val="00526D40"/>
    <w:rsid w:val="005279CA"/>
    <w:rsid w:val="00527B80"/>
    <w:rsid w:val="00527C18"/>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2AB"/>
    <w:rsid w:val="00553666"/>
    <w:rsid w:val="005536BF"/>
    <w:rsid w:val="00553739"/>
    <w:rsid w:val="00553DB7"/>
    <w:rsid w:val="00553DFD"/>
    <w:rsid w:val="00553FCE"/>
    <w:rsid w:val="005543AE"/>
    <w:rsid w:val="00554D10"/>
    <w:rsid w:val="00554E5A"/>
    <w:rsid w:val="0055584A"/>
    <w:rsid w:val="00555EBC"/>
    <w:rsid w:val="0055635F"/>
    <w:rsid w:val="00557750"/>
    <w:rsid w:val="005605DB"/>
    <w:rsid w:val="0056094F"/>
    <w:rsid w:val="00561306"/>
    <w:rsid w:val="00561704"/>
    <w:rsid w:val="00561939"/>
    <w:rsid w:val="005623AF"/>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30"/>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399"/>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48D0"/>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F47"/>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9D2"/>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678"/>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3E4"/>
    <w:rsid w:val="006828D2"/>
    <w:rsid w:val="00683339"/>
    <w:rsid w:val="00683E08"/>
    <w:rsid w:val="00684CA5"/>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2ED"/>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03"/>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327"/>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0C64"/>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98B"/>
    <w:rsid w:val="00747F73"/>
    <w:rsid w:val="007501DA"/>
    <w:rsid w:val="00750264"/>
    <w:rsid w:val="007502D1"/>
    <w:rsid w:val="00750A88"/>
    <w:rsid w:val="00751045"/>
    <w:rsid w:val="007510B2"/>
    <w:rsid w:val="00751594"/>
    <w:rsid w:val="00751E9C"/>
    <w:rsid w:val="00751F1C"/>
    <w:rsid w:val="007522C3"/>
    <w:rsid w:val="00752750"/>
    <w:rsid w:val="0075337B"/>
    <w:rsid w:val="00753384"/>
    <w:rsid w:val="007534C0"/>
    <w:rsid w:val="00753F80"/>
    <w:rsid w:val="00754BC4"/>
    <w:rsid w:val="00754BDF"/>
    <w:rsid w:val="00755037"/>
    <w:rsid w:val="00755A4E"/>
    <w:rsid w:val="00755FF1"/>
    <w:rsid w:val="0075641A"/>
    <w:rsid w:val="00756541"/>
    <w:rsid w:val="007565CF"/>
    <w:rsid w:val="00756B08"/>
    <w:rsid w:val="00757210"/>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036"/>
    <w:rsid w:val="0077319F"/>
    <w:rsid w:val="00773CE9"/>
    <w:rsid w:val="00773D09"/>
    <w:rsid w:val="00774714"/>
    <w:rsid w:val="00774C1C"/>
    <w:rsid w:val="00775639"/>
    <w:rsid w:val="00776136"/>
    <w:rsid w:val="007767C2"/>
    <w:rsid w:val="007768F7"/>
    <w:rsid w:val="00776F5C"/>
    <w:rsid w:val="00777A5D"/>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4E1"/>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4F"/>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5AD"/>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180"/>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6FDD"/>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BDB"/>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36E5"/>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3FFB"/>
    <w:rsid w:val="008B4253"/>
    <w:rsid w:val="008B4567"/>
    <w:rsid w:val="008B477C"/>
    <w:rsid w:val="008B4896"/>
    <w:rsid w:val="008B4B23"/>
    <w:rsid w:val="008B4B43"/>
    <w:rsid w:val="008B5718"/>
    <w:rsid w:val="008B5997"/>
    <w:rsid w:val="008B5999"/>
    <w:rsid w:val="008B5E9D"/>
    <w:rsid w:val="008B5F4E"/>
    <w:rsid w:val="008B6B9D"/>
    <w:rsid w:val="008B7082"/>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BE7"/>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630"/>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3B8E"/>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84C"/>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82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4B"/>
    <w:rsid w:val="00981C62"/>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F20"/>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555"/>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A85"/>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E2A"/>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3EF"/>
    <w:rsid w:val="009E4839"/>
    <w:rsid w:val="009E497B"/>
    <w:rsid w:val="009E5113"/>
    <w:rsid w:val="009E51BD"/>
    <w:rsid w:val="009E55D1"/>
    <w:rsid w:val="009E5DE6"/>
    <w:rsid w:val="009E637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8A6"/>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C31"/>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45F"/>
    <w:rsid w:val="00A22C84"/>
    <w:rsid w:val="00A23117"/>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7E"/>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827"/>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7D7"/>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554"/>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6B6"/>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7A89"/>
    <w:rsid w:val="00B97EE3"/>
    <w:rsid w:val="00B97F4E"/>
    <w:rsid w:val="00BA091C"/>
    <w:rsid w:val="00BA0C15"/>
    <w:rsid w:val="00BA0C3E"/>
    <w:rsid w:val="00BA0CB4"/>
    <w:rsid w:val="00BA1020"/>
    <w:rsid w:val="00BA10B3"/>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7C"/>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CDE"/>
    <w:rsid w:val="00C24E27"/>
    <w:rsid w:val="00C257CB"/>
    <w:rsid w:val="00C269D2"/>
    <w:rsid w:val="00C269E6"/>
    <w:rsid w:val="00C26C97"/>
    <w:rsid w:val="00C274A0"/>
    <w:rsid w:val="00C27766"/>
    <w:rsid w:val="00C27932"/>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8A1"/>
    <w:rsid w:val="00C62D42"/>
    <w:rsid w:val="00C632DB"/>
    <w:rsid w:val="00C6330D"/>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A7C2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7E"/>
    <w:rsid w:val="00CC4BA6"/>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49C"/>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3"/>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30D"/>
    <w:rsid w:val="00D175D7"/>
    <w:rsid w:val="00D2002F"/>
    <w:rsid w:val="00D208A0"/>
    <w:rsid w:val="00D210C6"/>
    <w:rsid w:val="00D210CC"/>
    <w:rsid w:val="00D21EED"/>
    <w:rsid w:val="00D22450"/>
    <w:rsid w:val="00D23009"/>
    <w:rsid w:val="00D23582"/>
    <w:rsid w:val="00D235F9"/>
    <w:rsid w:val="00D23767"/>
    <w:rsid w:val="00D2393E"/>
    <w:rsid w:val="00D23DD7"/>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590"/>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CF4"/>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982"/>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B44"/>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50"/>
    <w:rsid w:val="00D752B7"/>
    <w:rsid w:val="00D75C5E"/>
    <w:rsid w:val="00D75EB2"/>
    <w:rsid w:val="00D76663"/>
    <w:rsid w:val="00D76AF9"/>
    <w:rsid w:val="00D76C13"/>
    <w:rsid w:val="00D771D3"/>
    <w:rsid w:val="00D77315"/>
    <w:rsid w:val="00D7783D"/>
    <w:rsid w:val="00D77F58"/>
    <w:rsid w:val="00D77F76"/>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57E"/>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46B"/>
    <w:rsid w:val="00DA2BD9"/>
    <w:rsid w:val="00DA2FA2"/>
    <w:rsid w:val="00DA302C"/>
    <w:rsid w:val="00DA34E8"/>
    <w:rsid w:val="00DA3782"/>
    <w:rsid w:val="00DA3F57"/>
    <w:rsid w:val="00DA3FBD"/>
    <w:rsid w:val="00DA431F"/>
    <w:rsid w:val="00DA477A"/>
    <w:rsid w:val="00DA48E8"/>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4BF"/>
    <w:rsid w:val="00DB2EF1"/>
    <w:rsid w:val="00DB3349"/>
    <w:rsid w:val="00DB3488"/>
    <w:rsid w:val="00DB3DC5"/>
    <w:rsid w:val="00DB4744"/>
    <w:rsid w:val="00DB4E31"/>
    <w:rsid w:val="00DB522C"/>
    <w:rsid w:val="00DB580B"/>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84F"/>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73F"/>
    <w:rsid w:val="00E04F95"/>
    <w:rsid w:val="00E055BD"/>
    <w:rsid w:val="00E05656"/>
    <w:rsid w:val="00E05A7E"/>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838"/>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59D"/>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46"/>
    <w:rsid w:val="00E63958"/>
    <w:rsid w:val="00E63E20"/>
    <w:rsid w:val="00E64472"/>
    <w:rsid w:val="00E645E5"/>
    <w:rsid w:val="00E64849"/>
    <w:rsid w:val="00E648D0"/>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2A0"/>
    <w:rsid w:val="00E83AC1"/>
    <w:rsid w:val="00E83ACB"/>
    <w:rsid w:val="00E83D0C"/>
    <w:rsid w:val="00E84032"/>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A8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4B92"/>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0D2"/>
    <w:rsid w:val="00ED5190"/>
    <w:rsid w:val="00ED557B"/>
    <w:rsid w:val="00ED5601"/>
    <w:rsid w:val="00ED58FE"/>
    <w:rsid w:val="00ED5BDB"/>
    <w:rsid w:val="00ED5C21"/>
    <w:rsid w:val="00ED63FA"/>
    <w:rsid w:val="00ED6529"/>
    <w:rsid w:val="00ED6A0D"/>
    <w:rsid w:val="00ED6D9E"/>
    <w:rsid w:val="00ED6FE4"/>
    <w:rsid w:val="00ED7318"/>
    <w:rsid w:val="00ED7646"/>
    <w:rsid w:val="00ED7C80"/>
    <w:rsid w:val="00ED7CED"/>
    <w:rsid w:val="00EE085D"/>
    <w:rsid w:val="00EE0C00"/>
    <w:rsid w:val="00EE10B8"/>
    <w:rsid w:val="00EE162D"/>
    <w:rsid w:val="00EE1794"/>
    <w:rsid w:val="00EE2234"/>
    <w:rsid w:val="00EE24FD"/>
    <w:rsid w:val="00EE2B2E"/>
    <w:rsid w:val="00EE2C40"/>
    <w:rsid w:val="00EE2DDD"/>
    <w:rsid w:val="00EE2E46"/>
    <w:rsid w:val="00EE370A"/>
    <w:rsid w:val="00EE3A4F"/>
    <w:rsid w:val="00EE3CA9"/>
    <w:rsid w:val="00EE3EDC"/>
    <w:rsid w:val="00EE4101"/>
    <w:rsid w:val="00EE4887"/>
    <w:rsid w:val="00EE4959"/>
    <w:rsid w:val="00EE4B61"/>
    <w:rsid w:val="00EE4C15"/>
    <w:rsid w:val="00EE4FC1"/>
    <w:rsid w:val="00EE537D"/>
    <w:rsid w:val="00EE539C"/>
    <w:rsid w:val="00EE5481"/>
    <w:rsid w:val="00EE5B5D"/>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2E3C"/>
    <w:rsid w:val="00EF354D"/>
    <w:rsid w:val="00EF3AD0"/>
    <w:rsid w:val="00EF3B55"/>
    <w:rsid w:val="00EF4076"/>
    <w:rsid w:val="00EF4664"/>
    <w:rsid w:val="00EF47E9"/>
    <w:rsid w:val="00EF5281"/>
    <w:rsid w:val="00EF5D8E"/>
    <w:rsid w:val="00EF5F2B"/>
    <w:rsid w:val="00EF6A8F"/>
    <w:rsid w:val="00EF6B16"/>
    <w:rsid w:val="00EF6BD8"/>
    <w:rsid w:val="00EF6D8B"/>
    <w:rsid w:val="00EF6EFA"/>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57F"/>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F9B"/>
    <w:rsid w:val="00F35076"/>
    <w:rsid w:val="00F351C6"/>
    <w:rsid w:val="00F35403"/>
    <w:rsid w:val="00F355E0"/>
    <w:rsid w:val="00F35D64"/>
    <w:rsid w:val="00F36AA7"/>
    <w:rsid w:val="00F37122"/>
    <w:rsid w:val="00F373FF"/>
    <w:rsid w:val="00F3782D"/>
    <w:rsid w:val="00F37B08"/>
    <w:rsid w:val="00F4015C"/>
    <w:rsid w:val="00F40798"/>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63E"/>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22E"/>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38"/>
    <w:rsid w:val="00FA24FD"/>
    <w:rsid w:val="00FA2559"/>
    <w:rsid w:val="00FA2620"/>
    <w:rsid w:val="00FA2B38"/>
    <w:rsid w:val="00FA2CFE"/>
    <w:rsid w:val="00FA327B"/>
    <w:rsid w:val="00FA328F"/>
    <w:rsid w:val="00FA3570"/>
    <w:rsid w:val="00FA4000"/>
    <w:rsid w:val="00FA44E6"/>
    <w:rsid w:val="00FA468D"/>
    <w:rsid w:val="00FA539C"/>
    <w:rsid w:val="00FA602A"/>
    <w:rsid w:val="00FA64B2"/>
    <w:rsid w:val="00FA698A"/>
    <w:rsid w:val="00FA6C01"/>
    <w:rsid w:val="00FA6D10"/>
    <w:rsid w:val="00FA6F10"/>
    <w:rsid w:val="00FA73D2"/>
    <w:rsid w:val="00FA7A13"/>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31F"/>
    <w:rsid w:val="00FE0561"/>
    <w:rsid w:val="00FE0D8B"/>
    <w:rsid w:val="00FE1422"/>
    <w:rsid w:val="00FE19A3"/>
    <w:rsid w:val="00FE21E7"/>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39"/>
    <w:rsid w:val="00FE5A56"/>
    <w:rsid w:val="00FE5D69"/>
    <w:rsid w:val="00FE5F07"/>
    <w:rsid w:val="00FE61DB"/>
    <w:rsid w:val="00FE65E0"/>
    <w:rsid w:val="00FE6FAA"/>
    <w:rsid w:val="00FE7070"/>
    <w:rsid w:val="00FE7E6B"/>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BDB"/>
    <w:pPr>
      <w:overflowPunct w:val="0"/>
      <w:autoSpaceDE w:val="0"/>
      <w:autoSpaceDN w:val="0"/>
      <w:adjustRightInd w:val="0"/>
      <w:spacing w:after="180"/>
    </w:pPr>
    <w:rPr>
      <w:rFonts w:eastAsia="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spacing w:after="0"/>
      <w:ind w:left="1080"/>
      <w:textAlignment w:val="baseline"/>
    </w:pPr>
    <w:rPr>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spacing w:after="120"/>
      <w:ind w:left="360" w:hanging="360"/>
      <w:textAlignment w:val="baseline"/>
    </w:pPr>
    <w:rPr>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spacing w:after="0"/>
      <w:textAlignment w:val="baseline"/>
    </w:pPr>
  </w:style>
  <w:style w:type="paragraph" w:customStyle="1" w:styleId="tabletext">
    <w:name w:val="table text"/>
    <w:basedOn w:val="a"/>
    <w:next w:val="table"/>
    <w:rsid w:val="001D5F89"/>
    <w:pPr>
      <w:spacing w:after="0"/>
      <w:textAlignment w:val="baseline"/>
    </w:pPr>
    <w:rPr>
      <w:i/>
    </w:rPr>
  </w:style>
  <w:style w:type="paragraph" w:customStyle="1" w:styleId="HE">
    <w:name w:val="HE"/>
    <w:basedOn w:val="a"/>
    <w:rsid w:val="001D5F89"/>
    <w:pPr>
      <w:numPr>
        <w:numId w:val="7"/>
      </w:numPr>
      <w:tabs>
        <w:tab w:val="clear" w:pos="735"/>
      </w:tabs>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spacing w:after="240"/>
      <w:ind w:left="0" w:firstLine="0"/>
      <w:jc w:val="both"/>
      <w:textAlignment w:val="baseline"/>
    </w:pPr>
    <w:rPr>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spacing w:after="0"/>
      <w:jc w:val="both"/>
      <w:textAlignment w:val="baseline"/>
    </w:p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
    <w:rsid w:val="001D5F89"/>
    <w:pPr>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spacing w:after="0" w:line="240" w:lineRule="exact"/>
      <w:jc w:val="center"/>
      <w:textAlignment w:val="baseline"/>
    </w:pPr>
    <w:rPr>
      <w:sz w:val="16"/>
      <w:lang w:val="en-US" w:eastAsia="ja-JP"/>
    </w:rPr>
  </w:style>
  <w:style w:type="paragraph" w:customStyle="1" w:styleId="h60">
    <w:name w:val="h6"/>
    <w:basedOn w:val="a"/>
    <w:rsid w:val="001D5F89"/>
    <w:pPr>
      <w:spacing w:before="100" w:beforeAutospacing="1" w:after="100" w:afterAutospacing="1"/>
      <w:textAlignment w:val="baseline"/>
    </w:pPr>
    <w:rPr>
      <w:sz w:val="24"/>
      <w:szCs w:val="24"/>
      <w:lang w:val="en-US" w:eastAsia="ja-JP"/>
    </w:rPr>
  </w:style>
  <w:style w:type="paragraph" w:customStyle="1" w:styleId="b10">
    <w:name w:val="b1"/>
    <w:basedOn w:val="a"/>
    <w:rsid w:val="001D5F89"/>
    <w:pPr>
      <w:spacing w:before="100" w:beforeAutospacing="1" w:after="100" w:afterAutospacing="1"/>
      <w:textAlignment w:val="baseline"/>
    </w:pPr>
    <w:rPr>
      <w:sz w:val="24"/>
      <w:szCs w:val="24"/>
      <w:lang w:val="en-US" w:eastAsia="ja-JP"/>
    </w:rPr>
  </w:style>
  <w:style w:type="paragraph" w:customStyle="1" w:styleId="tah0">
    <w:name w:val="tah"/>
    <w:basedOn w:val="a"/>
    <w:qFormat/>
    <w:rsid w:val="001D5F89"/>
    <w:pPr>
      <w:keepNext/>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GB"/>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rFonts w:eastAsia="Times New Roman"/>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GB"/>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GB"/>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rFonts w:eastAsia="Times New Roman"/>
      <w:b/>
      <w:bCs/>
      <w:lang w:eastAsia="en-GB"/>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rFonts w:eastAsia="Times New Roman"/>
      <w:sz w:val="22"/>
      <w:lang w:eastAsia="en-GB"/>
    </w:rPr>
  </w:style>
  <w:style w:type="paragraph" w:customStyle="1" w:styleId="3GPPAgreements">
    <w:name w:val="3GPP Agreements"/>
    <w:basedOn w:val="a"/>
    <w:link w:val="3GPPAgreementsChar"/>
    <w:qFormat/>
    <w:rsid w:val="004C2124"/>
    <w:pPr>
      <w:numPr>
        <w:numId w:val="20"/>
      </w:numPr>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sz w:val="24"/>
      <w:szCs w:val="24"/>
      <w:lang w:val="en-US" w:eastAsia="zh-CN"/>
    </w:rPr>
  </w:style>
  <w:style w:type="paragraph" w:customStyle="1" w:styleId="Bulletedo1">
    <w:name w:val="Bulleted o 1"/>
    <w:basedOn w:val="a"/>
    <w:qFormat/>
    <w:rsid w:val="004C2124"/>
    <w:pPr>
      <w:numPr>
        <w:numId w:val="22"/>
      </w:numPr>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sz w:val="24"/>
      <w:szCs w:val="24"/>
      <w:lang w:val="en-US" w:eastAsia="zh-CN"/>
    </w:rPr>
  </w:style>
  <w:style w:type="paragraph" w:customStyle="1" w:styleId="TableCell">
    <w:name w:val="TableCell"/>
    <w:basedOn w:val="a"/>
    <w:qFormat/>
    <w:rsid w:val="004C2124"/>
    <w:pPr>
      <w:snapToGrid w:val="0"/>
      <w:spacing w:before="20" w:after="20" w:line="259" w:lineRule="auto"/>
    </w:pPr>
    <w:rPr>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sz w:val="24"/>
      <w:lang w:eastAsia="ja-JP"/>
    </w:rPr>
  </w:style>
  <w:style w:type="paragraph" w:customStyle="1" w:styleId="tac0">
    <w:name w:val="tac"/>
    <w:basedOn w:val="a"/>
    <w:rsid w:val="004C2124"/>
    <w:pPr>
      <w:keepNext/>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58251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082886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2943125">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3988671">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59548955">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A6177-58B1-44DE-8D44-289303E2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1434</Words>
  <Characters>8177</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40</cp:revision>
  <cp:lastPrinted>2010-04-02T09:58:00Z</cp:lastPrinted>
  <dcterms:created xsi:type="dcterms:W3CDTF">2022-11-07T06:36:00Z</dcterms:created>
  <dcterms:modified xsi:type="dcterms:W3CDTF">2023-02-17T08:47:00Z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