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charts/chart1.xml" ContentType="application/vnd.openxmlformats-officedocument.drawingml.chart+xml"/>
  <Override PartName="/word/media/image1.jpeg" ContentType="image/jpeg"/>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9"/>
          <w:tab w:val="right" w:pos="9216" w:leader="none"/>
        </w:tabs>
        <w:bidi w:val="0"/>
        <w:spacing w:before="0" w:after="0"/>
        <w:jc w:val="start"/>
        <w:rPr>
          <w:b/>
          <w:b/>
        </w:rPr>
      </w:pPr>
      <w:r>
        <w:rPr>
          <w:b/>
        </w:rPr>
        <w:t>3GPP TSG RAN WG1 Meeting #111</w:t>
        <w:tab/>
        <w:t>R1-2212814</w:t>
      </w:r>
    </w:p>
    <w:p>
      <w:pPr>
        <w:pStyle w:val="Normal"/>
        <w:bidi w:val="0"/>
        <w:jc w:val="start"/>
        <w:rPr/>
      </w:pPr>
      <w:r>
        <w:rPr>
          <w:b/>
        </w:rPr>
        <w:t>Toulouse, November 14</w:t>
      </w:r>
      <w:r>
        <w:rPr>
          <w:b/>
          <w:vertAlign w:val="superscript"/>
        </w:rPr>
        <w:t>th</w:t>
      </w:r>
      <w:r>
        <w:rPr>
          <w:b/>
        </w:rPr>
        <w:t xml:space="preserve"> – 18</w:t>
      </w:r>
      <w:r>
        <w:rPr>
          <w:b/>
          <w:vertAlign w:val="superscript"/>
        </w:rPr>
        <w:t>th</w:t>
      </w:r>
      <w:r>
        <w:rPr>
          <w:b/>
        </w:rPr>
        <w:t>, 2022</w:t>
      </w:r>
    </w:p>
    <w:p>
      <w:pPr>
        <w:pStyle w:val="Normal"/>
        <w:pBdr>
          <w:top w:val="single" w:sz="4" w:space="1" w:color="000001"/>
        </w:pBdr>
        <w:bidi w:val="0"/>
        <w:spacing w:before="0" w:after="0"/>
        <w:jc w:val="start"/>
        <w:rPr>
          <w:b/>
          <w:b/>
        </w:rPr>
      </w:pPr>
      <w:r>
        <w:rPr>
          <w:b/>
        </w:rPr>
      </w:r>
    </w:p>
    <w:p>
      <w:pPr>
        <w:pStyle w:val="Normal"/>
        <w:bidi w:val="0"/>
        <w:spacing w:before="0" w:after="60"/>
        <w:ind w:start="1555" w:hanging="1555"/>
        <w:jc w:val="start"/>
        <w:rPr/>
      </w:pPr>
      <w:r>
        <w:rPr>
          <w:b/>
        </w:rPr>
        <w:t>Agenda Item:</w:t>
        <w:tab/>
        <w:t>9.7.2</w:t>
      </w:r>
    </w:p>
    <w:p>
      <w:pPr>
        <w:pStyle w:val="Normal"/>
        <w:bidi w:val="0"/>
        <w:spacing w:before="0" w:after="60"/>
        <w:ind w:start="1555" w:hanging="1555"/>
        <w:jc w:val="start"/>
        <w:rPr/>
      </w:pPr>
      <w:r>
        <w:rPr>
          <w:b/>
        </w:rPr>
        <w:t>Source:</w:t>
        <w:tab/>
        <w:t>CEWiT</w:t>
      </w:r>
    </w:p>
    <w:p>
      <w:pPr>
        <w:pStyle w:val="Normal"/>
        <w:bidi w:val="0"/>
        <w:spacing w:before="0" w:after="60"/>
        <w:ind w:start="1555" w:hanging="1555"/>
        <w:jc w:val="start"/>
        <w:rPr/>
      </w:pPr>
      <w:r>
        <w:rPr>
          <w:b/>
        </w:rPr>
        <w:t>Title:</w:t>
        <w:tab/>
        <w:t xml:space="preserve">Discussion on </w:t>
      </w:r>
      <w:r>
        <w:rPr>
          <w:b/>
          <w:lang w:val="en-GB"/>
        </w:rPr>
        <w:t>Network energy saving techniques</w:t>
      </w:r>
      <w:r>
        <w:rPr>
          <w:b/>
        </w:rPr>
        <w:t xml:space="preserve"> </w:t>
      </w:r>
    </w:p>
    <w:p>
      <w:pPr>
        <w:pStyle w:val="Normal"/>
        <w:bidi w:val="0"/>
        <w:spacing w:before="0" w:after="60"/>
        <w:ind w:start="1555" w:hanging="1555"/>
        <w:jc w:val="start"/>
        <w:rPr/>
      </w:pPr>
      <w:r>
        <w:rPr>
          <w:b/>
        </w:rPr>
        <w:t>Document for:</w:t>
        <w:tab/>
        <w:t xml:space="preserve">Discussion </w:t>
      </w:r>
    </w:p>
    <w:p>
      <w:pPr>
        <w:pStyle w:val="Normal"/>
        <w:pBdr>
          <w:bottom w:val="single" w:sz="4" w:space="1" w:color="000001"/>
        </w:pBdr>
        <w:bidi w:val="0"/>
        <w:spacing w:before="0" w:after="0"/>
        <w:jc w:val="start"/>
        <w:rPr>
          <w:b/>
          <w:b/>
        </w:rPr>
      </w:pPr>
      <w:r>
        <w:rPr>
          <w:b/>
        </w:rPr>
      </w:r>
    </w:p>
    <w:p>
      <w:pPr>
        <w:pStyle w:val="Heading1"/>
        <w:numPr>
          <w:ilvl w:val="0"/>
          <w:numId w:val="2"/>
        </w:numPr>
        <w:bidi w:val="0"/>
        <w:jc w:val="start"/>
        <w:rPr/>
      </w:pPr>
      <w:bookmarkStart w:id="0" w:name="_Ref129681862"/>
      <w:bookmarkStart w:id="1" w:name="_Ref124589705"/>
      <w:bookmarkEnd w:id="0"/>
      <w:bookmarkEnd w:id="1"/>
      <w:r>
        <w:rPr/>
        <w:t>Introduction</w:t>
      </w:r>
    </w:p>
    <w:p>
      <w:pPr>
        <w:pStyle w:val="Normal"/>
        <w:bidi w:val="0"/>
        <w:jc w:val="start"/>
        <w:rPr/>
      </w:pPr>
      <w:r>
        <w:rPr/>
        <w:t xml:space="preserve">A new study item on “Study on network energy savings for NR” was approved in </w:t>
      </w:r>
      <w:r>
        <w:rPr>
          <w:bCs/>
          <w:lang w:val="en-GB"/>
        </w:rPr>
        <w:t>RAN#94-e</w:t>
      </w:r>
      <w:r>
        <w:rPr/>
        <w:t xml:space="preserve"> [1]. The discussions started in RAN1#109-e [2] and several agreements were made. A summary</w:t>
      </w:r>
      <w:r>
        <w:rPr>
          <w:rFonts w:eastAsia="Times New Roman"/>
          <w:bCs/>
          <w:lang w:val="en-GB"/>
        </w:rPr>
        <w:t xml:space="preserve"> of the</w:t>
      </w:r>
      <w:r>
        <w:rPr/>
        <w:t xml:space="preserve"> </w:t>
      </w:r>
      <w:r>
        <w:rPr>
          <w:rFonts w:eastAsia="Times New Roman"/>
          <w:bCs/>
          <w:lang w:val="en-GB"/>
        </w:rPr>
        <w:t>potential</w:t>
      </w:r>
      <w:r>
        <w:rPr/>
        <w:t xml:space="preserve"> energy saving techniques in various domains along with brief description of each technique was agreed in RAN1#110-bis-e [3]. </w:t>
      </w:r>
      <w:r>
        <w:rPr>
          <w:rFonts w:eastAsia="Times New Roman"/>
          <w:lang w:eastAsia="en-US"/>
        </w:rPr>
        <w:t xml:space="preserve">This contribution further discusses </w:t>
      </w:r>
      <w:r>
        <w:rPr/>
        <w:t>some of those</w:t>
      </w:r>
      <w:r>
        <w:rPr>
          <w:rFonts w:eastAsia="Times New Roman"/>
          <w:lang w:eastAsia="en-US"/>
        </w:rPr>
        <w:t xml:space="preserve"> </w:t>
      </w:r>
      <w:bookmarkStart w:id="2" w:name="_Ref129681832"/>
      <w:r>
        <w:rPr/>
        <w:t xml:space="preserve">techniques and analyzes its performance </w:t>
      </w:r>
      <w:r>
        <w:rPr>
          <w:bCs/>
          <w:lang w:val="en-GB"/>
        </w:rPr>
        <w:t>to improve network energy savings (NES).</w:t>
      </w:r>
    </w:p>
    <w:p>
      <w:pPr>
        <w:pStyle w:val="TextBody"/>
        <w:bidi w:val="0"/>
        <w:spacing w:before="0" w:after="0"/>
        <w:jc w:val="start"/>
        <w:rPr>
          <w:sz w:val="22"/>
          <w:szCs w:val="22"/>
        </w:rPr>
      </w:pPr>
      <w:r>
        <w:rPr>
          <w:sz w:val="22"/>
          <w:szCs w:val="22"/>
        </w:rPr>
      </w:r>
    </w:p>
    <w:p>
      <w:pPr>
        <w:pStyle w:val="Heading1"/>
        <w:numPr>
          <w:ilvl w:val="0"/>
          <w:numId w:val="2"/>
        </w:numPr>
        <w:bidi w:val="0"/>
        <w:jc w:val="start"/>
        <w:rPr/>
      </w:pPr>
      <w:r>
        <w:rPr/>
        <w:t>Techniques for network energy saving</w:t>
      </w:r>
    </w:p>
    <w:p>
      <w:pPr>
        <w:pStyle w:val="Heading2"/>
        <w:numPr>
          <w:ilvl w:val="1"/>
          <w:numId w:val="2"/>
        </w:numPr>
        <w:bidi w:val="0"/>
        <w:jc w:val="start"/>
        <w:rPr/>
      </w:pPr>
      <w:r>
        <w:rPr/>
        <w:t>Time domain techniques</w:t>
      </w:r>
    </w:p>
    <w:p>
      <w:pPr>
        <w:pStyle w:val="ListParagraph"/>
        <w:numPr>
          <w:ilvl w:val="2"/>
          <w:numId w:val="2"/>
        </w:numPr>
        <w:bidi w:val="0"/>
        <w:jc w:val="start"/>
        <w:rPr>
          <w:b/>
          <w:b/>
          <w:bCs/>
        </w:rPr>
      </w:pPr>
      <w:r>
        <w:rPr>
          <w:b/>
          <w:bCs/>
        </w:rPr>
        <w:t>Adaptation of common signals and channels</w:t>
      </w:r>
    </w:p>
    <w:p>
      <w:pPr>
        <w:pStyle w:val="Normal"/>
        <w:bidi w:val="0"/>
        <w:jc w:val="start"/>
        <w:rPr/>
      </w:pPr>
      <w:r>
        <w:rPr/>
        <w:t xml:space="preserve">In NR, irrespective of the load, number of connected UEs, the gNB has to perform set of mandatory operations (e.g., transmission of SSB) to ensure the availability of the cell to the UEs and for maintenance of the link. These mandatory operations consume energy at the gNB even when gNB is not serving any active UE. Simplifying the signals associated with the mandatory set of operations and optimizing the operations in terms of energy consumption and performance helps in power saving at the gNB without creating much effect in performance. </w:t>
      </w:r>
    </w:p>
    <w:p>
      <w:pPr>
        <w:pStyle w:val="Normal"/>
        <w:bidi w:val="0"/>
        <w:jc w:val="start"/>
        <w:rPr/>
      </w:pPr>
      <w:r>
        <w:rPr/>
        <w:t xml:space="preserve">A lighter version of SSB, that has lower size than the conventional SSB, is supported for energy saving. It carries a part of conventional SSB for e.g., PSS , SSS and partial contents of PBCH. The gNB has to operate on lesser number of time and frequency resources for transmitting the lighter version of SSB thereby providing significant energy saving at the gNB. The lighter version of SSB causes additional delay at UE side for accessing the network. However, the delay can be minimized with the help of assistance information from neighboring gNBs or by defining default configurations. To evaluate the performance of the lighter version of SSB, a 21-cell scenario is considered for evaluation and its performance is analyzed for various load conditions. The performance is evaluated in terms of number of active gNBs (i.e., gNBs having at least one connected UE) for various load conditions and user mobility. The active gNBs can transmit conventional SSB whereas other gNBs can operate with lighter version of SSB resulting in energy saving. The parameters used for evaluation are given in Table 1. It is found that not all gNBs out of 21 are active in urban macro scenario for low, light and medium loads as shown in Table 2. In current NR, all 21 gNBs transmits SSB, even though some gNBs are inactive at a time, leading to significant loss of energy. Here, the light version of SSB occupy </w:t>
      </w:r>
      <w:r>
        <w:rPr>
          <w:color w:val="000000"/>
        </w:rPr>
        <w:t>46.9</w:t>
      </w:r>
      <w:r>
        <w:rPr/>
        <w:t xml:space="preserve">% less time-frequency resources compared to the conventional SSB. By mandating inactive gNBs to transmit the light version of SSB, 46%, 11.2%, 4.5% and 2.3% energy saving can be achieved in no load, low load, light load and medium load, respectively. The result is illustrated in Fig. 1. </w:t>
      </w:r>
    </w:p>
    <w:p>
      <w:pPr>
        <w:pStyle w:val="Normal"/>
        <w:bidi w:val="0"/>
        <w:jc w:val="start"/>
        <w:rPr/>
      </w:pPr>
      <w:r>
        <w:rPr/>
        <w:t xml:space="preserve"> </w:t>
      </w:r>
    </w:p>
    <w:tbl>
      <w:tblPr>
        <w:tblW w:w="4763" w:type="dxa"/>
        <w:jc w:val="start"/>
        <w:tblInd w:w="1940" w:type="dxa"/>
        <w:tblCellMar>
          <w:top w:w="55" w:type="dxa"/>
          <w:start w:w="55" w:type="dxa"/>
          <w:bottom w:w="55" w:type="dxa"/>
          <w:end w:w="55" w:type="dxa"/>
        </w:tblCellMar>
        <w:tblLook w:val="0000" w:noHBand="0" w:noVBand="0" w:firstColumn="0" w:lastRow="0" w:lastColumn="0" w:firstRow="0"/>
      </w:tblPr>
      <w:tblGrid>
        <w:gridCol w:w="2774"/>
        <w:gridCol w:w="1988"/>
      </w:tblGrid>
      <w:tr>
        <w:trPr/>
        <w:tc>
          <w:tcPr>
            <w:tcW w:w="2774" w:type="dxa"/>
            <w:tcBorders>
              <w:top w:val="single" w:sz="4" w:space="0" w:color="000000"/>
              <w:start w:val="single" w:sz="4" w:space="0" w:color="000000"/>
              <w:bottom w:val="single" w:sz="4" w:space="0" w:color="000000"/>
            </w:tcBorders>
          </w:tcPr>
          <w:p>
            <w:pPr>
              <w:pStyle w:val="TableContents"/>
              <w:bidi w:val="0"/>
              <w:spacing w:before="0" w:after="120"/>
              <w:ind w:start="89" w:hanging="0"/>
              <w:jc w:val="start"/>
              <w:rPr/>
            </w:pPr>
            <w:r>
              <w:rPr>
                <w:b/>
                <w:bCs/>
                <w:color w:val="000000"/>
              </w:rPr>
              <w:t>Parameters</w:t>
            </w:r>
          </w:p>
        </w:tc>
        <w:tc>
          <w:tcPr>
            <w:tcW w:w="1988" w:type="dxa"/>
            <w:tcBorders>
              <w:top w:val="single" w:sz="4" w:space="0" w:color="000000"/>
              <w:start w:val="single" w:sz="4" w:space="0" w:color="000000"/>
              <w:bottom w:val="single" w:sz="4" w:space="0" w:color="000000"/>
              <w:end w:val="single" w:sz="4" w:space="0" w:color="000000"/>
            </w:tcBorders>
          </w:tcPr>
          <w:p>
            <w:pPr>
              <w:pStyle w:val="TableContents"/>
              <w:bidi w:val="0"/>
              <w:spacing w:before="0" w:after="120"/>
              <w:ind w:start="89" w:hanging="0"/>
              <w:jc w:val="start"/>
              <w:rPr/>
            </w:pPr>
            <w:r>
              <w:rPr>
                <w:b/>
                <w:bCs/>
                <w:color w:val="000000"/>
              </w:rPr>
              <w:t>Values</w:t>
            </w:r>
          </w:p>
        </w:tc>
      </w:tr>
      <w:tr>
        <w:trPr/>
        <w:tc>
          <w:tcPr>
            <w:tcW w:w="2774" w:type="dxa"/>
            <w:tcBorders>
              <w:start w:val="single" w:sz="4" w:space="0" w:color="000000"/>
              <w:bottom w:val="single" w:sz="4" w:space="0" w:color="000000"/>
            </w:tcBorders>
          </w:tcPr>
          <w:p>
            <w:pPr>
              <w:pStyle w:val="TableContents"/>
              <w:bidi w:val="0"/>
              <w:spacing w:before="0" w:after="120"/>
              <w:ind w:start="89" w:hanging="0"/>
              <w:jc w:val="start"/>
              <w:rPr/>
            </w:pPr>
            <w:r>
              <w:rPr>
                <w:color w:val="000000"/>
              </w:rPr>
              <w:t xml:space="preserve">Terrain </w:t>
            </w:r>
          </w:p>
        </w:tc>
        <w:tc>
          <w:tcPr>
            <w:tcW w:w="1988" w:type="dxa"/>
            <w:tcBorders>
              <w:start w:val="single" w:sz="4" w:space="0" w:color="000000"/>
              <w:bottom w:val="single" w:sz="4" w:space="0" w:color="000000"/>
              <w:end w:val="single" w:sz="4" w:space="0" w:color="000000"/>
            </w:tcBorders>
          </w:tcPr>
          <w:p>
            <w:pPr>
              <w:pStyle w:val="TableContents"/>
              <w:bidi w:val="0"/>
              <w:spacing w:before="0" w:after="120"/>
              <w:ind w:start="89" w:hanging="0"/>
              <w:jc w:val="start"/>
              <w:rPr/>
            </w:pPr>
            <w:r>
              <w:rPr>
                <w:color w:val="000000"/>
              </w:rPr>
              <w:t>Urban Macro(FR1)</w:t>
            </w:r>
          </w:p>
        </w:tc>
      </w:tr>
      <w:tr>
        <w:trPr/>
        <w:tc>
          <w:tcPr>
            <w:tcW w:w="2774" w:type="dxa"/>
            <w:tcBorders>
              <w:start w:val="single" w:sz="4" w:space="0" w:color="000000"/>
              <w:bottom w:val="single" w:sz="4" w:space="0" w:color="000000"/>
            </w:tcBorders>
          </w:tcPr>
          <w:p>
            <w:pPr>
              <w:pStyle w:val="TableContents"/>
              <w:bidi w:val="0"/>
              <w:spacing w:before="0" w:after="120"/>
              <w:ind w:start="89" w:hanging="0"/>
              <w:jc w:val="start"/>
              <w:rPr/>
            </w:pPr>
            <w:r>
              <w:rPr>
                <w:color w:val="000000"/>
              </w:rPr>
              <w:t xml:space="preserve">Cell site [#gNB] </w:t>
            </w:r>
          </w:p>
        </w:tc>
        <w:tc>
          <w:tcPr>
            <w:tcW w:w="1988" w:type="dxa"/>
            <w:tcBorders>
              <w:start w:val="single" w:sz="4" w:space="0" w:color="000000"/>
              <w:bottom w:val="single" w:sz="4" w:space="0" w:color="000000"/>
              <w:end w:val="single" w:sz="4" w:space="0" w:color="000000"/>
            </w:tcBorders>
          </w:tcPr>
          <w:p>
            <w:pPr>
              <w:pStyle w:val="TableContents"/>
              <w:bidi w:val="0"/>
              <w:spacing w:before="0" w:after="120"/>
              <w:ind w:start="89" w:hanging="0"/>
              <w:jc w:val="start"/>
              <w:rPr/>
            </w:pPr>
            <w:r>
              <w:rPr>
                <w:color w:val="000000"/>
              </w:rPr>
              <w:t>[21]</w:t>
            </w:r>
          </w:p>
        </w:tc>
      </w:tr>
      <w:tr>
        <w:trPr/>
        <w:tc>
          <w:tcPr>
            <w:tcW w:w="2774" w:type="dxa"/>
            <w:tcBorders>
              <w:start w:val="single" w:sz="4" w:space="0" w:color="000000"/>
              <w:bottom w:val="single" w:sz="4" w:space="0" w:color="000000"/>
            </w:tcBorders>
          </w:tcPr>
          <w:p>
            <w:pPr>
              <w:pStyle w:val="TableContents"/>
              <w:bidi w:val="0"/>
              <w:spacing w:before="0" w:after="120"/>
              <w:ind w:start="89" w:hanging="0"/>
              <w:jc w:val="start"/>
              <w:rPr/>
            </w:pPr>
            <w:r>
              <w:rPr>
                <w:color w:val="000000"/>
              </w:rPr>
              <w:t>gNB power in dBm</w:t>
            </w:r>
          </w:p>
        </w:tc>
        <w:tc>
          <w:tcPr>
            <w:tcW w:w="1988" w:type="dxa"/>
            <w:tcBorders>
              <w:start w:val="single" w:sz="4" w:space="0" w:color="000000"/>
              <w:bottom w:val="single" w:sz="4" w:space="0" w:color="000000"/>
              <w:end w:val="single" w:sz="4" w:space="0" w:color="000000"/>
            </w:tcBorders>
          </w:tcPr>
          <w:p>
            <w:pPr>
              <w:pStyle w:val="TableContents"/>
              <w:bidi w:val="0"/>
              <w:spacing w:before="0" w:after="120"/>
              <w:ind w:start="89" w:hanging="0"/>
              <w:jc w:val="start"/>
              <w:rPr/>
            </w:pPr>
            <w:r>
              <w:rPr>
                <w:color w:val="000000"/>
              </w:rPr>
              <w:t>49</w:t>
            </w:r>
          </w:p>
        </w:tc>
      </w:tr>
      <w:tr>
        <w:trPr/>
        <w:tc>
          <w:tcPr>
            <w:tcW w:w="2774" w:type="dxa"/>
            <w:tcBorders>
              <w:start w:val="single" w:sz="4" w:space="0" w:color="000000"/>
              <w:bottom w:val="single" w:sz="4" w:space="0" w:color="000000"/>
            </w:tcBorders>
          </w:tcPr>
          <w:p>
            <w:pPr>
              <w:pStyle w:val="TableContents"/>
              <w:bidi w:val="0"/>
              <w:spacing w:before="0" w:after="120"/>
              <w:ind w:start="89" w:hanging="0"/>
              <w:jc w:val="start"/>
              <w:rPr/>
            </w:pPr>
            <w:r>
              <w:rPr/>
              <w:t>TXRU</w:t>
            </w:r>
          </w:p>
        </w:tc>
        <w:tc>
          <w:tcPr>
            <w:tcW w:w="1988" w:type="dxa"/>
            <w:tcBorders>
              <w:start w:val="single" w:sz="4" w:space="0" w:color="000000"/>
              <w:bottom w:val="single" w:sz="4" w:space="0" w:color="000000"/>
              <w:end w:val="single" w:sz="4" w:space="0" w:color="000000"/>
            </w:tcBorders>
          </w:tcPr>
          <w:p>
            <w:pPr>
              <w:pStyle w:val="TableContents"/>
              <w:bidi w:val="0"/>
              <w:spacing w:before="0" w:after="120"/>
              <w:ind w:start="89" w:hanging="0"/>
              <w:jc w:val="start"/>
              <w:rPr/>
            </w:pPr>
            <w:r>
              <w:rPr/>
              <w:t>32</w:t>
            </w:r>
          </w:p>
        </w:tc>
      </w:tr>
      <w:tr>
        <w:trPr/>
        <w:tc>
          <w:tcPr>
            <w:tcW w:w="2774" w:type="dxa"/>
            <w:tcBorders>
              <w:start w:val="single" w:sz="4" w:space="0" w:color="000000"/>
              <w:bottom w:val="single" w:sz="4" w:space="0" w:color="000000"/>
            </w:tcBorders>
          </w:tcPr>
          <w:p>
            <w:pPr>
              <w:pStyle w:val="TableContents"/>
              <w:bidi w:val="0"/>
              <w:spacing w:before="0" w:after="120"/>
              <w:ind w:start="89" w:hanging="0"/>
              <w:jc w:val="start"/>
              <w:rPr/>
            </w:pPr>
            <w:r>
              <w:rPr/>
              <w:t>BW in MHz [#</w:t>
            </w:r>
            <w:r>
              <w:rPr>
                <w:rFonts w:eastAsia="SimSun;宋体" w:cs="Times New Roman"/>
                <w:color w:val="00000A"/>
                <w:kern w:val="0"/>
                <w:sz w:val="22"/>
                <w:szCs w:val="22"/>
                <w:lang w:val="en-US" w:eastAsia="zh-CN" w:bidi="ar-SA"/>
              </w:rPr>
              <w:t>gNB]</w:t>
            </w:r>
          </w:p>
        </w:tc>
        <w:tc>
          <w:tcPr>
            <w:tcW w:w="1988" w:type="dxa"/>
            <w:tcBorders>
              <w:start w:val="single" w:sz="4" w:space="0" w:color="000000"/>
              <w:bottom w:val="single" w:sz="4" w:space="0" w:color="000000"/>
              <w:end w:val="single" w:sz="4" w:space="0" w:color="000000"/>
            </w:tcBorders>
          </w:tcPr>
          <w:p>
            <w:pPr>
              <w:pStyle w:val="TableContents"/>
              <w:bidi w:val="0"/>
              <w:spacing w:before="0" w:after="120"/>
              <w:ind w:start="89" w:hanging="0"/>
              <w:jc w:val="start"/>
              <w:rPr/>
            </w:pPr>
            <w:r>
              <w:rPr/>
              <w:t>50</w:t>
            </w:r>
          </w:p>
        </w:tc>
      </w:tr>
      <w:tr>
        <w:trPr/>
        <w:tc>
          <w:tcPr>
            <w:tcW w:w="2774" w:type="dxa"/>
            <w:tcBorders>
              <w:start w:val="single" w:sz="4" w:space="0" w:color="000000"/>
              <w:bottom w:val="single" w:sz="4" w:space="0" w:color="000000"/>
            </w:tcBorders>
          </w:tcPr>
          <w:p>
            <w:pPr>
              <w:pStyle w:val="TableContents"/>
              <w:bidi w:val="0"/>
              <w:spacing w:before="0" w:after="120"/>
              <w:ind w:start="89" w:hanging="0"/>
              <w:jc w:val="start"/>
              <w:rPr/>
            </w:pPr>
            <w:r>
              <w:rPr>
                <w:color w:val="000000"/>
              </w:rPr>
              <w:t>User mobility direction</w:t>
            </w:r>
          </w:p>
        </w:tc>
        <w:tc>
          <w:tcPr>
            <w:tcW w:w="1988" w:type="dxa"/>
            <w:tcBorders>
              <w:start w:val="single" w:sz="4" w:space="0" w:color="000000"/>
              <w:bottom w:val="single" w:sz="4" w:space="0" w:color="000000"/>
              <w:end w:val="single" w:sz="4" w:space="0" w:color="000000"/>
            </w:tcBorders>
          </w:tcPr>
          <w:p>
            <w:pPr>
              <w:pStyle w:val="TableContents"/>
              <w:bidi w:val="0"/>
              <w:spacing w:before="0" w:after="120"/>
              <w:ind w:start="89" w:hanging="0"/>
              <w:jc w:val="start"/>
              <w:rPr/>
            </w:pPr>
            <w:r>
              <w:rPr>
                <w:color w:val="000000"/>
              </w:rPr>
              <w:t xml:space="preserve">Random </w:t>
            </w:r>
          </w:p>
        </w:tc>
      </w:tr>
      <w:tr>
        <w:trPr/>
        <w:tc>
          <w:tcPr>
            <w:tcW w:w="2774" w:type="dxa"/>
            <w:tcBorders>
              <w:start w:val="single" w:sz="4" w:space="0" w:color="000000"/>
              <w:bottom w:val="single" w:sz="4" w:space="0" w:color="000000"/>
            </w:tcBorders>
          </w:tcPr>
          <w:p>
            <w:pPr>
              <w:pStyle w:val="TableContents"/>
              <w:bidi w:val="0"/>
              <w:spacing w:before="0" w:after="120"/>
              <w:ind w:start="89" w:hanging="0"/>
              <w:jc w:val="start"/>
              <w:rPr/>
            </w:pPr>
            <w:r>
              <w:rPr>
                <w:color w:val="000000"/>
              </w:rPr>
              <w:t>UE Dropping</w:t>
            </w:r>
          </w:p>
        </w:tc>
        <w:tc>
          <w:tcPr>
            <w:tcW w:w="1988" w:type="dxa"/>
            <w:tcBorders>
              <w:start w:val="single" w:sz="4" w:space="0" w:color="000000"/>
              <w:bottom w:val="single" w:sz="4" w:space="0" w:color="000000"/>
              <w:end w:val="single" w:sz="4" w:space="0" w:color="000000"/>
            </w:tcBorders>
          </w:tcPr>
          <w:p>
            <w:pPr>
              <w:pStyle w:val="TableContents"/>
              <w:bidi w:val="0"/>
              <w:spacing w:before="0" w:after="120"/>
              <w:ind w:start="89" w:hanging="0"/>
              <w:jc w:val="start"/>
              <w:rPr/>
            </w:pPr>
            <w:r>
              <w:rPr>
                <w:color w:val="000000"/>
              </w:rPr>
              <w:t>Random</w:t>
            </w:r>
          </w:p>
        </w:tc>
      </w:tr>
      <w:tr>
        <w:trPr/>
        <w:tc>
          <w:tcPr>
            <w:tcW w:w="2774" w:type="dxa"/>
            <w:tcBorders>
              <w:start w:val="single" w:sz="4" w:space="0" w:color="000000"/>
              <w:bottom w:val="single" w:sz="4" w:space="0" w:color="000000"/>
            </w:tcBorders>
          </w:tcPr>
          <w:p>
            <w:pPr>
              <w:pStyle w:val="TableContents"/>
              <w:bidi w:val="0"/>
              <w:spacing w:before="0" w:after="120"/>
              <w:ind w:start="89" w:hanging="0"/>
              <w:jc w:val="start"/>
              <w:rPr/>
            </w:pPr>
            <w:r>
              <w:rPr>
                <w:color w:val="000000"/>
              </w:rPr>
              <w:t>Inter site distance</w:t>
            </w:r>
          </w:p>
        </w:tc>
        <w:tc>
          <w:tcPr>
            <w:tcW w:w="1988" w:type="dxa"/>
            <w:tcBorders>
              <w:start w:val="single" w:sz="4" w:space="0" w:color="000000"/>
              <w:bottom w:val="single" w:sz="4" w:space="0" w:color="000000"/>
              <w:end w:val="single" w:sz="4" w:space="0" w:color="000000"/>
            </w:tcBorders>
          </w:tcPr>
          <w:p>
            <w:pPr>
              <w:pStyle w:val="TableContents"/>
              <w:bidi w:val="0"/>
              <w:spacing w:before="0" w:after="120"/>
              <w:ind w:start="89" w:hanging="0"/>
              <w:jc w:val="start"/>
              <w:rPr/>
            </w:pPr>
            <w:r>
              <w:rPr>
                <w:color w:val="000000"/>
              </w:rPr>
              <w:t>500 m</w:t>
            </w:r>
          </w:p>
        </w:tc>
      </w:tr>
      <w:tr>
        <w:trPr/>
        <w:tc>
          <w:tcPr>
            <w:tcW w:w="2774" w:type="dxa"/>
            <w:tcBorders>
              <w:start w:val="single" w:sz="4" w:space="0" w:color="000000"/>
              <w:bottom w:val="single" w:sz="4" w:space="0" w:color="000000"/>
            </w:tcBorders>
          </w:tcPr>
          <w:p>
            <w:pPr>
              <w:pStyle w:val="TableContents"/>
              <w:bidi w:val="0"/>
              <w:spacing w:before="0" w:after="120"/>
              <w:ind w:start="89" w:hanging="0"/>
              <w:jc w:val="start"/>
              <w:rPr/>
            </w:pPr>
            <w:r>
              <w:rPr>
                <w:color w:val="000000"/>
              </w:rPr>
              <w:t>Size reduction per SSB (%)</w:t>
            </w:r>
          </w:p>
        </w:tc>
        <w:tc>
          <w:tcPr>
            <w:tcW w:w="1988" w:type="dxa"/>
            <w:tcBorders>
              <w:start w:val="single" w:sz="4" w:space="0" w:color="000000"/>
              <w:bottom w:val="single" w:sz="4" w:space="0" w:color="000000"/>
              <w:end w:val="single" w:sz="4" w:space="0" w:color="000000"/>
            </w:tcBorders>
          </w:tcPr>
          <w:p>
            <w:pPr>
              <w:pStyle w:val="TableContents"/>
              <w:tabs>
                <w:tab w:val="clear" w:pos="709"/>
                <w:tab w:val="left" w:pos="226" w:leader="none"/>
              </w:tabs>
              <w:bidi w:val="0"/>
              <w:spacing w:before="0" w:after="120"/>
              <w:ind w:start="113" w:hanging="0"/>
              <w:jc w:val="start"/>
              <w:rPr/>
            </w:pPr>
            <w:r>
              <w:rPr>
                <w:color w:val="000000"/>
              </w:rPr>
              <w:t>46.9%</w:t>
            </w:r>
          </w:p>
        </w:tc>
      </w:tr>
      <w:tr>
        <w:trPr/>
        <w:tc>
          <w:tcPr>
            <w:tcW w:w="2774" w:type="dxa"/>
            <w:tcBorders>
              <w:start w:val="single" w:sz="4" w:space="0" w:color="000000"/>
              <w:bottom w:val="single" w:sz="4" w:space="0" w:color="000000"/>
            </w:tcBorders>
          </w:tcPr>
          <w:p>
            <w:pPr>
              <w:pStyle w:val="TableContents"/>
              <w:bidi w:val="0"/>
              <w:spacing w:before="0" w:after="120"/>
              <w:ind w:start="89" w:hanging="0"/>
              <w:jc w:val="start"/>
              <w:rPr/>
            </w:pPr>
            <w:r>
              <w:rPr>
                <w:color w:val="000000"/>
              </w:rPr>
              <w:t>Vehicular UE (%)</w:t>
            </w:r>
          </w:p>
        </w:tc>
        <w:tc>
          <w:tcPr>
            <w:tcW w:w="1988" w:type="dxa"/>
            <w:tcBorders>
              <w:start w:val="single" w:sz="4" w:space="0" w:color="000000"/>
              <w:bottom w:val="single" w:sz="4" w:space="0" w:color="000000"/>
              <w:end w:val="single" w:sz="4" w:space="0" w:color="000000"/>
            </w:tcBorders>
          </w:tcPr>
          <w:p>
            <w:pPr>
              <w:pStyle w:val="TableContents"/>
              <w:bidi w:val="0"/>
              <w:spacing w:before="0" w:after="120"/>
              <w:ind w:start="113" w:hanging="0"/>
              <w:jc w:val="start"/>
              <w:rPr/>
            </w:pPr>
            <w:r>
              <w:rPr>
                <w:color w:val="000000"/>
              </w:rPr>
              <w:t>90%</w:t>
            </w:r>
          </w:p>
        </w:tc>
      </w:tr>
      <w:tr>
        <w:trPr/>
        <w:tc>
          <w:tcPr>
            <w:tcW w:w="2774" w:type="dxa"/>
            <w:tcBorders>
              <w:start w:val="single" w:sz="4" w:space="0" w:color="000000"/>
              <w:bottom w:val="single" w:sz="4" w:space="0" w:color="000000"/>
            </w:tcBorders>
          </w:tcPr>
          <w:p>
            <w:pPr>
              <w:pStyle w:val="TableContents"/>
              <w:bidi w:val="0"/>
              <w:spacing w:before="0" w:after="120"/>
              <w:ind w:start="89" w:hanging="0"/>
              <w:jc w:val="start"/>
              <w:rPr/>
            </w:pPr>
            <w:r>
              <w:rPr/>
              <w:t>Traffic</w:t>
            </w:r>
          </w:p>
        </w:tc>
        <w:tc>
          <w:tcPr>
            <w:tcW w:w="1988" w:type="dxa"/>
            <w:tcBorders>
              <w:start w:val="single" w:sz="4" w:space="0" w:color="000000"/>
              <w:bottom w:val="single" w:sz="4" w:space="0" w:color="000000"/>
              <w:end w:val="single" w:sz="4" w:space="0" w:color="000000"/>
            </w:tcBorders>
          </w:tcPr>
          <w:p>
            <w:pPr>
              <w:pStyle w:val="Normal"/>
              <w:bidi w:val="0"/>
              <w:spacing w:before="0" w:after="120"/>
              <w:ind w:start="113" w:hanging="0"/>
              <w:jc w:val="start"/>
              <w:rPr/>
            </w:pPr>
            <w:r>
              <w:rPr/>
              <w:t>FTP 3 model</w:t>
            </w:r>
          </w:p>
        </w:tc>
      </w:tr>
    </w:tbl>
    <w:p>
      <w:pPr>
        <w:pStyle w:val="Normal"/>
        <w:bidi w:val="0"/>
        <w:spacing w:before="57" w:after="177"/>
        <w:jc w:val="center"/>
        <w:rPr/>
      </w:pPr>
      <w:r>
        <w:rPr/>
        <w:t>Table 1: Evaluation parameters</w:t>
      </w:r>
    </w:p>
    <w:p>
      <w:pPr>
        <w:pStyle w:val="Normal"/>
        <w:bidi w:val="0"/>
        <w:spacing w:before="57" w:after="177"/>
        <w:jc w:val="start"/>
        <w:rPr/>
      </w:pPr>
      <w:r>
        <w:rPr/>
      </w:r>
    </w:p>
    <w:tbl>
      <w:tblPr>
        <w:tblW w:w="6052" w:type="dxa"/>
        <w:jc w:val="start"/>
        <w:tblInd w:w="1488" w:type="dxa"/>
        <w:tblCellMar>
          <w:top w:w="55" w:type="dxa"/>
          <w:start w:w="55" w:type="dxa"/>
          <w:bottom w:w="55" w:type="dxa"/>
          <w:end w:w="55" w:type="dxa"/>
        </w:tblCellMar>
      </w:tblPr>
      <w:tblGrid>
        <w:gridCol w:w="1713"/>
        <w:gridCol w:w="2424"/>
        <w:gridCol w:w="1915"/>
      </w:tblGrid>
      <w:tr>
        <w:trPr/>
        <w:tc>
          <w:tcPr>
            <w:tcW w:w="1713" w:type="dxa"/>
            <w:vMerge w:val="restart"/>
            <w:tcBorders>
              <w:top w:val="single" w:sz="2" w:space="0" w:color="000000"/>
              <w:start w:val="single" w:sz="2" w:space="0" w:color="000000"/>
              <w:bottom w:val="single" w:sz="2" w:space="0" w:color="000000"/>
            </w:tcBorders>
          </w:tcPr>
          <w:p>
            <w:pPr>
              <w:pStyle w:val="TableContents"/>
              <w:bidi w:val="0"/>
              <w:spacing w:before="0" w:after="120"/>
              <w:jc w:val="center"/>
              <w:rPr/>
            </w:pPr>
            <w:r>
              <w:rPr/>
              <w:t>Load</w:t>
            </w:r>
          </w:p>
        </w:tc>
        <w:tc>
          <w:tcPr>
            <w:tcW w:w="4339" w:type="dxa"/>
            <w:gridSpan w:val="2"/>
            <w:tcBorders>
              <w:top w:val="single" w:sz="2" w:space="0" w:color="000000"/>
              <w:start w:val="single" w:sz="2" w:space="0" w:color="000000"/>
              <w:bottom w:val="single" w:sz="2" w:space="0" w:color="000000"/>
              <w:end w:val="single" w:sz="2" w:space="0" w:color="000000"/>
            </w:tcBorders>
          </w:tcPr>
          <w:p>
            <w:pPr>
              <w:pStyle w:val="TableContents"/>
              <w:bidi w:val="0"/>
              <w:spacing w:before="0" w:after="120"/>
              <w:jc w:val="center"/>
              <w:rPr/>
            </w:pPr>
            <w:r>
              <w:rPr/>
              <w:t xml:space="preserve">Active </w:t>
            </w:r>
            <w:r>
              <w:rPr>
                <w:rFonts w:eastAsia="SimSun;宋体" w:cs="Times New Roman"/>
                <w:color w:val="00000A"/>
                <w:kern w:val="0"/>
                <w:sz w:val="22"/>
                <w:szCs w:val="22"/>
                <w:lang w:val="en-US" w:eastAsia="zh-CN" w:bidi="ar-SA"/>
              </w:rPr>
              <w:t>gNBs</w:t>
            </w:r>
            <w:r>
              <w:rPr/>
              <w:t xml:space="preserve"> out of 21 </w:t>
            </w:r>
            <w:r>
              <w:rPr>
                <w:rFonts w:eastAsia="SimSun;宋体" w:cs="Times New Roman"/>
                <w:color w:val="00000A"/>
                <w:kern w:val="0"/>
                <w:sz w:val="22"/>
                <w:szCs w:val="22"/>
                <w:lang w:val="en-US" w:eastAsia="zh-CN" w:bidi="ar-SA"/>
              </w:rPr>
              <w:t>gNBs</w:t>
            </w:r>
            <w:r>
              <w:rPr/>
              <w:t xml:space="preserve"> </w:t>
            </w:r>
          </w:p>
        </w:tc>
      </w:tr>
      <w:tr>
        <w:trPr/>
        <w:tc>
          <w:tcPr>
            <w:tcW w:w="1713" w:type="dxa"/>
            <w:vMerge w:val="continue"/>
            <w:tcBorders>
              <w:top w:val="single" w:sz="2" w:space="0" w:color="000000"/>
              <w:start w:val="single" w:sz="2" w:space="0" w:color="000000"/>
              <w:bottom w:val="single" w:sz="2" w:space="0" w:color="000000"/>
            </w:tcBorders>
          </w:tcPr>
          <w:p>
            <w:pPr>
              <w:pStyle w:val="TableContents"/>
              <w:bidi w:val="0"/>
              <w:spacing w:before="0" w:after="120"/>
              <w:jc w:val="center"/>
              <w:rPr/>
            </w:pPr>
            <w:r>
              <w:rPr/>
            </w:r>
          </w:p>
        </w:tc>
        <w:tc>
          <w:tcPr>
            <w:tcW w:w="2424" w:type="dxa"/>
            <w:tcBorders>
              <w:start w:val="single" w:sz="2" w:space="0" w:color="000000"/>
              <w:bottom w:val="single" w:sz="2" w:space="0" w:color="000000"/>
            </w:tcBorders>
          </w:tcPr>
          <w:p>
            <w:pPr>
              <w:pStyle w:val="TableContents"/>
              <w:bidi w:val="0"/>
              <w:spacing w:before="0" w:after="120"/>
              <w:jc w:val="center"/>
              <w:rPr/>
            </w:pPr>
            <w:r>
              <w:rPr/>
              <w:t>without offloading</w:t>
            </w:r>
          </w:p>
        </w:tc>
        <w:tc>
          <w:tcPr>
            <w:tcW w:w="1915" w:type="dxa"/>
            <w:tcBorders>
              <w:start w:val="single" w:sz="2" w:space="0" w:color="000000"/>
              <w:bottom w:val="single" w:sz="2" w:space="0" w:color="000000"/>
              <w:end w:val="single" w:sz="2" w:space="0" w:color="000000"/>
            </w:tcBorders>
          </w:tcPr>
          <w:p>
            <w:pPr>
              <w:pStyle w:val="TableHeading"/>
              <w:bidi w:val="0"/>
              <w:spacing w:before="0" w:after="120"/>
              <w:jc w:val="center"/>
              <w:rPr>
                <w:b w:val="false"/>
                <w:b w:val="false"/>
                <w:bCs w:val="false"/>
              </w:rPr>
            </w:pPr>
            <w:r>
              <w:rPr>
                <w:b w:val="false"/>
                <w:bCs w:val="false"/>
              </w:rPr>
              <w:t>with offloading</w:t>
            </w:r>
          </w:p>
        </w:tc>
      </w:tr>
      <w:tr>
        <w:trPr/>
        <w:tc>
          <w:tcPr>
            <w:tcW w:w="1713" w:type="dxa"/>
            <w:tcBorders>
              <w:start w:val="single" w:sz="2" w:space="0" w:color="000000"/>
              <w:bottom w:val="single" w:sz="2" w:space="0" w:color="000000"/>
            </w:tcBorders>
          </w:tcPr>
          <w:p>
            <w:pPr>
              <w:pStyle w:val="TableContents"/>
              <w:bidi w:val="0"/>
              <w:spacing w:before="0" w:after="120"/>
              <w:jc w:val="center"/>
              <w:rPr/>
            </w:pPr>
            <w:r>
              <w:rPr/>
              <w:t>low</w:t>
            </w:r>
          </w:p>
        </w:tc>
        <w:tc>
          <w:tcPr>
            <w:tcW w:w="2424" w:type="dxa"/>
            <w:tcBorders>
              <w:start w:val="single" w:sz="2" w:space="0" w:color="000000"/>
              <w:bottom w:val="single" w:sz="2" w:space="0" w:color="000000"/>
            </w:tcBorders>
          </w:tcPr>
          <w:p>
            <w:pPr>
              <w:pStyle w:val="TableContents"/>
              <w:bidi w:val="0"/>
              <w:spacing w:before="0" w:after="120"/>
              <w:jc w:val="center"/>
              <w:rPr/>
            </w:pPr>
            <w:r>
              <w:rPr/>
              <w:t>16</w:t>
            </w:r>
          </w:p>
        </w:tc>
        <w:tc>
          <w:tcPr>
            <w:tcW w:w="1915" w:type="dxa"/>
            <w:tcBorders>
              <w:start w:val="single" w:sz="2" w:space="0" w:color="000000"/>
              <w:bottom w:val="single" w:sz="2" w:space="0" w:color="000000"/>
              <w:end w:val="single" w:sz="2" w:space="0" w:color="000000"/>
            </w:tcBorders>
          </w:tcPr>
          <w:p>
            <w:pPr>
              <w:pStyle w:val="TableContents"/>
              <w:bidi w:val="0"/>
              <w:spacing w:before="0" w:after="120"/>
              <w:jc w:val="center"/>
              <w:rPr/>
            </w:pPr>
            <w:r>
              <w:rPr/>
              <w:t>13</w:t>
            </w:r>
          </w:p>
        </w:tc>
      </w:tr>
      <w:tr>
        <w:trPr/>
        <w:tc>
          <w:tcPr>
            <w:tcW w:w="1713" w:type="dxa"/>
            <w:tcBorders>
              <w:start w:val="single" w:sz="2" w:space="0" w:color="000000"/>
              <w:bottom w:val="single" w:sz="2" w:space="0" w:color="000000"/>
            </w:tcBorders>
          </w:tcPr>
          <w:p>
            <w:pPr>
              <w:pStyle w:val="TableContents"/>
              <w:bidi w:val="0"/>
              <w:spacing w:before="0" w:after="120"/>
              <w:jc w:val="center"/>
              <w:rPr/>
            </w:pPr>
            <w:r>
              <w:rPr/>
              <w:t>light</w:t>
            </w:r>
          </w:p>
        </w:tc>
        <w:tc>
          <w:tcPr>
            <w:tcW w:w="2424" w:type="dxa"/>
            <w:tcBorders>
              <w:start w:val="single" w:sz="2" w:space="0" w:color="000000"/>
              <w:bottom w:val="single" w:sz="2" w:space="0" w:color="000000"/>
            </w:tcBorders>
          </w:tcPr>
          <w:p>
            <w:pPr>
              <w:pStyle w:val="TableContents"/>
              <w:bidi w:val="0"/>
              <w:spacing w:before="0" w:after="120"/>
              <w:jc w:val="center"/>
              <w:rPr/>
            </w:pPr>
            <w:r>
              <w:rPr/>
              <w:t>19</w:t>
            </w:r>
          </w:p>
        </w:tc>
        <w:tc>
          <w:tcPr>
            <w:tcW w:w="1915" w:type="dxa"/>
            <w:tcBorders>
              <w:start w:val="single" w:sz="2" w:space="0" w:color="000000"/>
              <w:bottom w:val="single" w:sz="2" w:space="0" w:color="000000"/>
              <w:end w:val="single" w:sz="2" w:space="0" w:color="000000"/>
            </w:tcBorders>
          </w:tcPr>
          <w:p>
            <w:pPr>
              <w:pStyle w:val="TableContents"/>
              <w:bidi w:val="0"/>
              <w:spacing w:before="0" w:after="120"/>
              <w:jc w:val="center"/>
              <w:rPr/>
            </w:pPr>
            <w:r>
              <w:rPr/>
              <w:t>15</w:t>
            </w:r>
          </w:p>
        </w:tc>
      </w:tr>
      <w:tr>
        <w:trPr/>
        <w:tc>
          <w:tcPr>
            <w:tcW w:w="1713" w:type="dxa"/>
            <w:tcBorders>
              <w:start w:val="single" w:sz="2" w:space="0" w:color="000000"/>
              <w:bottom w:val="single" w:sz="2" w:space="0" w:color="000000"/>
            </w:tcBorders>
          </w:tcPr>
          <w:p>
            <w:pPr>
              <w:pStyle w:val="TableContents"/>
              <w:bidi w:val="0"/>
              <w:spacing w:before="0" w:after="120"/>
              <w:jc w:val="center"/>
              <w:rPr/>
            </w:pPr>
            <w:r>
              <w:rPr/>
              <w:t>medium</w:t>
            </w:r>
          </w:p>
        </w:tc>
        <w:tc>
          <w:tcPr>
            <w:tcW w:w="2424" w:type="dxa"/>
            <w:tcBorders>
              <w:start w:val="single" w:sz="2" w:space="0" w:color="000000"/>
              <w:bottom w:val="single" w:sz="2" w:space="0" w:color="000000"/>
            </w:tcBorders>
          </w:tcPr>
          <w:p>
            <w:pPr>
              <w:pStyle w:val="TableContents"/>
              <w:bidi w:val="0"/>
              <w:spacing w:before="0" w:after="120"/>
              <w:jc w:val="center"/>
              <w:rPr/>
            </w:pPr>
            <w:r>
              <w:rPr/>
              <w:t>20</w:t>
            </w:r>
          </w:p>
        </w:tc>
        <w:tc>
          <w:tcPr>
            <w:tcW w:w="1915" w:type="dxa"/>
            <w:tcBorders>
              <w:start w:val="single" w:sz="2" w:space="0" w:color="000000"/>
              <w:bottom w:val="single" w:sz="2" w:space="0" w:color="000000"/>
              <w:end w:val="single" w:sz="2" w:space="0" w:color="000000"/>
            </w:tcBorders>
          </w:tcPr>
          <w:p>
            <w:pPr>
              <w:pStyle w:val="TableContents"/>
              <w:bidi w:val="0"/>
              <w:spacing w:before="0" w:after="120"/>
              <w:jc w:val="center"/>
              <w:rPr/>
            </w:pPr>
            <w:r>
              <w:rPr/>
              <w:t>16</w:t>
            </w:r>
          </w:p>
        </w:tc>
      </w:tr>
    </w:tbl>
    <w:p>
      <w:pPr>
        <w:pStyle w:val="Normal"/>
        <w:bidi w:val="0"/>
        <w:spacing w:before="57" w:after="177"/>
        <w:jc w:val="center"/>
        <w:rPr/>
      </w:pPr>
      <w:r>
        <w:rPr/>
        <w:t xml:space="preserve">Table 2: Evaluation </w:t>
      </w:r>
      <w:r>
        <w:rPr>
          <w:rFonts w:eastAsia="SimSun;宋体" w:cs="Times New Roman"/>
          <w:color w:val="00000A"/>
          <w:kern w:val="0"/>
          <w:sz w:val="22"/>
          <w:szCs w:val="22"/>
          <w:lang w:val="en-US" w:eastAsia="zh-CN" w:bidi="ar-SA"/>
        </w:rPr>
        <w:t>results for lighter version of SSB for different loads.</w:t>
      </w:r>
    </w:p>
    <w:p>
      <w:pPr>
        <w:pStyle w:val="Normal"/>
        <w:bidi w:val="0"/>
        <w:spacing w:before="57" w:after="177"/>
        <w:jc w:val="center"/>
        <w:rPr>
          <w:rFonts w:ascii="Times New Roman" w:hAnsi="Times New Roman" w:eastAsia="SimSun;宋体" w:cs="Times New Roman"/>
          <w:color w:val="00000A"/>
          <w:kern w:val="0"/>
          <w:sz w:val="22"/>
          <w:szCs w:val="22"/>
          <w:lang w:val="en-US" w:eastAsia="zh-CN" w:bidi="ar-SA"/>
        </w:rPr>
      </w:pPr>
      <w:r>
        <w:rPr>
          <w:rFonts w:eastAsia="SimSun;宋体" w:cs="Times New Roman" w:ascii="Times New Roman" w:hAnsi="Times New Roman"/>
          <w:color w:val="00000A"/>
          <w:kern w:val="0"/>
          <w:sz w:val="22"/>
          <w:szCs w:val="22"/>
          <w:lang w:val="en-US" w:eastAsia="zh-CN" w:bidi="ar-SA"/>
        </w:rPr>
      </w:r>
    </w:p>
    <w:p>
      <w:pPr>
        <w:pStyle w:val="Normal"/>
        <w:bidi w:val="0"/>
        <w:spacing w:before="114" w:after="177"/>
        <w:jc w:val="center"/>
        <w:rPr/>
      </w:pPr>
      <w:r>
        <w:rPr/>
      </w:r>
    </w:p>
    <w:p>
      <w:pPr>
        <w:pStyle w:val="Normal"/>
        <w:bidi w:val="0"/>
        <w:spacing w:before="114" w:after="177"/>
        <w:jc w:val="center"/>
        <w:rPr/>
      </w:pPr>
      <w:r>
        <w:rPr/>
        <w:drawing>
          <wp:inline distT="0" distB="0" distL="0" distR="0">
            <wp:extent cx="4331970" cy="2382520"/>
            <wp:effectExtent l="0" t="0" r="0" b="0"/>
            <wp:docPr id="1" name="Obj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
              </a:graphicData>
            </a:graphic>
          </wp:inline>
        </w:drawing>
      </w:r>
    </w:p>
    <w:p>
      <w:pPr>
        <w:pStyle w:val="Normal"/>
        <w:bidi w:val="0"/>
        <w:jc w:val="center"/>
        <w:rPr/>
      </w:pPr>
      <w:r>
        <w:rPr/>
        <w:t>Fig. 1: Energy savings by mandating transmission of lighter version of SSB by inactive gNBs for various loads</w:t>
      </w:r>
    </w:p>
    <w:p>
      <w:pPr>
        <w:pStyle w:val="Normal"/>
        <w:bidi w:val="0"/>
        <w:jc w:val="center"/>
        <w:rPr/>
      </w:pPr>
      <w:r>
        <w:rPr/>
      </w:r>
    </w:p>
    <w:p>
      <w:pPr>
        <w:pStyle w:val="Normal"/>
        <w:bidi w:val="0"/>
        <w:jc w:val="start"/>
        <w:rPr/>
      </w:pPr>
      <w:r>
        <w:rPr/>
        <w:t>The effectiveness of the lighter version of SSB is further enhanced if used along with techniques such as gNB offloading. In offloading, the gNBs with very low number of connected users can offload the users to next best available gNBs, thereby increasing the number of inactive gNBs transmitting lighter version of SSB as shown in Table 2. Evaluating the performance in 21 cell scenario (explained earlier) using the simulation parameters in Table 1, the use of lighter version of SSB along with offloading provides, 46.2%, 17.9%, 13.43%, and 11.18% energy saving gain in no load, low load, light load and medium load, respectively. The result is illustrated in Fig. 1. Therefore, transmission of lighter version of SSB provides significant gains, especially in no and low load scenarios, and can be further enhanced by incorporating along with gNB offloading.</w:t>
      </w:r>
    </w:p>
    <w:p>
      <w:pPr>
        <w:pStyle w:val="Normal"/>
        <w:bidi w:val="0"/>
        <w:jc w:val="start"/>
        <w:rPr/>
      </w:pPr>
      <w:r>
        <w:rPr/>
      </w:r>
    </w:p>
    <w:p>
      <w:pPr>
        <w:pStyle w:val="Normal"/>
        <w:bidi w:val="0"/>
        <w:jc w:val="start"/>
        <w:rPr/>
      </w:pPr>
      <w:r>
        <w:rPr/>
        <w:t xml:space="preserve">The performance is also evaluated numerically for cat 1, with the transmission of SSB, PDCCH in CORESET0 and SIB1 for 20 ms. The parameters for category 1 is given in Appendix A. The use of lighter versions of SSB provides an energy saving gain of </w:t>
      </w:r>
      <w:r>
        <w:rPr>
          <w:rFonts w:ascii="Times New Roman" w:hAnsi="Times New Roman"/>
          <w:b w:val="false"/>
          <w:i w:val="false"/>
          <w:strike w:val="false"/>
          <w:dstrike w:val="false"/>
          <w:outline w:val="false"/>
          <w:shadow w:val="false"/>
          <w:sz w:val="22"/>
          <w:u w:val="none"/>
          <w:em w:val="none"/>
        </w:rPr>
        <w:t>2.4%.</w:t>
      </w:r>
    </w:p>
    <w:p>
      <w:pPr>
        <w:pStyle w:val="Normal"/>
        <w:bidi w:val="0"/>
        <w:jc w:val="start"/>
        <w:rPr>
          <w:rFonts w:ascii="Times New Roman" w:hAnsi="Times New Roman"/>
          <w:b w:val="false"/>
          <w:b w:val="false"/>
          <w:i w:val="false"/>
          <w:i w:val="false"/>
          <w:strike w:val="false"/>
          <w:dstrike w:val="false"/>
          <w:outline w:val="false"/>
          <w:shadow w:val="false"/>
          <w:sz w:val="22"/>
          <w:u w:val="none"/>
          <w:em w:val="none"/>
        </w:rPr>
      </w:pPr>
      <w:r>
        <w:rPr>
          <w:rFonts w:ascii="Times New Roman" w:hAnsi="Times New Roman"/>
          <w:b w:val="false"/>
          <w:i w:val="false"/>
          <w:strike w:val="false"/>
          <w:dstrike w:val="false"/>
          <w:outline w:val="false"/>
          <w:shadow w:val="false"/>
          <w:sz w:val="22"/>
          <w:u w:val="none"/>
          <w:em w:val="none"/>
        </w:rPr>
      </w:r>
    </w:p>
    <w:p>
      <w:pPr>
        <w:pStyle w:val="Normal"/>
        <w:bidi w:val="0"/>
        <w:jc w:val="start"/>
        <w:rPr/>
      </w:pPr>
      <w:r>
        <w:rPr>
          <w:b/>
          <w:bCs/>
        </w:rPr>
        <w:t>Observation 1:</w:t>
      </w:r>
      <w:r>
        <w:rPr/>
        <w:t xml:space="preserve"> Mandatory set operations consume energy at the gNB irrespective of the lo</w:t>
      </w:r>
      <w:bookmarkStart w:id="3" w:name="move1109495311"/>
      <w:bookmarkEnd w:id="3"/>
      <w:r>
        <w:rPr/>
        <w:t>ad</w:t>
      </w:r>
    </w:p>
    <w:p>
      <w:pPr>
        <w:pStyle w:val="Normal"/>
        <w:bidi w:val="0"/>
        <w:jc w:val="start"/>
        <w:rPr/>
      </w:pPr>
      <w:r>
        <w:rPr>
          <w:b/>
          <w:bCs/>
        </w:rPr>
        <w:t>Observation 2:</w:t>
      </w:r>
      <w:r>
        <w:rPr/>
        <w:t xml:space="preserve"> Use of lighter version of SSB provides </w:t>
      </w:r>
    </w:p>
    <w:p>
      <w:pPr>
        <w:pStyle w:val="Normal"/>
        <w:numPr>
          <w:ilvl w:val="0"/>
          <w:numId w:val="3"/>
        </w:numPr>
        <w:bidi w:val="0"/>
        <w:jc w:val="start"/>
        <w:rPr/>
      </w:pPr>
      <w:r>
        <w:rPr/>
        <w:t xml:space="preserve">an energy saving gain of </w:t>
      </w:r>
      <w:r>
        <w:rPr>
          <w:rFonts w:ascii="Times New Roman" w:hAnsi="Times New Roman"/>
          <w:b w:val="false"/>
          <w:i w:val="false"/>
          <w:strike w:val="false"/>
          <w:dstrike w:val="false"/>
          <w:outline w:val="false"/>
          <w:shadow w:val="false"/>
          <w:sz w:val="22"/>
          <w:u w:val="none"/>
          <w:em w:val="none"/>
        </w:rPr>
        <w:t>2.4% for cat 1.</w:t>
      </w:r>
    </w:p>
    <w:p>
      <w:pPr>
        <w:pStyle w:val="Normal"/>
        <w:bidi w:val="0"/>
        <w:jc w:val="start"/>
        <w:rPr/>
      </w:pPr>
      <w:r>
        <w:rPr>
          <w:b/>
          <w:bCs/>
        </w:rPr>
        <w:t>Observation 3:</w:t>
      </w:r>
      <w:r>
        <w:rPr/>
        <w:t xml:space="preserve"> Use of lighter version of SSB as along with gNB offloading </w:t>
      </w:r>
      <w:r>
        <w:rPr>
          <w:rFonts w:eastAsia="SimSun;宋体" w:cs="Times New Roman" w:ascii="Times New Roman" w:hAnsi="Times New Roman"/>
          <w:color w:val="00000A"/>
          <w:kern w:val="0"/>
          <w:sz w:val="22"/>
          <w:szCs w:val="22"/>
          <w:lang w:val="en-US" w:eastAsia="zh-CN" w:bidi="ar-SA"/>
        </w:rPr>
        <w:t>improves energy saving gain.</w:t>
      </w:r>
      <w:r>
        <w:rPr/>
        <w:t xml:space="preserve"> </w:t>
      </w:r>
    </w:p>
    <w:p>
      <w:pPr>
        <w:pStyle w:val="ListParagraph"/>
        <w:bidi w:val="0"/>
        <w:jc w:val="start"/>
        <w:rPr/>
      </w:pPr>
      <w:r>
        <w:rPr/>
      </w:r>
    </w:p>
    <w:p>
      <w:pPr>
        <w:pStyle w:val="Normal"/>
        <w:bidi w:val="0"/>
        <w:spacing w:before="0" w:after="6"/>
        <w:jc w:val="start"/>
        <w:rPr/>
      </w:pPr>
      <w:r>
        <w:rPr>
          <w:rFonts w:eastAsia="Wingdings"/>
          <w:b/>
          <w:iCs/>
        </w:rPr>
        <w:t>Proposal 1:</w:t>
      </w:r>
      <w:r>
        <w:rPr>
          <w:rFonts w:eastAsia="Wingdings"/>
          <w:iCs/>
        </w:rPr>
        <w:t xml:space="preserve"> Support use of light versions of SSB, consisting of PSS, SSS and partial PBCH, at the gNB for energy saving.</w:t>
      </w:r>
    </w:p>
    <w:p>
      <w:pPr>
        <w:pStyle w:val="Normal"/>
        <w:bidi w:val="0"/>
        <w:spacing w:before="0" w:after="0"/>
        <w:jc w:val="start"/>
        <w:rPr>
          <w:rFonts w:eastAsia="Wingdings"/>
          <w:iCs/>
        </w:rPr>
      </w:pPr>
      <w:r>
        <w:rPr>
          <w:rFonts w:eastAsia="Wingdings"/>
          <w:iCs/>
        </w:rPr>
      </w:r>
    </w:p>
    <w:p>
      <w:pPr>
        <w:pStyle w:val="Normal"/>
        <w:bidi w:val="0"/>
        <w:spacing w:before="57" w:after="177"/>
        <w:jc w:val="start"/>
        <w:rPr>
          <w:rFonts w:eastAsia="Wingdings"/>
          <w:iCs/>
          <w:sz w:val="20"/>
          <w:szCs w:val="20"/>
          <w:lang w:eastAsia="en-US"/>
        </w:rPr>
      </w:pPr>
      <w:r>
        <w:rPr>
          <w:rFonts w:eastAsia="Wingdings"/>
          <w:iCs/>
        </w:rPr>
        <w:t xml:space="preserve">In NR, </w:t>
      </w:r>
      <w:r>
        <w:rPr>
          <w:rFonts w:eastAsia="Wingdings"/>
          <w:iCs/>
          <w:sz w:val="20"/>
          <w:szCs w:val="20"/>
          <w:lang w:eastAsia="en-US"/>
        </w:rPr>
        <w:t xml:space="preserve">a UE performs UL synchronization by performing RACH procedure. The gNB provide configuration for performing RACH to the UE in SIB1. The SIB1 can only be decoded if the contents of PBCH is known to the UE. Therefore, the full contents of PBCH is necessary at the UE for decoding SIB1 and performing RACH. The remaining content of PBCH can be either predefined in the standards or provided to the UE by the gNB transmitting lighter version of SSB. The former one provides significant energy saving gains at the cost of reduction in flexibility in configuring CORESET 0. Furthermore, the latter provide energy saving at the cost of additional signaling from the gNB. However, the gNB can transmit the remaining content of PBCH based on </w:t>
      </w:r>
      <w:r>
        <w:rPr>
          <w:rFonts w:eastAsia="Wingdings" w:cs="Times New Roman"/>
          <w:iCs/>
          <w:color w:val="00000A"/>
          <w:sz w:val="20"/>
          <w:szCs w:val="20"/>
          <w:lang w:eastAsia="en-US"/>
        </w:rPr>
        <w:t>some</w:t>
      </w:r>
      <w:r>
        <w:rPr>
          <w:rFonts w:eastAsia="Wingdings"/>
          <w:iCs/>
          <w:sz w:val="20"/>
          <w:szCs w:val="20"/>
          <w:lang w:eastAsia="en-US"/>
        </w:rPr>
        <w:t xml:space="preserve"> measurement reports received from the UE.</w:t>
      </w:r>
    </w:p>
    <w:p>
      <w:pPr>
        <w:pStyle w:val="Normal"/>
        <w:widowControl/>
        <w:suppressAutoHyphens w:val="true"/>
        <w:bidi w:val="0"/>
        <w:snapToGrid w:val="false"/>
        <w:spacing w:before="57" w:after="177"/>
        <w:jc w:val="both"/>
        <w:rPr>
          <w:rFonts w:eastAsia="Wingdings"/>
          <w:b/>
          <w:b/>
          <w:iCs/>
          <w:sz w:val="20"/>
          <w:szCs w:val="20"/>
          <w:lang w:eastAsia="en-US"/>
        </w:rPr>
      </w:pPr>
      <w:r>
        <w:rPr>
          <w:rFonts w:eastAsia="Wingdings"/>
          <w:b/>
          <w:iCs/>
          <w:sz w:val="20"/>
          <w:szCs w:val="20"/>
          <w:lang w:eastAsia="en-US"/>
        </w:rPr>
        <w:t>Proposal 2:</w:t>
      </w:r>
      <w:r>
        <w:rPr>
          <w:rFonts w:eastAsia="Wingdings"/>
          <w:iCs/>
          <w:sz w:val="20"/>
          <w:szCs w:val="20"/>
          <w:lang w:eastAsia="en-US"/>
        </w:rPr>
        <w:t xml:space="preserve"> In case </w:t>
      </w:r>
      <w:r>
        <w:rPr>
          <w:rFonts w:eastAsia="Wingdings" w:cs="Times New Roman"/>
          <w:iCs/>
          <w:color w:val="00000A"/>
          <w:kern w:val="0"/>
          <w:sz w:val="20"/>
          <w:szCs w:val="20"/>
          <w:lang w:val="en-US" w:eastAsia="en-US" w:bidi="ar-SA"/>
        </w:rPr>
        <w:t>of</w:t>
      </w:r>
      <w:r>
        <w:rPr>
          <w:rFonts w:eastAsia="Wingdings"/>
          <w:iCs/>
          <w:sz w:val="20"/>
          <w:szCs w:val="20"/>
          <w:lang w:eastAsia="en-US"/>
        </w:rPr>
        <w:t xml:space="preserve"> use of lighter version of SSB by a gNB, following are supported for remaining content of the PBCH </w:t>
      </w:r>
    </w:p>
    <w:p>
      <w:pPr>
        <w:pStyle w:val="Normal"/>
        <w:numPr>
          <w:ilvl w:val="0"/>
          <w:numId w:val="4"/>
        </w:numPr>
        <w:bidi w:val="0"/>
        <w:spacing w:before="114" w:after="114"/>
        <w:jc w:val="start"/>
        <w:rPr/>
      </w:pPr>
      <w:r>
        <w:rPr>
          <w:rFonts w:eastAsia="Wingdings" w:cs="Times New Roman"/>
          <w:iCs/>
          <w:color w:val="00000A"/>
          <w:sz w:val="20"/>
          <w:szCs w:val="20"/>
          <w:lang w:eastAsia="en-US"/>
        </w:rPr>
        <w:t>Predefined values in the standards</w:t>
      </w:r>
    </w:p>
    <w:p>
      <w:pPr>
        <w:pStyle w:val="Normal"/>
        <w:numPr>
          <w:ilvl w:val="0"/>
          <w:numId w:val="4"/>
        </w:numPr>
        <w:bidi w:val="0"/>
        <w:spacing w:before="57" w:after="63"/>
        <w:jc w:val="start"/>
        <w:rPr/>
      </w:pPr>
      <w:r>
        <w:rPr>
          <w:rFonts w:eastAsia="Wingdings"/>
          <w:iCs/>
          <w:sz w:val="20"/>
          <w:szCs w:val="20"/>
          <w:lang w:eastAsia="en-US"/>
        </w:rPr>
        <w:t>Signalled by the gNB transmitting the lighter version of SSB.</w:t>
      </w:r>
    </w:p>
    <w:p>
      <w:pPr>
        <w:pStyle w:val="Normal"/>
        <w:bidi w:val="0"/>
        <w:spacing w:before="57" w:after="63"/>
        <w:jc w:val="start"/>
        <w:rPr>
          <w:rFonts w:eastAsia="Wingdings"/>
          <w:iCs/>
          <w:sz w:val="20"/>
          <w:szCs w:val="20"/>
          <w:lang w:eastAsia="en-US"/>
        </w:rPr>
      </w:pPr>
      <w:r>
        <w:rPr>
          <w:rFonts w:eastAsia="Wingdings"/>
          <w:iCs/>
          <w:sz w:val="20"/>
          <w:szCs w:val="20"/>
          <w:lang w:eastAsia="en-US"/>
        </w:rPr>
      </w:r>
    </w:p>
    <w:p>
      <w:pPr>
        <w:pStyle w:val="Normal"/>
        <w:bidi w:val="0"/>
        <w:jc w:val="start"/>
        <w:rPr/>
      </w:pPr>
      <w:r>
        <w:rPr>
          <w:iCs/>
        </w:rPr>
        <w:t>In NR, the gNB transmits SSB in a batch with one SSB per beam by forming synchronization signal burst (SS burst), which is used for changing the direction of each SSB transmission. The SSBs active in a burst and the periodicity of burst are configured semi-statically using radio resource control (RRC). Currently the periodicity is common for all SSBs active in the burst that leads to unnecessary transmission of SSB in certain scenario. E.g., frequent transmission of SSB is needed for a sector having high UE arrival rate like shopping mall, whereas it is not needed for a sector with low UE arrival rate. Using current approach, the periodicity of burst should correspond to the sector having highest UE arrival rate that leads to unnecessary transmission of SSB in sectors with low UE arrival rate. Configuring different periodicity for different SSB beams or group of SSB beams in a burst based on channel condition and traffic requirement addresses the issue and provides energy saving at gNB. For e.g., with the assumption of 4 beams in a burst and 100 ms window, the use of different periodicity at least for 1 beam i.e., 10 ms for one beam with low UE activity and 20 ms for other 3 beams of the burst will provide 12.5 % of energy saving.</w:t>
      </w:r>
    </w:p>
    <w:p>
      <w:pPr>
        <w:pStyle w:val="Normal"/>
        <w:bidi w:val="0"/>
        <w:jc w:val="start"/>
        <w:rPr/>
      </w:pPr>
      <w:r>
        <w:rPr>
          <w:b/>
          <w:bCs/>
          <w:iCs/>
        </w:rPr>
        <w:t xml:space="preserve">Observation </w:t>
      </w:r>
      <w:r>
        <w:rPr>
          <w:rFonts w:eastAsia="SimSun;宋体" w:cs="Times New Roman"/>
          <w:b/>
          <w:bCs/>
          <w:iCs/>
          <w:color w:val="00000A"/>
          <w:kern w:val="0"/>
          <w:sz w:val="22"/>
          <w:szCs w:val="22"/>
          <w:lang w:val="en-US" w:eastAsia="zh-CN" w:bidi="ar-SA"/>
        </w:rPr>
        <w:t>4</w:t>
      </w:r>
      <w:r>
        <w:rPr>
          <w:b/>
          <w:bCs/>
          <w:iCs/>
        </w:rPr>
        <w:t>:</w:t>
      </w:r>
      <w:r>
        <w:rPr>
          <w:iCs/>
        </w:rPr>
        <w:t xml:space="preserve"> Use of different periodicity for beams within a burst based on UE activity will provide significant energy saving at the gNB.</w:t>
      </w:r>
    </w:p>
    <w:p>
      <w:pPr>
        <w:pStyle w:val="Normal"/>
        <w:bidi w:val="0"/>
        <w:spacing w:before="114" w:after="234"/>
        <w:jc w:val="start"/>
        <w:rPr/>
      </w:pPr>
      <w:r>
        <w:rPr>
          <w:rFonts w:eastAsia="Wingdings"/>
          <w:b/>
          <w:bCs/>
          <w:iCs/>
        </w:rPr>
        <w:t>Proposal 3:</w:t>
      </w:r>
      <w:r>
        <w:rPr>
          <w:rFonts w:eastAsia="Wingdings"/>
          <w:iCs/>
        </w:rPr>
        <w:t xml:space="preserve"> Adaptation of SSB periodicity at beam level is supported.</w:t>
      </w:r>
    </w:p>
    <w:p>
      <w:pPr>
        <w:pStyle w:val="Standard"/>
        <w:jc w:val="both"/>
        <w:rPr/>
      </w:pPr>
      <w:r>
        <w:rPr/>
        <w:t xml:space="preserve">The basic system information (SI), that a UE require to operate efficiently within a network, is provided using master information block (MIB) and system information block1 (SIB1). The MIB, which is present in PBCH, configures to UE a set of time-frequency resources, known as CORESET 0, to monitor for downlink control information (DCI) from the gNB. The DCI received in CORESET 0 schedules a physical downlink shared channel (PDSCH) containing SIB1 to the UE. The process consumes energy at gNB as well as UE side. The gNB has to transmit DCI within the CORESET 0 to schedule SIB1 and UE should blindly monitor within the CORESET 0 to receive and decode the DCI. For energy saving, the process of scheduling SIB1 can be optimized to avoid the configuration of CORESET 0 and transmission of DCIs within the CORESET 0. This can be achieved by scheduling of SIB1 using SSB instead of DCIs within the CORESET 0. Further, the scheduling of SIB1 using SSB will help in energy saving at the UE side by avoiding blind decoding of DCIs in the CORESET 0. However, the impact will be increase in the size of the SSB because of the inclusion of fields scheduling SIB1. The performance is numerically evaluated for Cat 1 </w:t>
      </w:r>
      <w:r>
        <w:rPr>
          <w:rFonts w:eastAsia="Noto Sans CJK SC Regular" w:cs="FreeSans"/>
          <w:color w:val="00000A"/>
          <w:kern w:val="0"/>
          <w:sz w:val="22"/>
          <w:szCs w:val="24"/>
          <w:lang w:val="en-IN" w:eastAsia="zh-CN" w:bidi="hi-IN"/>
        </w:rPr>
        <w:t>in</w:t>
      </w:r>
      <w:r>
        <w:rPr/>
        <w:t xml:space="preserve"> no load scenario with SSB and SIB1 transmission with a baseline of 20ms period, and the result is illustrated in </w:t>
      </w:r>
      <w:r>
        <w:rPr>
          <w:rFonts w:eastAsia="Noto Sans CJK SC Regular" w:cs="FreeSans"/>
          <w:color w:val="00000A"/>
          <w:kern w:val="0"/>
          <w:sz w:val="22"/>
          <w:szCs w:val="24"/>
          <w:lang w:val="en-IN" w:eastAsia="zh-CN" w:bidi="hi-IN"/>
        </w:rPr>
        <w:t>Table 3 f</w:t>
      </w:r>
      <w:r>
        <w:rPr/>
        <w:t xml:space="preserve">or </w:t>
      </w:r>
      <w:r>
        <w:rPr>
          <w:rFonts w:eastAsia="Noto Sans CJK SC Regular" w:cs="FreeSans"/>
          <w:color w:val="00000A"/>
          <w:kern w:val="0"/>
          <w:sz w:val="22"/>
          <w:szCs w:val="24"/>
          <w:lang w:val="en-IN" w:eastAsia="zh-CN" w:bidi="hi-IN"/>
        </w:rPr>
        <w:t>0 dB</w:t>
      </w:r>
      <w:r>
        <w:rPr/>
        <w:t xml:space="preserve"> power offset between SSB and DCI transmissions. The parameters for categary 1 is given in Appendix A. An aggregation level of 16 and multiplexing pattern 1 between SSB and CORESET 0 is assumed for the for the DCI format 1_0 scheduling SIB1 in existing method for calculating the energy saving gains. </w:t>
      </w:r>
      <w:r>
        <w:rPr>
          <w:rFonts w:eastAsia="Noto Sans CJK SC Regular" w:cs="FreeSans"/>
          <w:color w:val="00000A"/>
          <w:kern w:val="0"/>
          <w:sz w:val="22"/>
          <w:szCs w:val="24"/>
          <w:lang w:val="en-IN" w:eastAsia="zh-CN" w:bidi="hi-IN"/>
        </w:rPr>
        <w:t>As</w:t>
      </w:r>
      <w:r>
        <w:rPr/>
        <w:t xml:space="preserve"> </w:t>
      </w:r>
      <w:r>
        <w:rPr>
          <w:rFonts w:eastAsia="Noto Sans CJK SC Regular" w:cs="FreeSans"/>
          <w:color w:val="00000A"/>
          <w:kern w:val="0"/>
          <w:sz w:val="22"/>
          <w:szCs w:val="24"/>
          <w:lang w:val="en-IN" w:eastAsia="zh-CN" w:bidi="hi-IN"/>
        </w:rPr>
        <w:t>shown</w:t>
      </w:r>
      <w:r>
        <w:rPr/>
        <w:t xml:space="preserve"> </w:t>
      </w:r>
      <w:r>
        <w:rPr>
          <w:rFonts w:eastAsia="Noto Sans CJK SC Regular" w:cs="FreeSans"/>
          <w:color w:val="00000A"/>
          <w:kern w:val="0"/>
          <w:sz w:val="22"/>
          <w:szCs w:val="24"/>
          <w:lang w:val="en-IN" w:eastAsia="zh-CN" w:bidi="hi-IN"/>
        </w:rPr>
        <w:t>in Table 3</w:t>
      </w:r>
      <w:r>
        <w:rPr/>
        <w:t xml:space="preserve">, </w:t>
      </w:r>
      <w:r>
        <w:rPr>
          <w:rFonts w:eastAsia="Noto Sans CJK SC Regular" w:cs="FreeSans"/>
          <w:color w:val="00000A"/>
          <w:kern w:val="0"/>
          <w:sz w:val="22"/>
          <w:szCs w:val="24"/>
          <w:lang w:val="en-IN" w:eastAsia="zh-CN" w:bidi="hi-IN"/>
        </w:rPr>
        <w:t>the energy saving gain of</w:t>
      </w:r>
      <w:r>
        <w:rPr>
          <w:rFonts w:eastAsia="Wingdings" w:cs="FreeSans"/>
          <w:iCs/>
          <w:color w:val="00000A"/>
          <w:kern w:val="0"/>
          <w:sz w:val="22"/>
          <w:szCs w:val="24"/>
          <w:lang w:val="en-IN" w:eastAsia="zh-CN" w:bidi="hi-IN"/>
        </w:rPr>
        <w:t xml:space="preserve"> scheduling SIB1 using SSB </w:t>
      </w:r>
      <w:r>
        <w:rPr>
          <w:rFonts w:eastAsia="Noto Sans CJK SC Regular" w:cs="FreeSans"/>
          <w:color w:val="00000A"/>
          <w:kern w:val="0"/>
          <w:sz w:val="22"/>
          <w:szCs w:val="24"/>
          <w:lang w:val="en-IN" w:eastAsia="zh-CN" w:bidi="hi-IN"/>
        </w:rPr>
        <w:t xml:space="preserve">will increase with the number of SSB beams. Also, the increase in the size of SSB consumes extra power thereby reducing the </w:t>
      </w:r>
      <w:r>
        <w:rPr>
          <w:rFonts w:eastAsia="Wingdings" w:cs="Times New Roman"/>
          <w:iCs/>
          <w:color w:val="00000A"/>
          <w:sz w:val="22"/>
          <w:lang w:eastAsia="zh-CN"/>
        </w:rPr>
        <w:t xml:space="preserve">net energy saving gains when compared with the gains achieved by keeping the size of SSB scheduling SIB1 as same as conventional SSB, hence the scheduling of SIB can be used with </w:t>
      </w:r>
      <w:r>
        <w:rPr>
          <w:rFonts w:eastAsia="SimSun;宋体" w:cs="Times New Roman" w:ascii="Times New Roman" w:hAnsi="Times New Roman"/>
          <w:iCs/>
          <w:color w:val="00000A"/>
          <w:kern w:val="0"/>
          <w:sz w:val="22"/>
          <w:szCs w:val="22"/>
          <w:lang w:val="en-US" w:eastAsia="zh-CN" w:bidi="ar-SA"/>
        </w:rPr>
        <w:t>enhanced version of SSB thereby providing significant energy saving as shown in table 3.</w:t>
      </w:r>
    </w:p>
    <w:p>
      <w:pPr>
        <w:pStyle w:val="Standard"/>
        <w:shd w:val="clear" w:color="auto" w:fill="FFFFFF"/>
        <w:spacing w:before="171" w:after="171"/>
        <w:jc w:val="both"/>
        <w:rPr>
          <w:rFonts w:ascii="Times New Roman" w:hAnsi="Times New Roman" w:cs="Times New Roman"/>
          <w:iCs/>
          <w:szCs w:val="22"/>
        </w:rPr>
      </w:pPr>
      <w:r>
        <w:rPr>
          <w:rFonts w:cs="Times New Roman" w:ascii="Times New Roman" w:hAnsi="Times New Roman"/>
          <w:iCs/>
          <w:szCs w:val="22"/>
        </w:rPr>
      </w:r>
    </w:p>
    <w:tbl>
      <w:tblPr>
        <w:tblW w:w="9315" w:type="dxa"/>
        <w:jc w:val="start"/>
        <w:tblInd w:w="55" w:type="dxa"/>
        <w:tblCellMar>
          <w:top w:w="55" w:type="dxa"/>
          <w:start w:w="55" w:type="dxa"/>
          <w:bottom w:w="55" w:type="dxa"/>
          <w:end w:w="55" w:type="dxa"/>
        </w:tblCellMar>
      </w:tblPr>
      <w:tblGrid>
        <w:gridCol w:w="1754"/>
        <w:gridCol w:w="3345"/>
        <w:gridCol w:w="4216"/>
      </w:tblGrid>
      <w:tr>
        <w:trPr/>
        <w:tc>
          <w:tcPr>
            <w:tcW w:w="1754" w:type="dxa"/>
            <w:tcBorders>
              <w:top w:val="single" w:sz="2" w:space="0" w:color="000000"/>
              <w:start w:val="single" w:sz="2" w:space="0" w:color="000000"/>
              <w:bottom w:val="single" w:sz="2" w:space="0" w:color="000000"/>
            </w:tcBorders>
          </w:tcPr>
          <w:p>
            <w:pPr>
              <w:pStyle w:val="TableContents"/>
              <w:bidi w:val="0"/>
              <w:jc w:val="start"/>
              <w:rPr/>
            </w:pPr>
            <w:r>
              <w:rPr/>
              <w:t>#Beams</w:t>
            </w:r>
          </w:p>
        </w:tc>
        <w:tc>
          <w:tcPr>
            <w:tcW w:w="3345" w:type="dxa"/>
            <w:tcBorders>
              <w:top w:val="single" w:sz="2" w:space="0" w:color="000000"/>
              <w:start w:val="single" w:sz="2" w:space="0" w:color="000000"/>
              <w:bottom w:val="single" w:sz="2" w:space="0" w:color="000000"/>
            </w:tcBorders>
          </w:tcPr>
          <w:p>
            <w:pPr>
              <w:pStyle w:val="TableContents"/>
              <w:bidi w:val="0"/>
              <w:jc w:val="start"/>
              <w:rPr/>
            </w:pPr>
            <w:r>
              <w:rPr/>
              <w:t>Gain without increasing SSB Size</w:t>
            </w:r>
          </w:p>
        </w:tc>
        <w:tc>
          <w:tcPr>
            <w:tcW w:w="4216" w:type="dxa"/>
            <w:tcBorders>
              <w:top w:val="single" w:sz="2" w:space="0" w:color="000000"/>
              <w:start w:val="single" w:sz="2" w:space="0" w:color="000000"/>
              <w:bottom w:val="single" w:sz="2" w:space="0" w:color="000000"/>
              <w:end w:val="single" w:sz="2" w:space="0" w:color="000000"/>
            </w:tcBorders>
          </w:tcPr>
          <w:p>
            <w:pPr>
              <w:pStyle w:val="TableContents"/>
              <w:bidi w:val="0"/>
              <w:jc w:val="start"/>
              <w:rPr/>
            </w:pPr>
            <w:r>
              <w:rPr/>
              <w:t xml:space="preserve">Gain with </w:t>
            </w:r>
            <w:r>
              <w:rPr>
                <w:rFonts w:eastAsia="SimSun;宋体" w:cs="Times New Roman" w:ascii="Times New Roman" w:hAnsi="Times New Roman"/>
                <w:color w:val="00000A"/>
                <w:kern w:val="0"/>
                <w:sz w:val="22"/>
                <w:szCs w:val="22"/>
                <w:lang w:val="en-US" w:eastAsia="zh-CN" w:bidi="ar-SA"/>
              </w:rPr>
              <w:t>enhanced version of SSB</w:t>
            </w:r>
          </w:p>
        </w:tc>
      </w:tr>
      <w:tr>
        <w:trPr/>
        <w:tc>
          <w:tcPr>
            <w:tcW w:w="1754" w:type="dxa"/>
            <w:tcBorders>
              <w:start w:val="single" w:sz="2" w:space="0" w:color="000000"/>
              <w:bottom w:val="single" w:sz="2" w:space="0" w:color="000000"/>
            </w:tcBorders>
          </w:tcPr>
          <w:p>
            <w:pPr>
              <w:pStyle w:val="TableContents"/>
              <w:bidi w:val="0"/>
              <w:jc w:val="start"/>
              <w:rPr/>
            </w:pPr>
            <w:r>
              <w:rPr/>
              <w:t>1</w:t>
            </w:r>
          </w:p>
        </w:tc>
        <w:tc>
          <w:tcPr>
            <w:tcW w:w="3345" w:type="dxa"/>
            <w:tcBorders>
              <w:start w:val="single" w:sz="2" w:space="0" w:color="000000"/>
              <w:bottom w:val="single" w:sz="2" w:space="0" w:color="000000"/>
            </w:tcBorders>
          </w:tcPr>
          <w:p>
            <w:pPr>
              <w:pStyle w:val="TableContents"/>
              <w:bidi w:val="0"/>
              <w:jc w:val="start"/>
              <w:rPr/>
            </w:pPr>
            <w:r>
              <w:rPr/>
              <w:t>3.6%</w:t>
            </w:r>
          </w:p>
        </w:tc>
        <w:tc>
          <w:tcPr>
            <w:tcW w:w="4216" w:type="dxa"/>
            <w:tcBorders>
              <w:start w:val="single" w:sz="2" w:space="0" w:color="000000"/>
              <w:bottom w:val="single" w:sz="2" w:space="0" w:color="000000"/>
              <w:end w:val="single" w:sz="2" w:space="0" w:color="000000"/>
            </w:tcBorders>
          </w:tcPr>
          <w:p>
            <w:pPr>
              <w:pStyle w:val="Normal"/>
              <w:bidi w:val="0"/>
              <w:rPr/>
            </w:pPr>
            <w:r>
              <w:rPr>
                <w:rFonts w:ascii="Times New Roman" w:hAnsi="Times New Roman"/>
                <w:b w:val="false"/>
                <w:i w:val="false"/>
                <w:strike w:val="false"/>
                <w:dstrike w:val="false"/>
                <w:outline w:val="false"/>
                <w:shadow w:val="false"/>
                <w:sz w:val="22"/>
                <w:u w:val="none"/>
                <w:em w:val="none"/>
              </w:rPr>
              <w:t>4.8%</w:t>
            </w:r>
          </w:p>
        </w:tc>
      </w:tr>
      <w:tr>
        <w:trPr/>
        <w:tc>
          <w:tcPr>
            <w:tcW w:w="1754" w:type="dxa"/>
            <w:tcBorders>
              <w:start w:val="single" w:sz="2" w:space="0" w:color="000000"/>
              <w:bottom w:val="single" w:sz="2" w:space="0" w:color="000000"/>
            </w:tcBorders>
          </w:tcPr>
          <w:p>
            <w:pPr>
              <w:pStyle w:val="TableContents"/>
              <w:bidi w:val="0"/>
              <w:jc w:val="start"/>
              <w:rPr/>
            </w:pPr>
            <w:r>
              <w:rPr/>
              <w:t>4</w:t>
            </w:r>
          </w:p>
        </w:tc>
        <w:tc>
          <w:tcPr>
            <w:tcW w:w="3345" w:type="dxa"/>
            <w:tcBorders>
              <w:start w:val="single" w:sz="2" w:space="0" w:color="000000"/>
              <w:bottom w:val="single" w:sz="2" w:space="0" w:color="000000"/>
            </w:tcBorders>
          </w:tcPr>
          <w:p>
            <w:pPr>
              <w:pStyle w:val="TableContents"/>
              <w:bidi w:val="0"/>
              <w:jc w:val="start"/>
              <w:rPr/>
            </w:pPr>
            <w:r>
              <w:rPr>
                <w:rFonts w:ascii="Times New Roman" w:hAnsi="Times New Roman"/>
              </w:rPr>
              <w:t>8.5%</w:t>
            </w:r>
          </w:p>
        </w:tc>
        <w:tc>
          <w:tcPr>
            <w:tcW w:w="4216" w:type="dxa"/>
            <w:tcBorders>
              <w:start w:val="single" w:sz="2" w:space="0" w:color="000000"/>
              <w:bottom w:val="single" w:sz="2" w:space="0" w:color="000000"/>
              <w:end w:val="single" w:sz="2" w:space="0" w:color="000000"/>
            </w:tcBorders>
          </w:tcPr>
          <w:p>
            <w:pPr>
              <w:pStyle w:val="TableContents"/>
              <w:bidi w:val="0"/>
              <w:jc w:val="start"/>
              <w:rPr/>
            </w:pPr>
            <w:r>
              <w:rPr>
                <w:rFonts w:ascii="Times New Roman" w:hAnsi="Times New Roman"/>
                <w:b w:val="false"/>
                <w:i w:val="false"/>
                <w:strike w:val="false"/>
                <w:dstrike w:val="false"/>
                <w:outline w:val="false"/>
                <w:shadow w:val="false"/>
                <w:sz w:val="22"/>
                <w:u w:val="none"/>
                <w:em w:val="none"/>
              </w:rPr>
              <w:t>11.4%</w:t>
            </w:r>
          </w:p>
          <w:p>
            <w:pPr>
              <w:pStyle w:val="Normal"/>
              <w:bidi w:val="0"/>
              <w:jc w:val="start"/>
              <w:rPr>
                <w:rFonts w:ascii="Times New Roman" w:hAnsi="Times New Roman"/>
              </w:rPr>
            </w:pPr>
            <w:r>
              <w:rPr>
                <w:rFonts w:ascii="Times New Roman" w:hAnsi="Times New Roman"/>
              </w:rPr>
            </w:r>
          </w:p>
        </w:tc>
      </w:tr>
      <w:tr>
        <w:trPr/>
        <w:tc>
          <w:tcPr>
            <w:tcW w:w="1754" w:type="dxa"/>
            <w:tcBorders>
              <w:start w:val="single" w:sz="2" w:space="0" w:color="000000"/>
              <w:bottom w:val="single" w:sz="2" w:space="0" w:color="000000"/>
            </w:tcBorders>
          </w:tcPr>
          <w:p>
            <w:pPr>
              <w:pStyle w:val="TableContents"/>
              <w:bidi w:val="0"/>
              <w:jc w:val="start"/>
              <w:rPr/>
            </w:pPr>
            <w:r>
              <w:rPr/>
              <w:t>8</w:t>
            </w:r>
          </w:p>
        </w:tc>
        <w:tc>
          <w:tcPr>
            <w:tcW w:w="3345" w:type="dxa"/>
            <w:tcBorders>
              <w:start w:val="single" w:sz="2" w:space="0" w:color="000000"/>
              <w:bottom w:val="single" w:sz="2" w:space="0" w:color="000000"/>
            </w:tcBorders>
          </w:tcPr>
          <w:p>
            <w:pPr>
              <w:pStyle w:val="TableContents"/>
              <w:bidi w:val="0"/>
              <w:jc w:val="start"/>
              <w:rPr>
                <w:rFonts w:ascii="Times New Roman" w:hAnsi="Times New Roman"/>
              </w:rPr>
            </w:pPr>
            <w:r>
              <w:rPr>
                <w:rFonts w:ascii="Times New Roman" w:hAnsi="Times New Roman"/>
              </w:rPr>
              <w:t xml:space="preserve">11.1% </w:t>
            </w:r>
          </w:p>
        </w:tc>
        <w:tc>
          <w:tcPr>
            <w:tcW w:w="4216" w:type="dxa"/>
            <w:tcBorders>
              <w:start w:val="single" w:sz="2" w:space="0" w:color="000000"/>
              <w:bottom w:val="single" w:sz="2" w:space="0" w:color="000000"/>
              <w:end w:val="single" w:sz="2" w:space="0" w:color="000000"/>
            </w:tcBorders>
          </w:tcPr>
          <w:p>
            <w:pPr>
              <w:pStyle w:val="TableContents"/>
              <w:bidi w:val="0"/>
              <w:jc w:val="start"/>
              <w:rPr>
                <w:rFonts w:ascii="Times New Roman" w:hAnsi="Times New Roman"/>
              </w:rPr>
            </w:pPr>
            <w:r>
              <w:rPr>
                <w:rFonts w:ascii="Times New Roman" w:hAnsi="Times New Roman"/>
              </w:rPr>
              <w:t>14.8%</w:t>
            </w:r>
          </w:p>
        </w:tc>
      </w:tr>
    </w:tbl>
    <w:p>
      <w:pPr>
        <w:pStyle w:val="Standard"/>
        <w:shd w:val="clear" w:color="auto" w:fill="FFFFFF"/>
        <w:spacing w:before="114" w:after="114"/>
        <w:jc w:val="center"/>
        <w:rPr>
          <w:rFonts w:ascii="Times New Roman" w:hAnsi="Times New Roman" w:cs="Times New Roman"/>
          <w:iCs/>
          <w:szCs w:val="22"/>
        </w:rPr>
      </w:pPr>
      <w:r>
        <w:rPr>
          <w:rFonts w:cs="Times New Roman" w:ascii="Times New Roman" w:hAnsi="Times New Roman"/>
          <w:iCs/>
          <w:szCs w:val="22"/>
        </w:rPr>
      </w:r>
    </w:p>
    <w:p>
      <w:pPr>
        <w:pStyle w:val="Standard"/>
        <w:shd w:val="clear" w:color="auto" w:fill="FFFFFF"/>
        <w:spacing w:before="114" w:after="114"/>
        <w:jc w:val="center"/>
        <w:rPr>
          <w:rFonts w:ascii="Times New Roman" w:hAnsi="Times New Roman" w:cs="Times New Roman"/>
          <w:iCs/>
          <w:szCs w:val="22"/>
        </w:rPr>
      </w:pPr>
      <w:r>
        <w:rPr>
          <w:rFonts w:eastAsia="Noto Sans CJK SC Regular" w:cs="Times New Roman" w:ascii="Times New Roman" w:hAnsi="Times New Roman"/>
          <w:iCs/>
          <w:color w:val="00000A"/>
          <w:kern w:val="0"/>
          <w:sz w:val="22"/>
          <w:szCs w:val="22"/>
          <w:lang w:val="en-IN" w:eastAsia="zh-CN" w:bidi="hi-IN"/>
        </w:rPr>
        <w:t>Table.</w:t>
      </w:r>
      <w:r>
        <w:rPr>
          <w:rFonts w:cs="Times New Roman" w:ascii="Times New Roman" w:hAnsi="Times New Roman"/>
          <w:iCs/>
          <w:szCs w:val="22"/>
        </w:rPr>
        <w:t xml:space="preserve"> 2: Energy saving gains for scheduling of SIB 1 using SSB with and without increase in SSB size.</w:t>
      </w:r>
    </w:p>
    <w:p>
      <w:pPr>
        <w:pStyle w:val="Normal"/>
        <w:widowControl/>
        <w:suppressAutoHyphens w:val="true"/>
        <w:bidi w:val="0"/>
        <w:snapToGrid w:val="false"/>
        <w:spacing w:before="114" w:after="114"/>
        <w:jc w:val="both"/>
        <w:rPr/>
      </w:pPr>
      <w:r>
        <w:rPr>
          <w:rFonts w:eastAsia="Wingdings"/>
          <w:b/>
          <w:bCs/>
          <w:iCs/>
        </w:rPr>
        <w:t xml:space="preserve">Observation </w:t>
      </w:r>
      <w:r>
        <w:rPr>
          <w:rFonts w:eastAsia="Wingdings" w:cs="Times New Roman"/>
          <w:b/>
          <w:bCs/>
          <w:iCs/>
          <w:color w:val="00000A"/>
          <w:kern w:val="0"/>
          <w:sz w:val="22"/>
          <w:szCs w:val="22"/>
          <w:lang w:val="en-US" w:eastAsia="zh-CN" w:bidi="ar-SA"/>
        </w:rPr>
        <w:t>5</w:t>
      </w:r>
      <w:r>
        <w:rPr>
          <w:rFonts w:eastAsia="Wingdings"/>
          <w:b/>
          <w:bCs/>
          <w:iCs/>
        </w:rPr>
        <w:t xml:space="preserve">: </w:t>
      </w:r>
      <w:r>
        <w:rPr>
          <w:rFonts w:eastAsia="Wingdings"/>
          <w:iCs/>
        </w:rPr>
        <w:t>Scheduling of</w:t>
      </w:r>
      <w:r>
        <w:rPr>
          <w:rFonts w:eastAsia="Wingdings"/>
          <w:b/>
          <w:bCs/>
          <w:iCs/>
        </w:rPr>
        <w:t xml:space="preserve"> </w:t>
      </w:r>
      <w:r>
        <w:rPr>
          <w:iCs/>
        </w:rPr>
        <w:t xml:space="preserve">SIB1 using SSB will provide </w:t>
      </w:r>
      <w:r>
        <w:rPr>
          <w:rFonts w:eastAsia="SimSun;宋体" w:cs="Times New Roman"/>
          <w:iCs/>
          <w:color w:val="00000A"/>
          <w:sz w:val="22"/>
          <w:lang w:eastAsia="zh-CN"/>
        </w:rPr>
        <w:t xml:space="preserve">a net </w:t>
      </w:r>
      <w:r>
        <w:rPr>
          <w:iCs/>
        </w:rPr>
        <w:t xml:space="preserve">energy saving gain of </w:t>
      </w:r>
      <w:r>
        <w:rPr>
          <w:rFonts w:ascii="Times New Roman" w:hAnsi="Times New Roman"/>
          <w:b w:val="false"/>
          <w:i w:val="false"/>
          <w:iCs/>
          <w:strike w:val="false"/>
          <w:dstrike w:val="false"/>
          <w:outline w:val="false"/>
          <w:shadow w:val="false"/>
          <w:sz w:val="22"/>
          <w:u w:val="none"/>
          <w:em w:val="none"/>
        </w:rPr>
        <w:t>4.8</w:t>
      </w:r>
      <w:r>
        <w:rPr>
          <w:iCs/>
        </w:rPr>
        <w:t xml:space="preserve">%, </w:t>
      </w:r>
      <w:r>
        <w:rPr>
          <w:rFonts w:ascii="Times New Roman" w:hAnsi="Times New Roman"/>
          <w:b w:val="false"/>
          <w:i w:val="false"/>
          <w:iCs/>
          <w:strike w:val="false"/>
          <w:dstrike w:val="false"/>
          <w:outline w:val="false"/>
          <w:shadow w:val="false"/>
          <w:sz w:val="22"/>
          <w:u w:val="none"/>
          <w:em w:val="none"/>
        </w:rPr>
        <w:t>11.4%</w:t>
      </w:r>
      <w:r>
        <w:rPr>
          <w:rFonts w:ascii="Times New Roman" w:hAnsi="Times New Roman"/>
          <w:iCs/>
        </w:rPr>
        <w:t xml:space="preserve"> and 14.8%</w:t>
      </w:r>
      <w:r>
        <w:rPr>
          <w:iCs/>
        </w:rPr>
        <w:t xml:space="preserve"> for power offsets of 0 dB for single SSB beam, 4 SSB beams and 8 SSB beams respectively when compared with scheduling of SIB1 using DCI 1_0 in case of no load.</w:t>
      </w:r>
    </w:p>
    <w:p>
      <w:pPr>
        <w:pStyle w:val="Normal"/>
        <w:widowControl/>
        <w:suppressAutoHyphens w:val="true"/>
        <w:bidi w:val="0"/>
        <w:snapToGrid w:val="false"/>
        <w:spacing w:before="114" w:after="114"/>
        <w:jc w:val="both"/>
        <w:rPr/>
      </w:pPr>
      <w:r>
        <w:rPr>
          <w:rFonts w:eastAsia="Wingdings"/>
          <w:b/>
          <w:bCs/>
          <w:iCs/>
        </w:rPr>
        <w:t xml:space="preserve">Observation </w:t>
      </w:r>
      <w:r>
        <w:rPr>
          <w:rFonts w:eastAsia="Wingdings" w:cs="Times New Roman"/>
          <w:b/>
          <w:bCs/>
          <w:iCs/>
          <w:color w:val="00000A"/>
          <w:kern w:val="0"/>
          <w:sz w:val="22"/>
          <w:szCs w:val="22"/>
          <w:lang w:val="en-US" w:eastAsia="zh-CN" w:bidi="ar-SA"/>
        </w:rPr>
        <w:t>6</w:t>
      </w:r>
      <w:r>
        <w:rPr>
          <w:rFonts w:eastAsia="Wingdings"/>
          <w:b/>
          <w:bCs/>
          <w:iCs/>
        </w:rPr>
        <w:t xml:space="preserve">: </w:t>
      </w:r>
      <w:r>
        <w:rPr>
          <w:rFonts w:eastAsia="Wingdings"/>
          <w:iCs/>
        </w:rPr>
        <w:t xml:space="preserve">In case of scheduling of SIB1 using SSB, the </w:t>
      </w:r>
      <w:r>
        <w:rPr>
          <w:rFonts w:eastAsia="Wingdings" w:cs="Times New Roman"/>
          <w:iCs/>
          <w:color w:val="00000A"/>
          <w:sz w:val="22"/>
          <w:lang w:eastAsia="zh-CN"/>
        </w:rPr>
        <w:t>increase in the size of SSB reduces the energy saving gains. when compared with keeping the size of SSB scheduling SIB1 as same as conventional SSB.</w:t>
      </w:r>
    </w:p>
    <w:p>
      <w:pPr>
        <w:pStyle w:val="Normal"/>
        <w:bidi w:val="0"/>
        <w:spacing w:before="114" w:after="114"/>
        <w:jc w:val="start"/>
        <w:rPr/>
      </w:pPr>
      <w:r>
        <w:rPr>
          <w:rFonts w:eastAsia="Wingdings"/>
          <w:b/>
          <w:bCs/>
          <w:iCs/>
        </w:rPr>
        <w:t>Proposal 4:</w:t>
      </w:r>
      <w:r>
        <w:rPr>
          <w:rFonts w:eastAsia="Wingdings"/>
          <w:iCs/>
        </w:rPr>
        <w:t xml:space="preserve"> Scheduling of SIB1 using SSB is supported.</w:t>
      </w:r>
    </w:p>
    <w:p>
      <w:pPr>
        <w:pStyle w:val="Normal"/>
        <w:widowControl/>
        <w:suppressAutoHyphens w:val="true"/>
        <w:bidi w:val="0"/>
        <w:snapToGrid w:val="false"/>
        <w:spacing w:before="114" w:after="114"/>
        <w:jc w:val="start"/>
        <w:rPr>
          <w:rFonts w:eastAsia="Wingdings" w:cs="Times New Roman"/>
          <w:b/>
          <w:b/>
          <w:bCs/>
          <w:iCs/>
          <w:color w:val="00000A"/>
          <w:sz w:val="22"/>
          <w:lang w:eastAsia="zh-CN"/>
        </w:rPr>
      </w:pPr>
      <w:r>
        <w:rPr>
          <w:rFonts w:eastAsia="Wingdings"/>
          <w:b/>
          <w:bCs/>
          <w:iCs/>
        </w:rPr>
        <w:t xml:space="preserve">Proposal 5: </w:t>
      </w:r>
      <w:r>
        <w:rPr>
          <w:rFonts w:eastAsia="Wingdings"/>
          <w:iCs/>
        </w:rPr>
        <w:t>Study mechanisms to overcome increase in size of SSB, scheduling SIB1</w:t>
      </w:r>
    </w:p>
    <w:p>
      <w:pPr>
        <w:pStyle w:val="Normal"/>
        <w:bidi w:val="0"/>
        <w:jc w:val="start"/>
        <w:rPr>
          <w:rFonts w:eastAsia="Wingdings"/>
          <w:iCs/>
        </w:rPr>
      </w:pPr>
      <w:r>
        <w:rPr>
          <w:rFonts w:eastAsia="Wingdings"/>
          <w:iCs/>
        </w:rPr>
        <w:t xml:space="preserve"> </w:t>
      </w:r>
    </w:p>
    <w:p>
      <w:pPr>
        <w:pStyle w:val="Normal"/>
        <w:bidi w:val="0"/>
        <w:jc w:val="start"/>
        <w:rPr>
          <w:rFonts w:eastAsia="Wingdings"/>
          <w:iCs/>
        </w:rPr>
      </w:pPr>
      <w:r>
        <w:rPr>
          <w:rFonts w:eastAsia="Wingdings"/>
          <w:iCs/>
        </w:rPr>
      </w:r>
    </w:p>
    <w:p>
      <w:pPr>
        <w:pStyle w:val="ListParagraph"/>
        <w:numPr>
          <w:ilvl w:val="2"/>
          <w:numId w:val="2"/>
        </w:numPr>
        <w:bidi w:val="0"/>
        <w:jc w:val="start"/>
        <w:rPr>
          <w:b/>
          <w:b/>
          <w:bCs/>
        </w:rPr>
      </w:pPr>
      <w:r>
        <w:rPr>
          <w:rFonts w:eastAsia="Wingdings"/>
          <w:b/>
          <w:bCs/>
          <w:iCs/>
        </w:rPr>
        <w:t>Adaptation of BS sleep state:</w:t>
      </w:r>
    </w:p>
    <w:p>
      <w:pPr>
        <w:pStyle w:val="Normal"/>
        <w:bidi w:val="0"/>
        <w:spacing w:before="171" w:after="291"/>
        <w:jc w:val="start"/>
        <w:rPr/>
      </w:pPr>
      <w:r>
        <w:rPr>
          <w:rFonts w:eastAsia="Wingdings"/>
          <w:iCs/>
        </w:rPr>
        <w:t xml:space="preserve">The energy saving at the gNB can be achieved by </w:t>
      </w:r>
      <w:r>
        <w:rPr/>
        <w:t xml:space="preserve">enabling sleep states without any transmission and reception or by deactivating some components e.g., RF components or cells or beams. The gNB can activate sleep state for a cell requiring no communication in UL or DL for certain duration of time in dynamic and/or semi-static way based on UE traffic and arrival rate. The sleep state can be predefined in slot, sub-frame, or frame level and the gNB can dynamically activate one of the predefined sleep states. </w:t>
      </w:r>
      <w:r>
        <w:rPr>
          <w:rFonts w:eastAsia="Malgun Gothic"/>
        </w:rPr>
        <w:t xml:space="preserve">The adaptation of sleep states at gNB will have an impact on the legacy operations and creates certain conflicts and unnecessary operations at the UE. The UE might be configured with some operations in a slot, in which the gNB is in the sleep state. In that case, the UE will unnecessarily perform the configured operation resulting in wastage of power. The configuration can be for some periodic signals like SSB, CSI-RS, sounding reference signal (SRS), physical downlink control channel (PDCCH) or some periodic data signals like configured grant and semi-persistent scheduling. E.g., UE is semi-statically configured to receive periodic CSI-RS in slot n, in which the gNB is in sleep, then the gNB will not transmit CSI-RS in slot n, but the UE will unnecessarily monitor for CSI-RS. This situation is avoided by signaling information about the sleep state, in terms of type of sleep state, starting time and duration, to the connected UEs. The starting time and duration can be in terms of number of slots, sub-frames or frames. </w:t>
      </w:r>
    </w:p>
    <w:p>
      <w:pPr>
        <w:pStyle w:val="Standard"/>
        <w:shd w:val="clear" w:color="auto" w:fill="FFFFFF"/>
        <w:jc w:val="both"/>
        <w:rPr/>
      </w:pPr>
      <w:r>
        <w:rPr>
          <w:rFonts w:eastAsia="Malgun Gothic" w:cs="Times New Roman" w:ascii="Times New Roman" w:hAnsi="Times New Roman"/>
          <w:b/>
          <w:bCs/>
          <w:szCs w:val="22"/>
        </w:rPr>
        <w:t xml:space="preserve">Observation </w:t>
      </w:r>
      <w:r>
        <w:rPr>
          <w:rFonts w:eastAsia="Malgun Gothic" w:cs="Times New Roman" w:ascii="Times New Roman" w:hAnsi="Times New Roman"/>
          <w:b/>
          <w:bCs/>
          <w:color w:val="00000A"/>
          <w:kern w:val="0"/>
          <w:sz w:val="22"/>
          <w:szCs w:val="22"/>
          <w:lang w:val="en-IN" w:eastAsia="zh-CN" w:bidi="hi-IN"/>
        </w:rPr>
        <w:t>7</w:t>
      </w:r>
      <w:r>
        <w:rPr>
          <w:rFonts w:eastAsia="Malgun Gothic" w:cs="Times New Roman" w:ascii="Times New Roman" w:hAnsi="Times New Roman"/>
          <w:b/>
          <w:bCs/>
          <w:szCs w:val="22"/>
        </w:rPr>
        <w:t xml:space="preserve">: </w:t>
      </w:r>
      <w:r>
        <w:rPr>
          <w:rFonts w:eastAsia="Malgun Gothic" w:cs="Times New Roman" w:ascii="Times New Roman" w:hAnsi="Times New Roman"/>
          <w:szCs w:val="22"/>
        </w:rPr>
        <w:t>The adaptation of sleep states at gNB will have an impact on the legacy operations at UE.</w:t>
      </w:r>
    </w:p>
    <w:p>
      <w:pPr>
        <w:pStyle w:val="PreformattedText"/>
        <w:shd w:val="clear" w:color="auto" w:fill="FFFFFF"/>
        <w:bidi w:val="0"/>
        <w:jc w:val="start"/>
        <w:rPr/>
      </w:pPr>
      <w:r>
        <w:rPr>
          <w:rFonts w:eastAsia="Malgun Gothic"/>
          <w:b/>
          <w:bCs/>
          <w:iCs/>
        </w:rPr>
        <w:t>Proposal 6:</w:t>
      </w:r>
      <w:r>
        <w:rPr>
          <w:rFonts w:eastAsia="Malgun Gothic"/>
          <w:iCs/>
        </w:rPr>
        <w:t xml:space="preserve"> S</w:t>
      </w:r>
      <w:r>
        <w:rPr>
          <w:rFonts w:eastAsia="Malgun Gothic"/>
        </w:rPr>
        <w:t>ignaling information about sleep state (e.g., type of sleep state, starting time and duration) to connected UE is supported.</w:t>
      </w:r>
    </w:p>
    <w:p>
      <w:pPr>
        <w:pStyle w:val="PreformattedText"/>
        <w:shd w:val="clear" w:color="auto" w:fill="FFFFFF"/>
        <w:bidi w:val="0"/>
        <w:jc w:val="start"/>
        <w:rPr>
          <w:rFonts w:eastAsia="Malgun Gothic"/>
        </w:rPr>
      </w:pPr>
      <w:r>
        <w:rPr>
          <w:rFonts w:eastAsia="Malgun Gothic"/>
        </w:rPr>
      </w:r>
    </w:p>
    <w:p>
      <w:pPr>
        <w:pStyle w:val="Heading2"/>
        <w:numPr>
          <w:ilvl w:val="1"/>
          <w:numId w:val="2"/>
        </w:numPr>
        <w:bidi w:val="0"/>
        <w:jc w:val="start"/>
        <w:rPr/>
      </w:pPr>
      <w:r>
        <w:rPr/>
        <w:t>Frequency domain techniques</w:t>
      </w:r>
    </w:p>
    <w:p>
      <w:pPr>
        <w:pStyle w:val="ListParagraph"/>
        <w:numPr>
          <w:ilvl w:val="2"/>
          <w:numId w:val="2"/>
        </w:numPr>
        <w:bidi w:val="0"/>
        <w:jc w:val="start"/>
        <w:rPr>
          <w:b/>
          <w:b/>
          <w:bCs/>
        </w:rPr>
      </w:pPr>
      <w:r>
        <w:rPr>
          <w:b/>
          <w:bCs/>
        </w:rPr>
        <w:t>Dynamic adaptation of bandwidth:</w:t>
      </w:r>
    </w:p>
    <w:p>
      <w:pPr>
        <w:pStyle w:val="ListParagraph"/>
        <w:bidi w:val="0"/>
        <w:ind w:start="720" w:hanging="0"/>
        <w:jc w:val="start"/>
        <w:rPr/>
      </w:pPr>
      <w:r>
        <w:rPr/>
      </w:r>
    </w:p>
    <w:p>
      <w:pPr>
        <w:pStyle w:val="Normal"/>
        <w:bidi w:val="0"/>
        <w:jc w:val="start"/>
        <w:rPr/>
      </w:pPr>
      <w:r>
        <w:rPr/>
        <w:t xml:space="preserve">In NR, a large bandwidth (BW) to support advanced services and features increases the power consumption of the network. Adapting the size of the BW active at the gNB, by disabling some portion of the BW, based on load, reduces the energy consumption of the gNB. However, adaptation of bandwidth may cause deactivation of certain frequency resources assigned to a UE that leads to conflicts, unnecessary transmissions and monitoring. For e.g., in Fig. 3, green portion indicate the portion of BW that is dynamically switched off by the gNB for energy saving purpose. In figure, the BWP 1 of connected user is overlapping with the disabled portion of the BW of the gNB. If the UE is semi-statically configured to monitor the resource for some DL signal in the overlapping region, then the UE will unnecessarily monitor the resource. Therefore, to reduce the impacts of legacy operations falling in disabled portion, the gNB can signal information about dynamic adaptation of BW to the active UEs, so that the UEs can evaluate the overlapping portion and adapt operations accordingly. The indication about dynamic adaptation of BW of gNB will be used by the UE to adapt the BW of its active BWP. Thereby avoiding BWP switching and associated switching delay. The BS indicating the dynamic adaptation of BW as a </w:t>
      </w:r>
      <w:r>
        <w:rPr>
          <w:color w:val="000000"/>
        </w:rPr>
        <w:t>group-common signaling for a number of UEs will help in reducing the latency and lowering the signaling overhead. The performace is analyzed for dynamic adaptation of</w:t>
      </w:r>
      <w:r>
        <w:rPr>
          <w:rFonts w:eastAsia="SimSun" w:cs="FreeSans"/>
          <w:color w:val="000000"/>
          <w:lang w:val="en-IN" w:eastAsia="zh-CN" w:bidi="hi-IN"/>
        </w:rPr>
        <w:t xml:space="preserve"> the bandwidth of active BWP of a UE for cat 1. The technique  with </w:t>
      </w:r>
      <w:r>
        <w:rPr>
          <w:rFonts w:eastAsia="SimSun" w:cs="FreeSans"/>
          <w:color w:val="000000"/>
          <w:lang w:val="en-IN" w:eastAsia="zh-CN" w:bidi="hi-IN"/>
        </w:rPr>
        <w:t xml:space="preserve">an assumption </w:t>
      </w:r>
      <w:r>
        <w:rPr>
          <w:rFonts w:eastAsia="SimSun" w:cs="FreeSans"/>
          <w:color w:val="000000"/>
          <w:lang w:val="en-IN" w:eastAsia="zh-CN" w:bidi="hi-IN"/>
        </w:rPr>
        <w:t xml:space="preserve">32 ports, 50% BW reduction at gNB in a medium load scenaro </w:t>
      </w:r>
      <w:r>
        <w:rPr>
          <w:rFonts w:eastAsia="SimSun" w:cs="FreeSans"/>
          <w:color w:val="000000"/>
          <w:lang w:val="en-IN" w:eastAsia="zh-CN" w:bidi="hi-IN"/>
        </w:rPr>
        <w:t>for 5ms period</w:t>
      </w:r>
      <w:r>
        <w:rPr>
          <w:rFonts w:eastAsia="SimSun" w:cs="FreeSans"/>
          <w:color w:val="000000"/>
          <w:lang w:val="en-IN" w:eastAsia="zh-CN" w:bidi="hi-IN"/>
        </w:rPr>
        <w:t xml:space="preserve"> provides an energy saving gain of 1.75%.</w:t>
      </w:r>
    </w:p>
    <w:p>
      <w:pPr>
        <w:pStyle w:val="Normal"/>
        <w:bidi w:val="0"/>
        <w:jc w:val="start"/>
        <w:rPr>
          <w:color w:val="000000"/>
        </w:rPr>
      </w:pPr>
      <w:r>
        <w:rPr>
          <w:color w:val="000000"/>
        </w:rPr>
      </w:r>
    </w:p>
    <w:p>
      <w:pPr>
        <w:pStyle w:val="Normal"/>
        <w:bidi w:val="0"/>
        <w:jc w:val="start"/>
        <w:rPr/>
      </w:pPr>
      <w:r>
        <w:rPr>
          <w:b/>
          <w:bCs/>
        </w:rPr>
        <w:t xml:space="preserve">Observation </w:t>
      </w:r>
      <w:r>
        <w:rPr>
          <w:rFonts w:eastAsia="SimSun;宋体" w:cs="Times New Roman"/>
          <w:b/>
          <w:bCs/>
          <w:color w:val="00000A"/>
          <w:kern w:val="0"/>
          <w:sz w:val="22"/>
          <w:szCs w:val="22"/>
          <w:lang w:val="en-US" w:eastAsia="zh-CN" w:bidi="ar-SA"/>
        </w:rPr>
        <w:t>8</w:t>
      </w:r>
      <w:r>
        <w:rPr>
          <w:b/>
          <w:bCs/>
        </w:rPr>
        <w:t>:</w:t>
      </w:r>
      <w:r>
        <w:rPr/>
        <w:t xml:space="preserve"> Dynamic adaptation of bandwidth causes deactivation of certain frequency resources assigned to a UE that leads to conflicts, unnecessary transmissions and needless monitoring.</w:t>
      </w:r>
    </w:p>
    <w:p>
      <w:pPr>
        <w:pStyle w:val="Normal"/>
        <w:bidi w:val="0"/>
        <w:jc w:val="start"/>
        <w:rPr/>
      </w:pPr>
      <w:r>
        <w:rPr>
          <w:b/>
          <w:bCs/>
        </w:rPr>
        <w:t xml:space="preserve">Observation </w:t>
      </w:r>
      <w:r>
        <w:rPr>
          <w:rFonts w:eastAsia="SimSun;宋体" w:cs="Times New Roman"/>
          <w:b/>
          <w:bCs/>
          <w:color w:val="00000A"/>
          <w:kern w:val="0"/>
          <w:sz w:val="22"/>
          <w:szCs w:val="22"/>
          <w:lang w:val="en-US" w:eastAsia="zh-CN" w:bidi="ar-SA"/>
        </w:rPr>
        <w:t>9</w:t>
      </w:r>
      <w:r>
        <w:rPr>
          <w:b/>
          <w:bCs/>
        </w:rPr>
        <w:t>:</w:t>
      </w:r>
      <w:r>
        <w:rPr/>
        <w:t xml:space="preserve"> </w:t>
      </w:r>
      <w:r>
        <w:rPr>
          <w:rFonts w:eastAsia="SimSun" w:cs="FreeSans"/>
          <w:lang w:val="en-IN" w:bidi="hi-IN"/>
        </w:rPr>
        <w:t>Group-common signaling to a number of UEs to adapt the bandwidth of their corresponding active BWPs and continue operating in same BWPs reduces the latency and lowers the signaling overhead.</w:t>
      </w:r>
    </w:p>
    <w:p>
      <w:pPr>
        <w:pStyle w:val="Normal"/>
        <w:bidi w:val="0"/>
        <w:jc w:val="start"/>
        <w:rPr/>
      </w:pPr>
      <w:r>
        <w:rPr>
          <w:rFonts w:eastAsia="SimSun" w:cs="FreeSans"/>
          <w:b/>
          <w:bCs/>
          <w:lang w:val="en-IN" w:bidi="hi-IN"/>
        </w:rPr>
        <w:t xml:space="preserve">Observation </w:t>
      </w:r>
      <w:r>
        <w:rPr>
          <w:rFonts w:eastAsia="SimSun;宋体" w:cs="Times New Roman"/>
          <w:b/>
          <w:bCs/>
          <w:color w:val="00000A"/>
          <w:kern w:val="0"/>
          <w:sz w:val="22"/>
          <w:szCs w:val="22"/>
          <w:lang w:val="en-US" w:eastAsia="zh-CN" w:bidi="ar-SA"/>
        </w:rPr>
        <w:t xml:space="preserve">10: </w:t>
      </w:r>
      <w:r>
        <w:rPr>
          <w:rFonts w:eastAsia="SimSun;宋体" w:cs="Times New Roman"/>
          <w:b w:val="false"/>
          <w:bCs w:val="false"/>
          <w:color w:val="00000A"/>
          <w:kern w:val="0"/>
          <w:sz w:val="22"/>
          <w:szCs w:val="22"/>
          <w:lang w:val="en-US" w:eastAsia="zh-CN" w:bidi="ar-SA"/>
        </w:rPr>
        <w:t xml:space="preserve"> Dynamic adaptation of bandwidth at </w:t>
      </w:r>
      <w:r>
        <w:rPr>
          <w:rFonts w:eastAsia="SimSun;宋体" w:cs="Times New Roman"/>
          <w:b w:val="false"/>
          <w:bCs w:val="false"/>
          <w:color w:val="00000A"/>
          <w:kern w:val="0"/>
          <w:sz w:val="22"/>
          <w:szCs w:val="22"/>
          <w:lang w:val="en-US" w:eastAsia="zh-CN" w:bidi="ar-SA"/>
        </w:rPr>
        <w:t>gNB</w:t>
      </w:r>
      <w:r>
        <w:rPr>
          <w:rFonts w:eastAsia="SimSun;宋体" w:cs="Times New Roman"/>
          <w:b w:val="false"/>
          <w:bCs w:val="false"/>
          <w:color w:val="00000A"/>
          <w:kern w:val="0"/>
          <w:sz w:val="22"/>
          <w:szCs w:val="22"/>
          <w:lang w:val="en-US" w:eastAsia="zh-CN" w:bidi="ar-SA"/>
        </w:rPr>
        <w:t xml:space="preserve"> with g</w:t>
      </w:r>
      <w:r>
        <w:rPr>
          <w:rFonts w:eastAsia="SimSun" w:cs="FreeSans"/>
          <w:b w:val="false"/>
          <w:bCs w:val="false"/>
          <w:color w:val="00000A"/>
          <w:kern w:val="0"/>
          <w:sz w:val="22"/>
          <w:szCs w:val="22"/>
          <w:lang w:val="en-IN" w:eastAsia="zh-CN" w:bidi="hi-IN"/>
        </w:rPr>
        <w:t>roup-common signaling to adapt the bandwidth of active BWPs provides an energy saving gain of 1.75%.</w:t>
      </w:r>
    </w:p>
    <w:p>
      <w:pPr>
        <w:pStyle w:val="Normal"/>
        <w:bidi w:val="0"/>
        <w:jc w:val="start"/>
        <w:rPr>
          <w:rFonts w:eastAsia="SimSun;宋体" w:cs="Times New Roman"/>
          <w:b/>
          <w:b/>
          <w:bCs/>
          <w:color w:val="00000A"/>
          <w:kern w:val="0"/>
          <w:sz w:val="22"/>
          <w:szCs w:val="22"/>
          <w:lang w:val="en-US" w:eastAsia="zh-CN" w:bidi="ar-SA"/>
        </w:rPr>
      </w:pPr>
      <w:r>
        <w:rPr/>
      </w:r>
    </w:p>
    <w:p>
      <w:pPr>
        <w:pStyle w:val="Normal"/>
        <w:bidi w:val="0"/>
        <w:jc w:val="start"/>
        <w:rPr/>
      </w:pPr>
      <w:r>
        <w:rPr>
          <w:b/>
          <w:bCs/>
        </w:rPr>
        <w:t xml:space="preserve">Proposal 7: </w:t>
      </w:r>
      <w:r>
        <w:rPr/>
        <w:t>gNB signaling information about dynamic adaptation of BW to the active UEs is supported</w:t>
      </w:r>
    </w:p>
    <w:p>
      <w:pPr>
        <w:pStyle w:val="ListParagraph"/>
        <w:numPr>
          <w:ilvl w:val="1"/>
          <w:numId w:val="5"/>
        </w:numPr>
        <w:bidi w:val="0"/>
        <w:ind w:start="397" w:hanging="340"/>
        <w:jc w:val="start"/>
        <w:rPr/>
      </w:pPr>
      <w:r>
        <w:rPr>
          <w:rFonts w:eastAsia="SimSun" w:cs="FreeSans"/>
          <w:lang w:val="en-IN" w:eastAsia="zh-CN" w:bidi="hi-IN"/>
        </w:rPr>
        <w:t>Adapting the bandwidth of active BWP of a UE based on signalling from gNB is supported.</w:t>
      </w:r>
    </w:p>
    <w:p>
      <w:pPr>
        <w:pStyle w:val="Normal"/>
        <w:bidi w:val="0"/>
        <w:jc w:val="start"/>
        <w:rPr/>
      </w:pPr>
      <w:r>
        <w:rPr/>
        <w:drawing>
          <wp:anchor behindDoc="0" distT="0" distB="0" distL="0" distR="0" simplePos="0" locked="0" layoutInCell="1" allowOverlap="1" relativeHeight="4">
            <wp:simplePos x="0" y="0"/>
            <wp:positionH relativeFrom="column">
              <wp:align>center</wp:align>
            </wp:positionH>
            <wp:positionV relativeFrom="paragraph">
              <wp:posOffset>32385</wp:posOffset>
            </wp:positionV>
            <wp:extent cx="4403090" cy="2267585"/>
            <wp:effectExtent l="0" t="0" r="0" b="0"/>
            <wp:wrapTopAndBottom/>
            <wp:docPr id="2" name="Shape1" descr="Chart&#10;&#10;Description automatically generated"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hape1" descr="Chart&#10;&#10;Description automatically generated" title=""/>
                    <pic:cNvPicPr>
                      <a:picLocks noChangeAspect="1" noChangeArrowheads="1"/>
                    </pic:cNvPicPr>
                  </pic:nvPicPr>
                  <pic:blipFill>
                    <a:blip r:embed="rId3"/>
                    <a:srcRect l="1727" t="8597" r="24" b="15442"/>
                    <a:stretch>
                      <a:fillRect/>
                    </a:stretch>
                  </pic:blipFill>
                  <pic:spPr bwMode="auto">
                    <a:xfrm>
                      <a:off x="0" y="0"/>
                      <a:ext cx="4403090" cy="2267585"/>
                    </a:xfrm>
                    <a:prstGeom prst="rect">
                      <a:avLst/>
                    </a:prstGeom>
                  </pic:spPr>
                </pic:pic>
              </a:graphicData>
            </a:graphic>
          </wp:anchor>
        </w:drawing>
      </w:r>
    </w:p>
    <w:p>
      <w:pPr>
        <w:pStyle w:val="Normal"/>
        <w:bidi w:val="0"/>
        <w:jc w:val="center"/>
        <w:rPr/>
      </w:pPr>
      <w:r>
        <w:rPr/>
        <w:t>Fig. 3: Disabled section of gNB BW overlapping with UE BWP.</w:t>
      </w:r>
    </w:p>
    <w:p>
      <w:pPr>
        <w:pStyle w:val="Normal"/>
        <w:bidi w:val="0"/>
        <w:jc w:val="start"/>
        <w:rPr>
          <w:rFonts w:eastAsia="Malgun Gothic"/>
        </w:rPr>
      </w:pPr>
      <w:r>
        <w:rPr>
          <w:rFonts w:eastAsia="Malgun Gothic"/>
        </w:rPr>
      </w:r>
    </w:p>
    <w:p>
      <w:pPr>
        <w:pStyle w:val="Heading2"/>
        <w:numPr>
          <w:ilvl w:val="1"/>
          <w:numId w:val="6"/>
        </w:numPr>
        <w:bidi w:val="0"/>
        <w:jc w:val="start"/>
        <w:rPr/>
      </w:pPr>
      <w:r>
        <w:rPr/>
        <w:t>Spatial domain techniques</w:t>
      </w:r>
    </w:p>
    <w:p>
      <w:pPr>
        <w:pStyle w:val="Normal"/>
        <w:bidi w:val="0"/>
        <w:spacing w:lineRule="auto" w:line="252" w:before="120" w:after="120"/>
        <w:jc w:val="start"/>
        <w:rPr/>
      </w:pPr>
      <w:r>
        <w:rPr>
          <w:iCs/>
        </w:rPr>
        <w:t xml:space="preserve">In NR, with the usage of higher frequencies and requirement for narrow beams, the usage of number of antenna, TRX chains and antenna elements has increased, which is a dominant contributor for energy consumption at the gNB. The energy consumption at gNB can be reduced by adapting number of the spatial elements used for transmission or receptions based on parameters like channel condition, QoS requirement, UE arrival rate, user density and traffic load. For e.g., the gNB can deactivate some of antenna elements and transmit or receive with less number of antenna ports as shown in Fig. 4. However, the adaptation of antenna components will have an impact on the transmission/reception of channels/signals. For e.g., CSI-RS resources semi-statically configured to the UE is associated with certain port number. The dynamic adaptation of logical ports creates a requirement to update the CSI-RS configuration given to the UE, which will cause unnecessary increase in the DL overhead, delay and power consumption. Therefore, gNB dynamically signaling information about the port adaptation to the UE is supported. The dynamic indication about ports adaptation will help the UE to update its </w:t>
      </w:r>
      <w:r>
        <w:rPr>
          <w:rFonts w:eastAsia="SimSun;宋体" w:cs="Times New Roman"/>
          <w:iCs/>
          <w:color w:val="00000A"/>
          <w:sz w:val="22"/>
          <w:lang w:eastAsia="zh-CN"/>
        </w:rPr>
        <w:t>active</w:t>
      </w:r>
      <w:r>
        <w:rPr>
          <w:iCs/>
        </w:rPr>
        <w:t xml:space="preserve"> CSI-RS configuration implicitly and perform measurements based on the updated CSI-RS configuration. </w:t>
      </w:r>
    </w:p>
    <w:p>
      <w:pPr>
        <w:pStyle w:val="Normal"/>
        <w:bidi w:val="0"/>
        <w:jc w:val="center"/>
        <w:rPr/>
      </w:pPr>
      <w:r>
        <mc:AlternateContent>
          <mc:Choice Requires="wpg">
            <w:drawing>
              <wp:anchor behindDoc="0" distT="0" distB="0" distL="114935" distR="114935" simplePos="0" locked="0" layoutInCell="1" allowOverlap="1" relativeHeight="2" wp14:anchorId="4E411A93">
                <wp:simplePos x="0" y="0"/>
                <wp:positionH relativeFrom="column">
                  <wp:posOffset>280670</wp:posOffset>
                </wp:positionH>
                <wp:positionV relativeFrom="paragraph">
                  <wp:posOffset>102870</wp:posOffset>
                </wp:positionV>
                <wp:extent cx="3553460" cy="1511300"/>
                <wp:effectExtent l="0" t="0" r="0" b="0"/>
                <wp:wrapTopAndBottom/>
                <wp:docPr id="3" name="Group 47"/>
                <a:graphic xmlns:a="http://schemas.openxmlformats.org/drawingml/2006/main">
                  <a:graphicData uri="http://schemas.microsoft.com/office/word/2010/wordprocessingGroup">
                    <wpg:wgp>
                      <wpg:cNvGrpSpPr/>
                      <wpg:grpSpPr>
                        <a:xfrm>
                          <a:off x="0" y="0"/>
                          <a:ext cx="3552840" cy="1510560"/>
                        </a:xfrm>
                      </wpg:grpSpPr>
                      <wps:wsp>
                        <wps:cNvSpPr/>
                        <wps:spPr>
                          <a:xfrm>
                            <a:off x="0" y="0"/>
                            <a:ext cx="190440" cy="1486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26520" y="0"/>
                            <a:ext cx="191880" cy="1486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620280" y="0"/>
                            <a:ext cx="191160" cy="1486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977760" y="720"/>
                            <a:ext cx="191880" cy="1486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0" y="266040"/>
                            <a:ext cx="191160" cy="17964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26880" y="266760"/>
                            <a:ext cx="19116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621000" y="266760"/>
                            <a:ext cx="19116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977760" y="266760"/>
                            <a:ext cx="19188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720" y="563400"/>
                            <a:ext cx="191160" cy="1486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26880" y="563400"/>
                            <a:ext cx="191880" cy="1486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621000" y="563400"/>
                            <a:ext cx="191160" cy="1486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978480" y="563760"/>
                            <a:ext cx="191880" cy="1486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720" y="829440"/>
                            <a:ext cx="191160" cy="1494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27600" y="829800"/>
                            <a:ext cx="191160" cy="1486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621720" y="829800"/>
                            <a:ext cx="191160" cy="1486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978480" y="829800"/>
                            <a:ext cx="191880" cy="1486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382480" y="0"/>
                            <a:ext cx="191160" cy="1486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739960" y="720"/>
                            <a:ext cx="190440" cy="1486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034080" y="720"/>
                            <a:ext cx="191160" cy="1486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3360600" y="720"/>
                            <a:ext cx="191160" cy="1486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2382480" y="266760"/>
                            <a:ext cx="19116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739960" y="266760"/>
                            <a:ext cx="19116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034080" y="266760"/>
                            <a:ext cx="19116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3360960" y="267480"/>
                            <a:ext cx="19116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2382480" y="563400"/>
                            <a:ext cx="191880" cy="1486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740680" y="563760"/>
                            <a:ext cx="191160" cy="1486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034080" y="563760"/>
                            <a:ext cx="191880" cy="1486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3360960" y="563760"/>
                            <a:ext cx="191160" cy="1486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2383200" y="829800"/>
                            <a:ext cx="191880" cy="1486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740680" y="829800"/>
                            <a:ext cx="191160" cy="1486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034080" y="829800"/>
                            <a:ext cx="191880" cy="1486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3361680" y="830520"/>
                            <a:ext cx="191160" cy="1486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93960" y="1255320"/>
                            <a:ext cx="1005120" cy="255240"/>
                          </a:xfrm>
                          <a:prstGeom prst="rect">
                            <a:avLst/>
                          </a:prstGeom>
                          <a:noFill/>
                          <a:ln>
                            <a:noFill/>
                          </a:ln>
                        </wps:spPr>
                        <wps:style>
                          <a:lnRef idx="0"/>
                          <a:fillRef idx="0"/>
                          <a:effectRef idx="0"/>
                          <a:fontRef idx="minor"/>
                        </wps:style>
                        <wps:txbx>
                          <w:txbxContent>
                            <w:p>
                              <w:pPr>
                                <w:overflowPunct w:val="false"/>
                                <w:spacing w:before="0" w:after="0" w:lineRule="auto" w:line="240"/>
                                <w:jc w:val="start"/>
                                <w:rPr/>
                              </w:pPr>
                              <w:r>
                                <w:rPr>
                                  <w:spacing w:val="0"/>
                                  <w:smallCaps w:val="false"/>
                                  <w:caps w:val="false"/>
                                  <w:iCs w:val="false"/>
                                  <w:bCs w:val="false"/>
                                  <w:szCs w:val="16"/>
                                  <w:vertAlign w:val="baseline"/>
                                  <w:position w:val="0"/>
                                  <w:sz w:val="16"/>
                                  <w:i w:val="false"/>
                                  <w:dstrike w:val="false"/>
                                  <w:strike w:val="false"/>
                                  <w:u w:val="none"/>
                                  <w:b w:val="false"/>
                                  <w:sz w:val="16"/>
                                  <w:rFonts w:eastAsia="Calibri" w:ascii="Calibri" w:hAnsi="Calibri"/>
                                  <w:color w:val="000000"/>
                                </w:rPr>
                                <w:t>a) 32 Ports</w:t>
                              </w:r>
                            </w:p>
                          </w:txbxContent>
                        </wps:txbx>
                        <wps:bodyPr lIns="90000" rIns="90000" tIns="45000" bIns="45000">
                          <a:noAutofit/>
                        </wps:bodyPr>
                      </wps:wsp>
                      <wps:wsp>
                        <wps:cNvSpPr/>
                        <wps:spPr>
                          <a:xfrm>
                            <a:off x="2509560" y="1255320"/>
                            <a:ext cx="1005840" cy="255240"/>
                          </a:xfrm>
                          <a:prstGeom prst="rect">
                            <a:avLst/>
                          </a:prstGeom>
                          <a:noFill/>
                          <a:ln>
                            <a:noFill/>
                          </a:ln>
                        </wps:spPr>
                        <wps:style>
                          <a:lnRef idx="0"/>
                          <a:fillRef idx="0"/>
                          <a:effectRef idx="0"/>
                          <a:fontRef idx="minor"/>
                        </wps:style>
                        <wps:txbx>
                          <w:txbxContent>
                            <w:p>
                              <w:pPr>
                                <w:overflowPunct w:val="false"/>
                                <w:spacing w:before="0" w:after="0" w:lineRule="auto" w:line="240"/>
                                <w:jc w:val="start"/>
                                <w:rPr/>
                              </w:pPr>
                              <w:r>
                                <w:rPr>
                                  <w:spacing w:val="0"/>
                                  <w:smallCaps w:val="false"/>
                                  <w:caps w:val="false"/>
                                  <w:iCs w:val="false"/>
                                  <w:bCs w:val="false"/>
                                  <w:szCs w:val="16"/>
                                  <w:vertAlign w:val="baseline"/>
                                  <w:position w:val="0"/>
                                  <w:sz w:val="16"/>
                                  <w:i w:val="false"/>
                                  <w:dstrike w:val="false"/>
                                  <w:strike w:val="false"/>
                                  <w:u w:val="none"/>
                                  <w:b w:val="false"/>
                                  <w:sz w:val="16"/>
                                  <w:rFonts w:eastAsia="Calibri" w:ascii="Calibri" w:hAnsi="Calibri"/>
                                  <w:color w:val="000000"/>
                                </w:rPr>
                                <w:t>b) 16 Ports</w:t>
                              </w:r>
                            </w:p>
                          </w:txbxContent>
                        </wps:txbx>
                        <wps:bodyPr lIns="90000" rIns="90000" tIns="45000" bIns="45000">
                          <a:noAutofit/>
                        </wps:bodyPr>
                      </wps:wsp>
                    </wpg:wgp>
                  </a:graphicData>
                </a:graphic>
              </wp:anchor>
            </w:drawing>
          </mc:Choice>
          <mc:Fallback>
            <w:pict>
              <v:group id="shape_0" alt="Group 47" style="position:absolute;margin-left:22.1pt;margin-top:8.1pt;width:279.75pt;height:118.95pt" coordorigin="442,162" coordsize="5595,2379">
                <v:rect id="shape_0" stroked="f" style="position:absolute;left:590;top:2139;width:1582;height:401">
                  <v:textbox>
                    <w:txbxContent>
                      <w:p>
                        <w:pPr>
                          <w:overflowPunct w:val="false"/>
                          <w:spacing w:before="0" w:after="0" w:lineRule="auto" w:line="240"/>
                          <w:jc w:val="start"/>
                          <w:rPr/>
                        </w:pPr>
                        <w:r>
                          <w:rPr>
                            <w:spacing w:val="0"/>
                            <w:smallCaps w:val="false"/>
                            <w:caps w:val="false"/>
                            <w:iCs w:val="false"/>
                            <w:bCs w:val="false"/>
                            <w:szCs w:val="16"/>
                            <w:vertAlign w:val="baseline"/>
                            <w:position w:val="0"/>
                            <w:sz w:val="16"/>
                            <w:i w:val="false"/>
                            <w:dstrike w:val="false"/>
                            <w:strike w:val="false"/>
                            <w:u w:val="none"/>
                            <w:b w:val="false"/>
                            <w:sz w:val="16"/>
                            <w:rFonts w:eastAsia="Calibri" w:ascii="Calibri" w:hAnsi="Calibri"/>
                            <w:color w:val="000000"/>
                          </w:rPr>
                          <w:t>a) 32 Ports</w:t>
                        </w:r>
                      </w:p>
                    </w:txbxContent>
                  </v:textbox>
                  <w10:wrap type="square"/>
                  <v:fill o:detectmouseclick="t" on="false"/>
                  <v:stroke color="#3465a4" joinstyle="round" endcap="flat"/>
                </v:rect>
                <v:rect id="shape_0" stroked="f" style="position:absolute;left:4394;top:2139;width:1583;height:401">
                  <v:textbox>
                    <w:txbxContent>
                      <w:p>
                        <w:pPr>
                          <w:overflowPunct w:val="false"/>
                          <w:spacing w:before="0" w:after="0" w:lineRule="auto" w:line="240"/>
                          <w:jc w:val="start"/>
                          <w:rPr/>
                        </w:pPr>
                        <w:r>
                          <w:rPr>
                            <w:spacing w:val="0"/>
                            <w:smallCaps w:val="false"/>
                            <w:caps w:val="false"/>
                            <w:iCs w:val="false"/>
                            <w:bCs w:val="false"/>
                            <w:szCs w:val="16"/>
                            <w:vertAlign w:val="baseline"/>
                            <w:position w:val="0"/>
                            <w:sz w:val="16"/>
                            <w:i w:val="false"/>
                            <w:dstrike w:val="false"/>
                            <w:strike w:val="false"/>
                            <w:u w:val="none"/>
                            <w:b w:val="false"/>
                            <w:sz w:val="16"/>
                            <w:rFonts w:eastAsia="Calibri" w:ascii="Calibri" w:hAnsi="Calibri"/>
                            <w:color w:val="000000"/>
                          </w:rPr>
                          <w:t>b) 16 Ports</w:t>
                        </w:r>
                      </w:p>
                    </w:txbxContent>
                  </v:textbox>
                  <w10:wrap type="square"/>
                  <v:fill o:detectmouseclick="t" on="false"/>
                  <v:stroke color="#3465a4" joinstyle="round" endcap="flat"/>
                </v:rect>
              </v:group>
            </w:pict>
          </mc:Fallback>
        </mc:AlternateContent>
        <mc:AlternateContent>
          <mc:Choice Requires="wpg">
            <w:drawing>
              <wp:anchor behindDoc="0" distT="0" distB="0" distL="0" distR="0" simplePos="0" locked="0" layoutInCell="1" allowOverlap="1" relativeHeight="3" wp14:anchorId="0DE9E701">
                <wp:simplePos x="0" y="0"/>
                <wp:positionH relativeFrom="column">
                  <wp:posOffset>4258945</wp:posOffset>
                </wp:positionH>
                <wp:positionV relativeFrom="paragraph">
                  <wp:posOffset>329565</wp:posOffset>
                </wp:positionV>
                <wp:extent cx="1778000" cy="545465"/>
                <wp:effectExtent l="0" t="0" r="0" b="0"/>
                <wp:wrapNone/>
                <wp:docPr id="4" name="Group 42"/>
                <a:graphic xmlns:a="http://schemas.openxmlformats.org/drawingml/2006/main">
                  <a:graphicData uri="http://schemas.microsoft.com/office/word/2010/wordprocessingGroup">
                    <wpg:wgp>
                      <wpg:cNvGrpSpPr/>
                      <wpg:grpSpPr>
                        <a:xfrm>
                          <a:off x="0" y="0"/>
                          <a:ext cx="1777320" cy="544680"/>
                        </a:xfrm>
                      </wpg:grpSpPr>
                      <wps:wsp>
                        <wps:cNvSpPr/>
                        <wps:spPr>
                          <a:xfrm>
                            <a:off x="257040" y="0"/>
                            <a:ext cx="1417320" cy="328320"/>
                          </a:xfrm>
                          <a:prstGeom prst="rect">
                            <a:avLst/>
                          </a:prstGeom>
                          <a:noFill/>
                          <a:ln>
                            <a:noFill/>
                          </a:ln>
                        </wps:spPr>
                        <wps:style>
                          <a:lnRef idx="0"/>
                          <a:fillRef idx="0"/>
                          <a:effectRef idx="0"/>
                          <a:fontRef idx="minor"/>
                        </wps:style>
                        <wps:txbx>
                          <w:txbxContent>
                            <w:p>
                              <w:pPr>
                                <w:overflowPunct w:val="false"/>
                                <w:spacing w:before="0" w:after="0" w:lineRule="auto" w:line="240"/>
                                <w:jc w:val="start"/>
                                <w:rPr/>
                              </w:pPr>
                              <w:r>
                                <w:rPr>
                                  <w:spacing w:val="0"/>
                                  <w:smallCaps w:val="false"/>
                                  <w:caps w:val="false"/>
                                  <w:iCs w:val="false"/>
                                  <w:bCs w:val="false"/>
                                  <w:szCs w:val="16"/>
                                  <w:vertAlign w:val="baseline"/>
                                  <w:position w:val="0"/>
                                  <w:sz w:val="16"/>
                                  <w:i w:val="false"/>
                                  <w:dstrike w:val="false"/>
                                  <w:strike w:val="false"/>
                                  <w:u w:val="none"/>
                                  <w:b w:val="false"/>
                                  <w:sz w:val="16"/>
                                  <w:rFonts w:eastAsia="Calibri" w:ascii="Calibri" w:hAnsi="Calibri"/>
                                  <w:color w:val="000000"/>
                                </w:rPr>
                                <w:t>Active antenna elements</w:t>
                              </w:r>
                            </w:p>
                          </w:txbxContent>
                        </wps:txbx>
                        <wps:bodyPr lIns="90000" rIns="90000" tIns="45000" bIns="45000">
                          <a:noAutofit/>
                        </wps:bodyPr>
                      </wps:wsp>
                      <wps:wsp>
                        <wps:cNvSpPr/>
                        <wps:spPr>
                          <a:xfrm>
                            <a:off x="256680" y="216360"/>
                            <a:ext cx="1521000" cy="328320"/>
                          </a:xfrm>
                          <a:prstGeom prst="rect">
                            <a:avLst/>
                          </a:prstGeom>
                          <a:noFill/>
                          <a:ln>
                            <a:noFill/>
                          </a:ln>
                        </wps:spPr>
                        <wps:style>
                          <a:lnRef idx="0"/>
                          <a:fillRef idx="0"/>
                          <a:effectRef idx="0"/>
                          <a:fontRef idx="minor"/>
                        </wps:style>
                        <wps:txbx>
                          <w:txbxContent>
                            <w:p>
                              <w:pPr>
                                <w:overflowPunct w:val="false"/>
                                <w:spacing w:before="0" w:after="0" w:lineRule="auto" w:line="240"/>
                                <w:jc w:val="start"/>
                                <w:rPr/>
                              </w:pPr>
                              <w:r>
                                <w:rPr>
                                  <w:spacing w:val="0"/>
                                  <w:smallCaps w:val="false"/>
                                  <w:caps w:val="false"/>
                                  <w:iCs w:val="false"/>
                                  <w:bCs w:val="false"/>
                                  <w:szCs w:val="16"/>
                                  <w:vertAlign w:val="baseline"/>
                                  <w:position w:val="0"/>
                                  <w:sz w:val="16"/>
                                  <w:i w:val="false"/>
                                  <w:dstrike w:val="false"/>
                                  <w:strike w:val="false"/>
                                  <w:u w:val="none"/>
                                  <w:b w:val="false"/>
                                  <w:sz w:val="16"/>
                                  <w:rFonts w:eastAsia="Calibri" w:ascii="Calibri" w:hAnsi="Calibri"/>
                                  <w:color w:val="000000"/>
                                </w:rPr>
                                <w:t>De-active Antenna elements</w:t>
                              </w:r>
                            </w:p>
                          </w:txbxContent>
                        </wps:txbx>
                        <wps:bodyPr lIns="90000" rIns="90000" tIns="45000" bIns="45000">
                          <a:noAutofit/>
                        </wps:bodyPr>
                      </wps:wsp>
                      <wps:wsp>
                        <wps:cNvSpPr/>
                        <wps:spPr>
                          <a:xfrm>
                            <a:off x="0" y="37440"/>
                            <a:ext cx="84600" cy="1105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17280" y="237960"/>
                            <a:ext cx="84960" cy="108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g:wgp>
                  </a:graphicData>
                </a:graphic>
              </wp:anchor>
            </w:drawing>
          </mc:Choice>
          <mc:Fallback>
            <w:pict>
              <v:group id="shape_0" alt="Group 42" style="position:absolute;margin-left:335.35pt;margin-top:25.95pt;width:139.95pt;height:42.85pt" coordorigin="6707,519" coordsize="2799,857">
                <v:rect id="shape_0" stroked="f" style="position:absolute;left:7112;top:519;width:2231;height:516">
                  <v:textbox>
                    <w:txbxContent>
                      <w:p>
                        <w:pPr>
                          <w:overflowPunct w:val="false"/>
                          <w:spacing w:before="0" w:after="0" w:lineRule="auto" w:line="240"/>
                          <w:jc w:val="start"/>
                          <w:rPr/>
                        </w:pPr>
                        <w:r>
                          <w:rPr>
                            <w:spacing w:val="0"/>
                            <w:smallCaps w:val="false"/>
                            <w:caps w:val="false"/>
                            <w:iCs w:val="false"/>
                            <w:bCs w:val="false"/>
                            <w:szCs w:val="16"/>
                            <w:vertAlign w:val="baseline"/>
                            <w:position w:val="0"/>
                            <w:sz w:val="16"/>
                            <w:i w:val="false"/>
                            <w:dstrike w:val="false"/>
                            <w:strike w:val="false"/>
                            <w:u w:val="none"/>
                            <w:b w:val="false"/>
                            <w:sz w:val="16"/>
                            <w:rFonts w:eastAsia="Calibri" w:ascii="Calibri" w:hAnsi="Calibri"/>
                            <w:color w:val="000000"/>
                          </w:rPr>
                          <w:t>Active antenna elements</w:t>
                        </w:r>
                      </w:p>
                    </w:txbxContent>
                  </v:textbox>
                  <w10:wrap type="square"/>
                  <v:fill o:detectmouseclick="t" on="false"/>
                  <v:stroke color="#3465a4" joinstyle="round" endcap="flat"/>
                </v:rect>
                <v:rect id="shape_0" stroked="f" style="position:absolute;left:7111;top:859;width:2394;height:516">
                  <v:textbox>
                    <w:txbxContent>
                      <w:p>
                        <w:pPr>
                          <w:overflowPunct w:val="false"/>
                          <w:spacing w:before="0" w:after="0" w:lineRule="auto" w:line="240"/>
                          <w:jc w:val="start"/>
                          <w:rPr/>
                        </w:pPr>
                        <w:r>
                          <w:rPr>
                            <w:spacing w:val="0"/>
                            <w:smallCaps w:val="false"/>
                            <w:caps w:val="false"/>
                            <w:iCs w:val="false"/>
                            <w:bCs w:val="false"/>
                            <w:szCs w:val="16"/>
                            <w:vertAlign w:val="baseline"/>
                            <w:position w:val="0"/>
                            <w:sz w:val="16"/>
                            <w:i w:val="false"/>
                            <w:dstrike w:val="false"/>
                            <w:strike w:val="false"/>
                            <w:u w:val="none"/>
                            <w:b w:val="false"/>
                            <w:sz w:val="16"/>
                            <w:rFonts w:eastAsia="Calibri" w:ascii="Calibri" w:hAnsi="Calibri"/>
                            <w:color w:val="000000"/>
                          </w:rPr>
                          <w:t>De-active Antenna elements</w:t>
                        </w:r>
                      </w:p>
                    </w:txbxContent>
                  </v:textbox>
                  <w10:wrap type="square"/>
                  <v:fill o:detectmouseclick="t" on="false"/>
                  <v:stroke color="#3465a4" joinstyle="round" endcap="flat"/>
                </v:rect>
              </v:group>
            </w:pict>
          </mc:Fallback>
        </mc:AlternateContent>
      </w:r>
      <w:r>
        <w:rPr/>
        <w:t>Fig. 4: Antenna panel with 32 and 16 ports in (a) and (b) respectively</w:t>
      </w:r>
    </w:p>
    <w:p>
      <w:pPr>
        <w:pStyle w:val="Normal"/>
        <w:bidi w:val="0"/>
        <w:jc w:val="start"/>
        <w:rPr/>
      </w:pPr>
      <w:r>
        <w:rPr/>
      </w:r>
    </w:p>
    <w:p>
      <w:pPr>
        <w:pStyle w:val="Normal"/>
        <w:bidi w:val="0"/>
        <w:jc w:val="start"/>
        <w:rPr/>
      </w:pPr>
      <w:r>
        <w:rPr>
          <w:b/>
          <w:bCs/>
          <w:iCs/>
        </w:rPr>
        <w:t>Proposal 8:</w:t>
      </w:r>
      <w:r>
        <w:rPr>
          <w:iCs/>
        </w:rPr>
        <w:t xml:space="preserve"> gNB dynamically adapting the logical ports for energy saving is supported.</w:t>
      </w:r>
    </w:p>
    <w:p>
      <w:pPr>
        <w:pStyle w:val="Normal"/>
        <w:bidi w:val="0"/>
        <w:jc w:val="start"/>
        <w:rPr/>
      </w:pPr>
      <w:r>
        <w:rPr>
          <w:b/>
          <w:bCs/>
          <w:iCs/>
        </w:rPr>
        <w:t>Proposal 9:</w:t>
      </w:r>
      <w:r>
        <w:rPr>
          <w:iCs/>
        </w:rPr>
        <w:t xml:space="preserve"> gNB dynamically signaling information about ports adaptation to the UE is supported.</w:t>
      </w:r>
    </w:p>
    <w:p>
      <w:pPr>
        <w:pStyle w:val="Normal"/>
        <w:numPr>
          <w:ilvl w:val="0"/>
          <w:numId w:val="7"/>
        </w:numPr>
        <w:bidi w:val="0"/>
        <w:jc w:val="start"/>
        <w:rPr/>
      </w:pPr>
      <w:r>
        <w:rPr>
          <w:iCs/>
        </w:rPr>
        <w:t>UE implicitly updating the CSI-RS resource configuration based on ports adaptation is supported.</w:t>
      </w:r>
    </w:p>
    <w:p>
      <w:pPr>
        <w:pStyle w:val="Normal"/>
        <w:bidi w:val="0"/>
        <w:jc w:val="start"/>
        <w:rPr>
          <w:iCs/>
        </w:rPr>
      </w:pPr>
      <w:r>
        <w:rPr>
          <w:iCs/>
        </w:rPr>
      </w:r>
    </w:p>
    <w:p>
      <w:pPr>
        <w:pStyle w:val="Heading2"/>
        <w:numPr>
          <w:ilvl w:val="1"/>
          <w:numId w:val="6"/>
        </w:numPr>
        <w:bidi w:val="0"/>
        <w:jc w:val="start"/>
        <w:rPr/>
      </w:pPr>
      <w:r>
        <w:rPr>
          <w:iCs/>
          <w:sz w:val="22"/>
        </w:rPr>
        <w:t>Power domain techniques</w:t>
      </w:r>
    </w:p>
    <w:p>
      <w:pPr>
        <w:pStyle w:val="Normal"/>
        <w:bidi w:val="0"/>
        <w:jc w:val="start"/>
        <w:rPr/>
      </w:pPr>
      <w:r>
        <w:rPr>
          <w:rStyle w:val="Annotationreference"/>
          <w:rFonts w:eastAsia="Wingdings"/>
          <w:sz w:val="22"/>
          <w:szCs w:val="22"/>
        </w:rPr>
        <w:t xml:space="preserve">In NR, the EPRE of downlink signals and channels are associated with each other and is derived from the power offset values provided by higher layers to the UE. The power offset is the ratio of EPRE between two DL signals or channels. The EPRE is same across all the resource elements and bandwidth of the signal/channel. The semi static updation of the downlink transmit power which is provided to the UE causes unnecessarily power consumption at gNB in certain cases. For example, in a good channel condition or in a case of UEs near to the gNB, dynamic reduction in the transmit power will help to conserve energy at the gNB. Thus, dynamic adaptation of downlink transmission power is supported for NES. The adaptation should take into account the dynamic variations like variable channel condition, UE density, traffic arrival rate, etc. to achieve an optimized transmission power. The dynamic adjustment of DL power can also be made specific to a set of resources such as slot, sub band etc. The DL transmission power for each set of resources will vary since the channel conditions will vary for each set of resources. Users allotted with these resources will face dynamic adjustment in DL power. The change in transmission power in any DL signal or channel will cause a corresponding change in transmission power of associated DL signals and channels. Thus, an indication about the dynamic power adaptation of a DL signal and channel is provided by the BS to consider the variance in power for configured measurements at the UE. </w:t>
      </w:r>
    </w:p>
    <w:p>
      <w:pPr>
        <w:pStyle w:val="Normal"/>
        <w:bidi w:val="0"/>
        <w:jc w:val="start"/>
        <w:rPr/>
      </w:pPr>
      <w:r>
        <w:rPr>
          <w:rStyle w:val="Annotationreference"/>
          <w:rFonts w:eastAsia="Wingdings"/>
          <w:sz w:val="22"/>
          <w:szCs w:val="22"/>
        </w:rPr>
        <w:t>Some assistance information from the UE, e.g., interference related information, helps in the dynamic adaptation of DL power at gNB.</w:t>
      </w:r>
    </w:p>
    <w:p>
      <w:pPr>
        <w:pStyle w:val="Normal"/>
        <w:bidi w:val="0"/>
        <w:jc w:val="both"/>
        <w:rPr/>
      </w:pPr>
      <w:r>
        <w:rPr>
          <w:rStyle w:val="Annotationreference"/>
          <w:rFonts w:eastAsia="Wingdings"/>
          <w:b/>
          <w:bCs/>
          <w:iCs/>
          <w:sz w:val="22"/>
          <w:szCs w:val="22"/>
        </w:rPr>
        <w:t>Proposal 10:</w:t>
      </w:r>
      <w:r>
        <w:rPr>
          <w:rStyle w:val="Annotationreference"/>
          <w:rFonts w:eastAsia="Wingdings"/>
          <w:iCs/>
          <w:sz w:val="22"/>
          <w:szCs w:val="22"/>
        </w:rPr>
        <w:t xml:space="preserve"> Dynamically adapting the DL transmission power at gNB in specific set of frequency and time resources utilizing assistance information from the UE is supported.</w:t>
      </w:r>
    </w:p>
    <w:p>
      <w:pPr>
        <w:pStyle w:val="Normal"/>
        <w:bidi w:val="0"/>
        <w:jc w:val="both"/>
        <w:rPr/>
      </w:pPr>
      <w:r>
        <w:rPr>
          <w:rStyle w:val="Annotationreference"/>
          <w:rFonts w:eastAsia="Wingdings"/>
          <w:b/>
          <w:bCs/>
          <w:iCs/>
          <w:sz w:val="22"/>
          <w:szCs w:val="22"/>
        </w:rPr>
        <w:t>Proposal 11:</w:t>
      </w:r>
      <w:r>
        <w:rPr>
          <w:rStyle w:val="Annotationreference"/>
          <w:rFonts w:eastAsia="Wingdings"/>
          <w:iCs/>
          <w:sz w:val="22"/>
          <w:szCs w:val="22"/>
        </w:rPr>
        <w:t xml:space="preserve"> Dynamically indicating about the DL transmission power adaptation at gNB to the UE is supported.</w:t>
      </w:r>
    </w:p>
    <w:p>
      <w:pPr>
        <w:pStyle w:val="Normal"/>
        <w:bidi w:val="0"/>
        <w:jc w:val="start"/>
        <w:rPr>
          <w:rFonts w:eastAsia="Wingdings"/>
          <w:iCs/>
        </w:rPr>
      </w:pPr>
      <w:r>
        <w:rPr>
          <w:rFonts w:eastAsia="Wingdings"/>
          <w:iCs/>
        </w:rPr>
      </w:r>
    </w:p>
    <w:p>
      <w:pPr>
        <w:pStyle w:val="Heading1"/>
        <w:numPr>
          <w:ilvl w:val="0"/>
          <w:numId w:val="6"/>
        </w:numPr>
        <w:bidi w:val="0"/>
        <w:jc w:val="start"/>
        <w:rPr/>
      </w:pPr>
      <w:r>
        <w:rPr>
          <w:rFonts w:eastAsia="Wingdings"/>
          <w:sz w:val="22"/>
          <w:szCs w:val="22"/>
        </w:rPr>
        <w:t>Conclusion</w:t>
      </w:r>
    </w:p>
    <w:p>
      <w:pPr>
        <w:pStyle w:val="Normal"/>
        <w:bidi w:val="0"/>
        <w:jc w:val="start"/>
        <w:rPr/>
      </w:pPr>
      <w:r>
        <w:rPr>
          <w:rFonts w:eastAsia="Wingdings"/>
          <w:lang w:val="en-GB"/>
        </w:rPr>
        <w:t xml:space="preserve">In this contribution, we discussed the techniques required for NES. According to the technical analysis, the following proposals are made, </w:t>
      </w:r>
    </w:p>
    <w:p>
      <w:pPr>
        <w:pStyle w:val="Normal"/>
        <w:bidi w:val="0"/>
        <w:jc w:val="start"/>
        <w:rPr/>
      </w:pPr>
      <w:r>
        <w:rPr>
          <w:b/>
          <w:bCs/>
        </w:rPr>
        <w:t>Observation 1:</w:t>
      </w:r>
      <w:r>
        <w:rPr/>
        <w:t xml:space="preserve"> Mandatory set operations consume energy at the gNB irrespective of the lo</w:t>
      </w:r>
      <w:bookmarkStart w:id="4" w:name="move11094953112"/>
      <w:bookmarkEnd w:id="4"/>
      <w:r>
        <w:rPr/>
        <w:t>ad</w:t>
      </w:r>
    </w:p>
    <w:p>
      <w:pPr>
        <w:pStyle w:val="Normal"/>
        <w:bidi w:val="0"/>
        <w:jc w:val="start"/>
        <w:rPr/>
      </w:pPr>
      <w:r>
        <w:rPr>
          <w:b/>
          <w:bCs/>
        </w:rPr>
        <w:t>Observation 2:</w:t>
      </w:r>
      <w:r>
        <w:rPr/>
        <w:t xml:space="preserve"> Use of lighter version of SSB provides </w:t>
      </w:r>
    </w:p>
    <w:p>
      <w:pPr>
        <w:pStyle w:val="Normal"/>
        <w:numPr>
          <w:ilvl w:val="0"/>
          <w:numId w:val="3"/>
        </w:numPr>
        <w:bidi w:val="0"/>
        <w:jc w:val="start"/>
        <w:rPr/>
      </w:pPr>
      <w:r>
        <w:rPr/>
        <w:t xml:space="preserve">an energy saving gain of </w:t>
      </w:r>
      <w:r>
        <w:rPr>
          <w:rFonts w:ascii="Times New Roman" w:hAnsi="Times New Roman"/>
          <w:b w:val="false"/>
          <w:i w:val="false"/>
          <w:strike w:val="false"/>
          <w:dstrike w:val="false"/>
          <w:outline w:val="false"/>
          <w:shadow w:val="false"/>
          <w:sz w:val="22"/>
          <w:u w:val="none"/>
          <w:em w:val="none"/>
        </w:rPr>
        <w:t>2.4% for cat 1</w:t>
      </w:r>
    </w:p>
    <w:p>
      <w:pPr>
        <w:pStyle w:val="Normal"/>
        <w:bidi w:val="0"/>
        <w:jc w:val="start"/>
        <w:rPr/>
      </w:pPr>
      <w:r>
        <w:rPr/>
      </w:r>
    </w:p>
    <w:p>
      <w:pPr>
        <w:pStyle w:val="Normal"/>
        <w:bidi w:val="0"/>
        <w:jc w:val="start"/>
        <w:rPr/>
      </w:pPr>
      <w:r>
        <w:rPr>
          <w:b/>
          <w:bCs/>
        </w:rPr>
        <w:t>Observation 3:</w:t>
      </w:r>
      <w:r>
        <w:rPr/>
        <w:t xml:space="preserve"> Use of lighter version of SSB as along with gNB offloading </w:t>
      </w:r>
      <w:r>
        <w:rPr>
          <w:rFonts w:eastAsia="SimSun;宋体" w:cs="Times New Roman" w:ascii="Times New Roman" w:hAnsi="Times New Roman"/>
          <w:color w:val="00000A"/>
          <w:kern w:val="0"/>
          <w:sz w:val="22"/>
          <w:szCs w:val="22"/>
          <w:lang w:val="en-US" w:eastAsia="zh-CN" w:bidi="ar-SA"/>
        </w:rPr>
        <w:t>improves energy saving gain.</w:t>
      </w:r>
    </w:p>
    <w:p>
      <w:pPr>
        <w:pStyle w:val="Normal"/>
        <w:bidi w:val="0"/>
        <w:spacing w:before="57" w:after="177"/>
        <w:jc w:val="start"/>
        <w:rPr>
          <w:rFonts w:eastAsia="Wingdings"/>
          <w:b/>
          <w:b/>
          <w:iCs/>
          <w:sz w:val="20"/>
          <w:szCs w:val="20"/>
          <w:lang w:eastAsia="en-US"/>
        </w:rPr>
      </w:pPr>
      <w:r>
        <w:rPr>
          <w:rFonts w:eastAsia="Wingdings"/>
          <w:b/>
          <w:iCs/>
          <w:sz w:val="20"/>
          <w:szCs w:val="20"/>
          <w:lang w:eastAsia="en-US"/>
        </w:rPr>
        <w:t xml:space="preserve">Proposal 1: </w:t>
      </w:r>
      <w:r>
        <w:rPr>
          <w:rFonts w:eastAsia="Wingdings"/>
          <w:b w:val="false"/>
          <w:bCs w:val="false"/>
          <w:iCs/>
          <w:sz w:val="20"/>
          <w:szCs w:val="20"/>
          <w:lang w:eastAsia="en-US"/>
        </w:rPr>
        <w:t>Support use of light versions of SSB, consisting of PSS, SSS and partial PBCH, at the gNB for energy saving.</w:t>
      </w:r>
    </w:p>
    <w:p>
      <w:pPr>
        <w:pStyle w:val="Normal"/>
        <w:bidi w:val="0"/>
        <w:spacing w:before="57" w:after="177"/>
        <w:jc w:val="start"/>
        <w:rPr>
          <w:rFonts w:eastAsia="Wingdings"/>
          <w:b/>
          <w:b/>
          <w:iCs/>
          <w:sz w:val="20"/>
          <w:szCs w:val="20"/>
          <w:lang w:eastAsia="en-US"/>
        </w:rPr>
      </w:pPr>
      <w:r>
        <w:rPr>
          <w:rFonts w:eastAsia="Wingdings"/>
          <w:b/>
          <w:iCs/>
          <w:sz w:val="20"/>
          <w:szCs w:val="20"/>
          <w:lang w:eastAsia="en-US"/>
        </w:rPr>
        <w:t>Proposal 2:</w:t>
      </w:r>
      <w:r>
        <w:rPr>
          <w:rFonts w:eastAsia="Wingdings"/>
          <w:iCs/>
          <w:sz w:val="20"/>
          <w:szCs w:val="20"/>
          <w:lang w:eastAsia="en-US"/>
        </w:rPr>
        <w:t xml:space="preserve"> In case of use of lighter version of SSB by a gNB, following are supported for remaining content of the PBCH </w:t>
      </w:r>
    </w:p>
    <w:p>
      <w:pPr>
        <w:pStyle w:val="Normal"/>
        <w:numPr>
          <w:ilvl w:val="0"/>
          <w:numId w:val="8"/>
        </w:numPr>
        <w:bidi w:val="0"/>
        <w:spacing w:before="114" w:after="114"/>
        <w:jc w:val="start"/>
        <w:rPr/>
      </w:pPr>
      <w:r>
        <w:rPr>
          <w:rFonts w:eastAsia="Wingdings" w:cs="Times New Roman"/>
          <w:iCs/>
          <w:color w:val="00000A"/>
          <w:sz w:val="20"/>
          <w:szCs w:val="20"/>
          <w:lang w:eastAsia="en-US"/>
        </w:rPr>
        <w:t>Predefined values in the standards</w:t>
      </w:r>
    </w:p>
    <w:p>
      <w:pPr>
        <w:pStyle w:val="Normal"/>
        <w:numPr>
          <w:ilvl w:val="0"/>
          <w:numId w:val="8"/>
        </w:numPr>
        <w:bidi w:val="0"/>
        <w:spacing w:before="57" w:after="63"/>
        <w:jc w:val="start"/>
        <w:rPr/>
      </w:pPr>
      <w:r>
        <w:rPr>
          <w:rFonts w:eastAsia="Wingdings"/>
          <w:iCs/>
          <w:sz w:val="20"/>
          <w:szCs w:val="20"/>
          <w:lang w:eastAsia="en-US"/>
        </w:rPr>
        <w:t>Signaled by the gNB transmitting the lighter version of SSB.</w:t>
      </w:r>
    </w:p>
    <w:p>
      <w:pPr>
        <w:pStyle w:val="Normal"/>
        <w:bidi w:val="0"/>
        <w:spacing w:before="57" w:after="63"/>
        <w:jc w:val="start"/>
        <w:rPr>
          <w:rFonts w:eastAsia="Wingdings"/>
          <w:iCs/>
          <w:sz w:val="20"/>
          <w:szCs w:val="20"/>
          <w:lang w:eastAsia="en-US"/>
        </w:rPr>
      </w:pPr>
      <w:r>
        <w:rPr>
          <w:rFonts w:eastAsia="Wingdings"/>
          <w:iCs/>
          <w:sz w:val="20"/>
          <w:szCs w:val="20"/>
          <w:lang w:eastAsia="en-US"/>
        </w:rPr>
      </w:r>
    </w:p>
    <w:p>
      <w:pPr>
        <w:pStyle w:val="Normal"/>
        <w:bidi w:val="0"/>
        <w:jc w:val="start"/>
        <w:rPr/>
      </w:pPr>
      <w:r>
        <w:rPr>
          <w:b/>
          <w:bCs/>
          <w:iCs/>
        </w:rPr>
        <w:t xml:space="preserve">Observation </w:t>
      </w:r>
      <w:r>
        <w:rPr>
          <w:rFonts w:eastAsia="SimSun;宋体" w:cs="Times New Roman"/>
          <w:b/>
          <w:bCs/>
          <w:iCs/>
          <w:color w:val="00000A"/>
          <w:kern w:val="0"/>
          <w:sz w:val="22"/>
          <w:szCs w:val="22"/>
          <w:lang w:val="en-US" w:eastAsia="zh-CN" w:bidi="ar-SA"/>
        </w:rPr>
        <w:t>4</w:t>
      </w:r>
      <w:r>
        <w:rPr>
          <w:b/>
          <w:bCs/>
          <w:iCs/>
        </w:rPr>
        <w:t>:</w:t>
      </w:r>
      <w:r>
        <w:rPr>
          <w:iCs/>
        </w:rPr>
        <w:t xml:space="preserve"> Use of different periodicity for beams within a burst based on UE activity will provide significant energy saving at the gNB.</w:t>
      </w:r>
    </w:p>
    <w:p>
      <w:pPr>
        <w:pStyle w:val="Normal"/>
        <w:bidi w:val="0"/>
        <w:spacing w:before="114" w:after="234"/>
        <w:jc w:val="start"/>
        <w:rPr/>
      </w:pPr>
      <w:r>
        <w:rPr>
          <w:rFonts w:eastAsia="Wingdings"/>
          <w:b/>
          <w:bCs/>
          <w:iCs/>
        </w:rPr>
        <w:t>Proposal 3:</w:t>
      </w:r>
      <w:r>
        <w:rPr>
          <w:rFonts w:eastAsia="Wingdings"/>
          <w:iCs/>
        </w:rPr>
        <w:t xml:space="preserve"> Adaptation of SSB periodicity at beam level is supported.</w:t>
      </w:r>
    </w:p>
    <w:p>
      <w:pPr>
        <w:pStyle w:val="Normal"/>
        <w:widowControl/>
        <w:suppressAutoHyphens w:val="true"/>
        <w:bidi w:val="0"/>
        <w:snapToGrid w:val="false"/>
        <w:spacing w:before="114" w:after="114"/>
        <w:jc w:val="both"/>
        <w:rPr/>
      </w:pPr>
      <w:r>
        <w:rPr>
          <w:rFonts w:eastAsia="Wingdings"/>
          <w:b/>
          <w:bCs/>
          <w:iCs/>
        </w:rPr>
        <w:t xml:space="preserve">Observation </w:t>
      </w:r>
      <w:r>
        <w:rPr>
          <w:rFonts w:eastAsia="Wingdings" w:cs="Times New Roman"/>
          <w:b/>
          <w:bCs/>
          <w:iCs/>
          <w:color w:val="00000A"/>
          <w:kern w:val="0"/>
          <w:sz w:val="22"/>
          <w:szCs w:val="22"/>
          <w:lang w:val="en-US" w:eastAsia="zh-CN" w:bidi="ar-SA"/>
        </w:rPr>
        <w:t>5</w:t>
      </w:r>
      <w:r>
        <w:rPr>
          <w:rFonts w:eastAsia="Wingdings"/>
          <w:b/>
          <w:bCs/>
          <w:iCs/>
        </w:rPr>
        <w:t xml:space="preserve">: </w:t>
      </w:r>
      <w:r>
        <w:rPr>
          <w:rFonts w:eastAsia="Wingdings"/>
          <w:iCs/>
        </w:rPr>
        <w:t>Scheduling of</w:t>
      </w:r>
      <w:r>
        <w:rPr>
          <w:rFonts w:eastAsia="Wingdings"/>
          <w:b/>
          <w:bCs/>
          <w:iCs/>
        </w:rPr>
        <w:t xml:space="preserve"> </w:t>
      </w:r>
      <w:r>
        <w:rPr>
          <w:iCs/>
        </w:rPr>
        <w:t xml:space="preserve">SIB1 using SSB will provide </w:t>
      </w:r>
      <w:r>
        <w:rPr>
          <w:rFonts w:eastAsia="SimSun;宋体" w:cs="Times New Roman"/>
          <w:iCs/>
          <w:color w:val="00000A"/>
          <w:sz w:val="22"/>
          <w:lang w:eastAsia="zh-CN"/>
        </w:rPr>
        <w:t xml:space="preserve">a net </w:t>
      </w:r>
      <w:r>
        <w:rPr>
          <w:iCs/>
        </w:rPr>
        <w:t xml:space="preserve">energy saving gain of </w:t>
      </w:r>
      <w:r>
        <w:rPr>
          <w:rFonts w:ascii="Times New Roman" w:hAnsi="Times New Roman"/>
          <w:b w:val="false"/>
          <w:i w:val="false"/>
          <w:iCs/>
          <w:strike w:val="false"/>
          <w:dstrike w:val="false"/>
          <w:outline w:val="false"/>
          <w:shadow w:val="false"/>
          <w:sz w:val="22"/>
          <w:u w:val="none"/>
          <w:em w:val="none"/>
        </w:rPr>
        <w:t>4.8</w:t>
      </w:r>
      <w:r>
        <w:rPr>
          <w:iCs/>
        </w:rPr>
        <w:t xml:space="preserve">%, </w:t>
      </w:r>
      <w:r>
        <w:rPr>
          <w:rFonts w:ascii="Times New Roman" w:hAnsi="Times New Roman"/>
          <w:b w:val="false"/>
          <w:i w:val="false"/>
          <w:iCs/>
          <w:strike w:val="false"/>
          <w:dstrike w:val="false"/>
          <w:outline w:val="false"/>
          <w:shadow w:val="false"/>
          <w:sz w:val="22"/>
          <w:u w:val="none"/>
          <w:em w:val="none"/>
        </w:rPr>
        <w:t>11.4%</w:t>
      </w:r>
      <w:r>
        <w:rPr>
          <w:rFonts w:ascii="Times New Roman" w:hAnsi="Times New Roman"/>
          <w:iCs/>
        </w:rPr>
        <w:t xml:space="preserve"> and 14.8%</w:t>
      </w:r>
      <w:r>
        <w:rPr>
          <w:iCs/>
        </w:rPr>
        <w:t xml:space="preserve"> for power offsets of 0 dB respectively when compared with scheduling of SIB1 using DCI 1_0 in case of no load.</w:t>
      </w:r>
    </w:p>
    <w:p>
      <w:pPr>
        <w:pStyle w:val="Normal"/>
        <w:widowControl/>
        <w:suppressAutoHyphens w:val="true"/>
        <w:bidi w:val="0"/>
        <w:snapToGrid w:val="false"/>
        <w:spacing w:before="114" w:after="114"/>
        <w:jc w:val="both"/>
        <w:rPr/>
      </w:pPr>
      <w:r>
        <w:rPr>
          <w:rFonts w:eastAsia="Wingdings"/>
          <w:b/>
          <w:bCs/>
          <w:iCs/>
        </w:rPr>
        <w:t xml:space="preserve">Observation </w:t>
      </w:r>
      <w:r>
        <w:rPr>
          <w:rFonts w:eastAsia="Wingdings" w:cs="Times New Roman"/>
          <w:b/>
          <w:bCs/>
          <w:iCs/>
          <w:color w:val="00000A"/>
          <w:kern w:val="0"/>
          <w:sz w:val="22"/>
          <w:szCs w:val="22"/>
          <w:lang w:val="en-US" w:eastAsia="zh-CN" w:bidi="ar-SA"/>
        </w:rPr>
        <w:t>6</w:t>
      </w:r>
      <w:r>
        <w:rPr>
          <w:rFonts w:eastAsia="Wingdings"/>
          <w:b/>
          <w:bCs/>
          <w:iCs/>
        </w:rPr>
        <w:t xml:space="preserve">: </w:t>
      </w:r>
      <w:r>
        <w:rPr>
          <w:rFonts w:eastAsia="Wingdings"/>
          <w:iCs/>
        </w:rPr>
        <w:t xml:space="preserve">In case of scheduling of SIB1 using SSB, the </w:t>
      </w:r>
      <w:r>
        <w:rPr>
          <w:rFonts w:eastAsia="Wingdings" w:cs="Times New Roman"/>
          <w:iCs/>
          <w:color w:val="00000A"/>
          <w:sz w:val="22"/>
          <w:lang w:eastAsia="zh-CN"/>
        </w:rPr>
        <w:t>increase in the size of SSB reduces the energy saving gains. when compared with keeping the size of SSB scheduling SIB1 as same as conventional SSB.</w:t>
      </w:r>
    </w:p>
    <w:p>
      <w:pPr>
        <w:pStyle w:val="Normal"/>
        <w:bidi w:val="0"/>
        <w:spacing w:before="114" w:after="114"/>
        <w:jc w:val="start"/>
        <w:rPr/>
      </w:pPr>
      <w:r>
        <w:rPr>
          <w:rFonts w:eastAsia="Wingdings"/>
          <w:b/>
          <w:bCs/>
          <w:iCs/>
        </w:rPr>
        <w:t>Proposal 4:</w:t>
      </w:r>
      <w:r>
        <w:rPr>
          <w:rFonts w:eastAsia="Wingdings"/>
          <w:iCs/>
        </w:rPr>
        <w:t xml:space="preserve"> Scheduling of SIB1 using SSB is supported.</w:t>
      </w:r>
    </w:p>
    <w:p>
      <w:pPr>
        <w:pStyle w:val="Normal"/>
        <w:widowControl/>
        <w:suppressAutoHyphens w:val="true"/>
        <w:bidi w:val="0"/>
        <w:snapToGrid w:val="false"/>
        <w:spacing w:before="114" w:after="114"/>
        <w:jc w:val="start"/>
        <w:rPr/>
      </w:pPr>
      <w:r>
        <w:rPr>
          <w:rFonts w:eastAsia="Wingdings"/>
          <w:b/>
          <w:bCs/>
          <w:iCs/>
        </w:rPr>
        <w:t xml:space="preserve">Proposal 5: </w:t>
      </w:r>
      <w:r>
        <w:rPr>
          <w:rFonts w:eastAsia="Wingdings"/>
          <w:iCs/>
        </w:rPr>
        <w:t>Study mechanisms to overcome increase in size of SSB, scheduling SIB1</w:t>
      </w:r>
    </w:p>
    <w:p>
      <w:pPr>
        <w:pStyle w:val="Standard"/>
        <w:shd w:val="clear" w:color="auto" w:fill="FFFFFF"/>
        <w:jc w:val="both"/>
        <w:rPr/>
      </w:pPr>
      <w:r>
        <w:rPr>
          <w:rFonts w:eastAsia="Malgun Gothic" w:cs="Times New Roman" w:ascii="Times New Roman" w:hAnsi="Times New Roman"/>
          <w:b/>
          <w:bCs/>
          <w:szCs w:val="22"/>
        </w:rPr>
        <w:t xml:space="preserve">Observation </w:t>
      </w:r>
      <w:r>
        <w:rPr>
          <w:rFonts w:eastAsia="Malgun Gothic" w:cs="Times New Roman" w:ascii="Times New Roman" w:hAnsi="Times New Roman"/>
          <w:b/>
          <w:bCs/>
          <w:color w:val="00000A"/>
          <w:kern w:val="0"/>
          <w:sz w:val="22"/>
          <w:szCs w:val="22"/>
          <w:lang w:val="en-IN" w:eastAsia="zh-CN" w:bidi="hi-IN"/>
        </w:rPr>
        <w:t>7</w:t>
      </w:r>
      <w:r>
        <w:rPr>
          <w:rFonts w:eastAsia="Malgun Gothic" w:cs="Times New Roman" w:ascii="Times New Roman" w:hAnsi="Times New Roman"/>
          <w:b/>
          <w:bCs/>
          <w:szCs w:val="22"/>
        </w:rPr>
        <w:t xml:space="preserve">: </w:t>
      </w:r>
      <w:r>
        <w:rPr>
          <w:rFonts w:eastAsia="Malgun Gothic" w:cs="Times New Roman" w:ascii="Times New Roman" w:hAnsi="Times New Roman"/>
          <w:szCs w:val="22"/>
        </w:rPr>
        <w:t>The adaptation of sleep states at gNB will have an impact on the legacy operations at UE.</w:t>
      </w:r>
    </w:p>
    <w:p>
      <w:pPr>
        <w:pStyle w:val="PreformattedText"/>
        <w:shd w:val="clear" w:color="auto" w:fill="FFFFFF"/>
        <w:bidi w:val="0"/>
        <w:jc w:val="both"/>
        <w:rPr/>
      </w:pPr>
      <w:r>
        <w:rPr>
          <w:rFonts w:eastAsia="Malgun Gothic"/>
          <w:b/>
          <w:bCs/>
          <w:iCs/>
        </w:rPr>
        <w:t>Proposal 6:</w:t>
      </w:r>
      <w:r>
        <w:rPr>
          <w:rFonts w:eastAsia="Malgun Gothic"/>
          <w:iCs/>
        </w:rPr>
        <w:t xml:space="preserve"> Signaling information about sleep state (e.g., type of sleep state, starting time and duration) to connected UE is supported.</w:t>
      </w:r>
    </w:p>
    <w:p>
      <w:pPr>
        <w:pStyle w:val="Normal"/>
        <w:bidi w:val="0"/>
        <w:jc w:val="start"/>
        <w:rPr/>
      </w:pPr>
      <w:r>
        <w:rPr>
          <w:b/>
          <w:bCs/>
        </w:rPr>
        <w:t xml:space="preserve">Observation </w:t>
      </w:r>
      <w:r>
        <w:rPr>
          <w:rFonts w:eastAsia="SimSun;宋体" w:cs="Times New Roman"/>
          <w:b/>
          <w:bCs/>
          <w:color w:val="00000A"/>
          <w:kern w:val="0"/>
          <w:sz w:val="22"/>
          <w:szCs w:val="22"/>
          <w:lang w:val="en-US" w:eastAsia="zh-CN" w:bidi="ar-SA"/>
        </w:rPr>
        <w:t>8</w:t>
      </w:r>
      <w:r>
        <w:rPr>
          <w:b/>
          <w:bCs/>
        </w:rPr>
        <w:t>:</w:t>
      </w:r>
      <w:r>
        <w:rPr/>
        <w:t xml:space="preserve"> Dynamic adaptation of bandwidth causes deactivation of certain frequency resources assigned to a UE that leads to conflicts, unnecessary transmissions and needless monitoring.</w:t>
      </w:r>
    </w:p>
    <w:p>
      <w:pPr>
        <w:pStyle w:val="Normal"/>
        <w:bidi w:val="0"/>
        <w:jc w:val="start"/>
        <w:rPr/>
      </w:pPr>
      <w:r>
        <w:rPr>
          <w:b/>
          <w:bCs/>
        </w:rPr>
        <w:t xml:space="preserve">Observation </w:t>
      </w:r>
      <w:r>
        <w:rPr>
          <w:rFonts w:eastAsia="SimSun;宋体" w:cs="Times New Roman"/>
          <w:b/>
          <w:bCs/>
          <w:color w:val="00000A"/>
          <w:kern w:val="0"/>
          <w:sz w:val="22"/>
          <w:szCs w:val="22"/>
          <w:lang w:val="en-US" w:eastAsia="zh-CN" w:bidi="ar-SA"/>
        </w:rPr>
        <w:t>9</w:t>
      </w:r>
      <w:r>
        <w:rPr>
          <w:b/>
          <w:bCs/>
        </w:rPr>
        <w:t>:</w:t>
      </w:r>
      <w:r>
        <w:rPr/>
        <w:t xml:space="preserve"> </w:t>
      </w:r>
      <w:r>
        <w:rPr>
          <w:rFonts w:eastAsia="SimSun" w:cs="FreeSans"/>
          <w:lang w:val="en-IN" w:bidi="hi-IN"/>
        </w:rPr>
        <w:t>Group-common signaling to a number of UEs to adapt the bandwidth of their corresponding active BWPs and continue operating in same BWPs reduces the latency and lowers the signaling overhead.</w:t>
      </w:r>
    </w:p>
    <w:p>
      <w:pPr>
        <w:pStyle w:val="Normal"/>
        <w:bidi w:val="0"/>
        <w:jc w:val="start"/>
        <w:rPr/>
      </w:pPr>
      <w:r>
        <w:rPr>
          <w:rFonts w:eastAsia="SimSun" w:cs="FreeSans"/>
          <w:b/>
          <w:bCs/>
          <w:lang w:val="en-IN" w:bidi="hi-IN"/>
        </w:rPr>
        <w:t xml:space="preserve">Observation </w:t>
      </w:r>
      <w:r>
        <w:rPr>
          <w:rFonts w:eastAsia="SimSun;宋体" w:cs="Times New Roman"/>
          <w:b/>
          <w:bCs/>
          <w:color w:val="00000A"/>
          <w:kern w:val="0"/>
          <w:sz w:val="22"/>
          <w:szCs w:val="22"/>
          <w:lang w:val="en-US" w:eastAsia="zh-CN" w:bidi="ar-SA"/>
        </w:rPr>
        <w:t xml:space="preserve">10: </w:t>
      </w:r>
      <w:r>
        <w:rPr>
          <w:rFonts w:eastAsia="SimSun;宋体" w:cs="Times New Roman"/>
          <w:b w:val="false"/>
          <w:bCs w:val="false"/>
          <w:color w:val="00000A"/>
          <w:kern w:val="0"/>
          <w:sz w:val="22"/>
          <w:szCs w:val="22"/>
          <w:lang w:val="en-US" w:eastAsia="zh-CN" w:bidi="ar-SA"/>
        </w:rPr>
        <w:t xml:space="preserve"> Dynamic adaptation of bandwidth at </w:t>
      </w:r>
      <w:r>
        <w:rPr>
          <w:rFonts w:eastAsia="SimSun;宋体" w:cs="Times New Roman"/>
          <w:b w:val="false"/>
          <w:bCs w:val="false"/>
          <w:color w:val="00000A"/>
          <w:kern w:val="0"/>
          <w:sz w:val="22"/>
          <w:szCs w:val="22"/>
          <w:lang w:val="en-US" w:eastAsia="zh-CN" w:bidi="ar-SA"/>
        </w:rPr>
        <w:t>gNB</w:t>
      </w:r>
      <w:r>
        <w:rPr>
          <w:rFonts w:eastAsia="SimSun;宋体" w:cs="Times New Roman"/>
          <w:b w:val="false"/>
          <w:bCs w:val="false"/>
          <w:color w:val="00000A"/>
          <w:kern w:val="0"/>
          <w:sz w:val="22"/>
          <w:szCs w:val="22"/>
          <w:lang w:val="en-US" w:eastAsia="zh-CN" w:bidi="ar-SA"/>
        </w:rPr>
        <w:t xml:space="preserve"> with g</w:t>
      </w:r>
      <w:r>
        <w:rPr>
          <w:rFonts w:eastAsia="SimSun" w:cs="FreeSans"/>
          <w:b w:val="false"/>
          <w:bCs w:val="false"/>
          <w:color w:val="00000A"/>
          <w:kern w:val="0"/>
          <w:sz w:val="22"/>
          <w:szCs w:val="22"/>
          <w:lang w:val="en-IN" w:eastAsia="zh-CN" w:bidi="hi-IN"/>
        </w:rPr>
        <w:t>roup-common signaling to adapt the bandwidth of active BWPs provides an energy saving gain of 1.75%.</w:t>
      </w:r>
    </w:p>
    <w:p>
      <w:pPr>
        <w:pStyle w:val="Normal"/>
        <w:bidi w:val="0"/>
        <w:jc w:val="start"/>
        <w:rPr/>
      </w:pPr>
      <w:r>
        <w:rPr>
          <w:b/>
          <w:bCs/>
        </w:rPr>
        <w:t xml:space="preserve">Proposal 7: </w:t>
      </w:r>
      <w:r>
        <w:rPr/>
        <w:t>gNB signaling information about dynamic adaptation of BW to the active UEs is supported</w:t>
      </w:r>
    </w:p>
    <w:p>
      <w:pPr>
        <w:pStyle w:val="ListParagraph"/>
        <w:numPr>
          <w:ilvl w:val="1"/>
          <w:numId w:val="5"/>
        </w:numPr>
        <w:shd w:val="clear" w:color="auto" w:fill="FFFFFF"/>
        <w:bidi w:val="0"/>
        <w:spacing w:before="114" w:after="114"/>
        <w:ind w:start="397" w:hanging="340"/>
        <w:jc w:val="start"/>
        <w:rPr>
          <w:rFonts w:eastAsia="Wingdings"/>
          <w:iCs/>
        </w:rPr>
      </w:pPr>
      <w:r>
        <w:rPr>
          <w:rFonts w:eastAsia="SimSun" w:cs="FreeSans"/>
          <w:iCs/>
          <w:lang w:val="en-IN" w:eastAsia="zh-CN" w:bidi="hi-IN"/>
        </w:rPr>
        <w:t>Adapting the bandwidth of active BWP of a UE based on signalling from gNB is supported.</w:t>
      </w:r>
    </w:p>
    <w:p>
      <w:pPr>
        <w:pStyle w:val="Normal"/>
        <w:bidi w:val="0"/>
        <w:jc w:val="start"/>
        <w:rPr/>
      </w:pPr>
      <w:r>
        <w:rPr>
          <w:b/>
          <w:bCs/>
          <w:iCs/>
        </w:rPr>
        <w:t>Proposal 8:</w:t>
      </w:r>
      <w:r>
        <w:rPr>
          <w:iCs/>
        </w:rPr>
        <w:t xml:space="preserve"> gNB dynamically adapting the logical ports for energy saving is supported.</w:t>
      </w:r>
    </w:p>
    <w:p>
      <w:pPr>
        <w:pStyle w:val="Normal"/>
        <w:bidi w:val="0"/>
        <w:jc w:val="start"/>
        <w:rPr/>
      </w:pPr>
      <w:r>
        <w:rPr>
          <w:b/>
          <w:bCs/>
          <w:iCs/>
        </w:rPr>
        <w:t>Proposal 9:</w:t>
      </w:r>
      <w:r>
        <w:rPr>
          <w:iCs/>
        </w:rPr>
        <w:t xml:space="preserve"> gNB dynamically signaling information about ports adaptation to the UE is supported.</w:t>
      </w:r>
    </w:p>
    <w:p>
      <w:pPr>
        <w:pStyle w:val="Normal"/>
        <w:numPr>
          <w:ilvl w:val="0"/>
          <w:numId w:val="7"/>
        </w:numPr>
        <w:bidi w:val="0"/>
        <w:jc w:val="start"/>
        <w:rPr/>
      </w:pPr>
      <w:r>
        <w:rPr>
          <w:iCs/>
        </w:rPr>
        <w:t>UE implicitly updating the CSI-RS resource configuration based on ports adaptation is supported.</w:t>
      </w:r>
    </w:p>
    <w:p>
      <w:pPr>
        <w:pStyle w:val="Normal"/>
        <w:bidi w:val="0"/>
        <w:jc w:val="start"/>
        <w:rPr/>
      </w:pPr>
      <w:r>
        <w:rPr>
          <w:rStyle w:val="Annotationreference"/>
          <w:rFonts w:eastAsia="Wingdings"/>
          <w:b/>
          <w:bCs/>
          <w:iCs/>
          <w:sz w:val="22"/>
          <w:szCs w:val="22"/>
        </w:rPr>
        <w:t>Proposal 10:</w:t>
      </w:r>
      <w:r>
        <w:rPr>
          <w:rStyle w:val="Annotationreference"/>
          <w:rFonts w:eastAsia="Wingdings"/>
          <w:iCs/>
          <w:sz w:val="22"/>
          <w:szCs w:val="22"/>
        </w:rPr>
        <w:t xml:space="preserve"> Dynamically adapting the DL transmission power at gNB in specific set of frequency and time resources utilizing assistance information from the UE is supported.</w:t>
      </w:r>
    </w:p>
    <w:p>
      <w:pPr>
        <w:pStyle w:val="Normal"/>
        <w:shd w:val="clear" w:color="auto" w:fill="FFFFFF"/>
        <w:bidi w:val="0"/>
        <w:ind w:hanging="0"/>
        <w:jc w:val="both"/>
        <w:rPr/>
      </w:pPr>
      <w:r>
        <w:rPr>
          <w:rStyle w:val="Annotationreference"/>
          <w:rFonts w:eastAsia="Wingdings"/>
          <w:b/>
          <w:bCs/>
          <w:iCs/>
          <w:sz w:val="22"/>
          <w:szCs w:val="22"/>
        </w:rPr>
        <w:t>Proposal 11:</w:t>
      </w:r>
      <w:r>
        <w:rPr>
          <w:rStyle w:val="Annotationreference"/>
          <w:rFonts w:eastAsia="Wingdings"/>
          <w:iCs/>
          <w:sz w:val="22"/>
          <w:szCs w:val="22"/>
        </w:rPr>
        <w:t xml:space="preserve"> Dynamically indicating about the DL transmission power adaptation at gNB to the UE is supported.</w:t>
      </w:r>
    </w:p>
    <w:p>
      <w:pPr>
        <w:pStyle w:val="ListParagraph"/>
        <w:shd w:val="clear" w:color="auto" w:fill="FFFFFF"/>
        <w:bidi w:val="0"/>
        <w:ind w:start="57" w:hanging="0"/>
        <w:jc w:val="start"/>
        <w:rPr>
          <w:rFonts w:eastAsia="Wingdings"/>
          <w:iCs/>
        </w:rPr>
      </w:pPr>
      <w:r>
        <w:rPr>
          <w:rFonts w:eastAsia="Wingdings"/>
          <w:iCs/>
        </w:rPr>
      </w:r>
    </w:p>
    <w:p>
      <w:pPr>
        <w:pStyle w:val="Heading1"/>
        <w:numPr>
          <w:ilvl w:val="0"/>
          <w:numId w:val="6"/>
        </w:numPr>
        <w:bidi w:val="0"/>
        <w:jc w:val="start"/>
        <w:rPr/>
      </w:pPr>
      <w:bookmarkStart w:id="5" w:name="_Ref124671424"/>
      <w:bookmarkStart w:id="6" w:name="_Ref124589665"/>
      <w:bookmarkStart w:id="7" w:name="_Ref71620620"/>
      <w:bookmarkEnd w:id="5"/>
      <w:bookmarkEnd w:id="6"/>
      <w:bookmarkEnd w:id="7"/>
      <w:r>
        <w:rPr>
          <w:rFonts w:eastAsia="Wingdings"/>
          <w:sz w:val="22"/>
          <w:szCs w:val="22"/>
        </w:rPr>
        <w:t>References</w:t>
      </w:r>
    </w:p>
    <w:p>
      <w:pPr>
        <w:pStyle w:val="References"/>
        <w:numPr>
          <w:ilvl w:val="0"/>
          <w:numId w:val="9"/>
        </w:numPr>
        <w:bidi w:val="0"/>
        <w:jc w:val="start"/>
        <w:rPr/>
      </w:pPr>
      <w:bookmarkStart w:id="8" w:name="_Ref446582201"/>
      <w:bookmarkStart w:id="9" w:name="_Ref485833320"/>
      <w:bookmarkStart w:id="10" w:name="_Ref1246714241"/>
      <w:bookmarkStart w:id="11" w:name="_Ref1245896651"/>
      <w:bookmarkStart w:id="12" w:name="_Ref716206201"/>
      <w:bookmarkEnd w:id="10"/>
      <w:bookmarkEnd w:id="11"/>
      <w:bookmarkEnd w:id="12"/>
      <w:r>
        <w:rPr>
          <w:rFonts w:eastAsia="Wingdings"/>
          <w:sz w:val="22"/>
          <w:szCs w:val="22"/>
          <w:lang w:eastAsia="ko-KR"/>
        </w:rPr>
        <w:t xml:space="preserve">RP-213554, </w:t>
      </w:r>
      <w:bookmarkEnd w:id="2"/>
      <w:bookmarkEnd w:id="8"/>
      <w:bookmarkEnd w:id="9"/>
      <w:r>
        <w:rPr>
          <w:bCs/>
          <w:sz w:val="22"/>
          <w:szCs w:val="22"/>
          <w:lang w:val="en-GB"/>
        </w:rPr>
        <w:t>New SI: Study on network energy savings for NR, RAN#94-e, Dec. 2021</w:t>
      </w:r>
    </w:p>
    <w:p>
      <w:pPr>
        <w:pStyle w:val="References"/>
        <w:numPr>
          <w:ilvl w:val="0"/>
          <w:numId w:val="9"/>
        </w:numPr>
        <w:bidi w:val="0"/>
        <w:jc w:val="start"/>
        <w:rPr/>
      </w:pPr>
      <w:r>
        <w:rPr>
          <w:sz w:val="22"/>
          <w:szCs w:val="22"/>
        </w:rPr>
        <w:t>“</w:t>
      </w:r>
      <w:r>
        <w:rPr>
          <w:sz w:val="22"/>
          <w:szCs w:val="22"/>
        </w:rPr>
        <w:t>Chairman’s notes RAN1 #109-e”, 9</w:t>
      </w:r>
      <w:r>
        <w:rPr>
          <w:sz w:val="22"/>
          <w:szCs w:val="22"/>
          <w:vertAlign w:val="superscript"/>
        </w:rPr>
        <w:t>th</w:t>
      </w:r>
      <w:r>
        <w:rPr>
          <w:sz w:val="22"/>
          <w:szCs w:val="22"/>
        </w:rPr>
        <w:t xml:space="preserve"> – 20</w:t>
      </w:r>
      <w:r>
        <w:rPr>
          <w:sz w:val="22"/>
          <w:szCs w:val="22"/>
          <w:vertAlign w:val="superscript"/>
        </w:rPr>
        <w:t>th</w:t>
      </w:r>
      <w:r>
        <w:rPr>
          <w:sz w:val="22"/>
          <w:szCs w:val="22"/>
        </w:rPr>
        <w:t xml:space="preserve"> May 2022.</w:t>
      </w:r>
    </w:p>
    <w:p>
      <w:pPr>
        <w:pStyle w:val="References"/>
        <w:numPr>
          <w:ilvl w:val="0"/>
          <w:numId w:val="9"/>
        </w:numPr>
        <w:bidi w:val="0"/>
        <w:spacing w:before="0" w:after="60"/>
        <w:jc w:val="start"/>
        <w:rPr/>
      </w:pPr>
      <w:r>
        <w:rPr>
          <w:sz w:val="22"/>
          <w:szCs w:val="22"/>
        </w:rPr>
        <w:t>“</w:t>
      </w:r>
      <w:r>
        <w:rPr>
          <w:sz w:val="22"/>
          <w:szCs w:val="22"/>
        </w:rPr>
        <w:t xml:space="preserve">Chairman’s notes RAN1 #110-bis-e”, </w:t>
      </w:r>
      <w:r>
        <w:rPr>
          <w:rFonts w:eastAsia="SimSun;宋体" w:cs="Times New Roman"/>
          <w:color w:val="00000A"/>
          <w:sz w:val="22"/>
          <w:szCs w:val="22"/>
          <w:lang w:eastAsia="zh-CN"/>
        </w:rPr>
        <w:t>10</w:t>
      </w:r>
      <w:r>
        <w:rPr>
          <w:rFonts w:eastAsia="SimSun;宋体" w:cs="Times New Roman"/>
          <w:color w:val="00000A"/>
          <w:sz w:val="22"/>
          <w:szCs w:val="22"/>
          <w:vertAlign w:val="superscript"/>
          <w:lang w:eastAsia="zh-CN"/>
        </w:rPr>
        <w:t>th</w:t>
      </w:r>
      <w:r>
        <w:rPr>
          <w:rFonts w:eastAsia="SimSun;宋体" w:cs="Times New Roman"/>
          <w:color w:val="00000A"/>
          <w:sz w:val="22"/>
          <w:szCs w:val="22"/>
          <w:lang w:eastAsia="zh-CN"/>
        </w:rPr>
        <w:t xml:space="preserve"> – 19</w:t>
      </w:r>
      <w:r>
        <w:rPr>
          <w:rFonts w:eastAsia="SimSun;宋体" w:cs="Times New Roman"/>
          <w:color w:val="00000A"/>
          <w:sz w:val="22"/>
          <w:szCs w:val="22"/>
          <w:vertAlign w:val="superscript"/>
          <w:lang w:eastAsia="zh-CN"/>
        </w:rPr>
        <w:t>th</w:t>
      </w:r>
      <w:r>
        <w:rPr>
          <w:sz w:val="22"/>
          <w:szCs w:val="22"/>
        </w:rPr>
        <w:t xml:space="preserve"> </w:t>
      </w:r>
      <w:r>
        <w:rPr>
          <w:rFonts w:eastAsia="SimSun;宋体" w:cs="Times New Roman"/>
          <w:color w:val="00000A"/>
          <w:sz w:val="22"/>
          <w:szCs w:val="22"/>
          <w:lang w:eastAsia="zh-CN"/>
        </w:rPr>
        <w:t>October</w:t>
      </w:r>
      <w:r>
        <w:rPr>
          <w:sz w:val="22"/>
          <w:szCs w:val="22"/>
        </w:rPr>
        <w:t xml:space="preserve"> 2022.</w:t>
      </w:r>
    </w:p>
    <w:p>
      <w:pPr>
        <w:pStyle w:val="References"/>
        <w:bidi w:val="0"/>
        <w:spacing w:before="0" w:after="60"/>
        <w:jc w:val="start"/>
        <w:rPr>
          <w:sz w:val="22"/>
          <w:szCs w:val="22"/>
        </w:rPr>
      </w:pPr>
      <w:r>
        <w:rPr>
          <w:sz w:val="22"/>
          <w:szCs w:val="22"/>
        </w:rPr>
      </w:r>
    </w:p>
    <w:p>
      <w:pPr>
        <w:pStyle w:val="Standard"/>
        <w:spacing w:before="0" w:after="60"/>
        <w:jc w:val="both"/>
        <w:rPr/>
      </w:pPr>
      <w:r>
        <w:rPr>
          <w:sz w:val="22"/>
          <w:szCs w:val="22"/>
        </w:rPr>
        <w:t xml:space="preserve"> </w:t>
      </w:r>
      <w:r>
        <w:rPr>
          <w:b/>
          <w:bCs/>
          <w:sz w:val="22"/>
          <w:szCs w:val="22"/>
        </w:rPr>
        <w:t>Appendix A</w:t>
      </w:r>
    </w:p>
    <w:p>
      <w:pPr>
        <w:pStyle w:val="Standard"/>
        <w:spacing w:before="0" w:after="60"/>
        <w:jc w:val="both"/>
        <w:rPr/>
      </w:pPr>
      <w:r>
        <w:rPr/>
      </w:r>
    </w:p>
    <w:p>
      <w:pPr>
        <w:pStyle w:val="Normal"/>
        <w:bidi w:val="0"/>
        <w:spacing w:lineRule="auto" w:line="276" w:before="120" w:after="0"/>
        <w:jc w:val="center"/>
        <w:rPr>
          <w:rFonts w:eastAsia="宋体"/>
          <w:lang w:eastAsia="zh-CN"/>
        </w:rPr>
      </w:pPr>
      <w:r>
        <w:rPr>
          <w:rFonts w:eastAsia="宋体"/>
          <w:lang w:eastAsia="zh-CN"/>
        </w:rPr>
        <w:t xml:space="preserve">Table </w:t>
      </w:r>
      <w:r>
        <w:rPr>
          <w:rFonts w:eastAsia="宋体" w:cs="Times New Roman" w:ascii="Times New Roman" w:hAnsi="Times New Roman"/>
          <w:color w:val="00000A"/>
          <w:kern w:val="0"/>
          <w:sz w:val="22"/>
          <w:szCs w:val="22"/>
          <w:lang w:val="en-US" w:eastAsia="zh-CN" w:bidi="ar-SA"/>
        </w:rPr>
        <w:t>4</w:t>
      </w:r>
      <w:r>
        <w:rPr>
          <w:rFonts w:eastAsia="宋体"/>
          <w:lang w:eastAsia="zh-CN"/>
        </w:rPr>
        <w:t>. BS power consumption model</w:t>
      </w:r>
    </w:p>
    <w:tbl>
      <w:tblPr>
        <w:tblStyle w:val="13"/>
        <w:tblW w:w="7568" w:type="dxa"/>
        <w:jc w:val="center"/>
        <w:tblInd w:w="0" w:type="dxa"/>
        <w:tblCellMar>
          <w:top w:w="0" w:type="dxa"/>
          <w:start w:w="108" w:type="dxa"/>
          <w:bottom w:w="0" w:type="dxa"/>
          <w:end w:w="108" w:type="dxa"/>
        </w:tblCellMar>
        <w:tblLook w:val="04a0" w:noHBand="0" w:noVBand="1" w:firstColumn="1" w:lastRow="0" w:lastColumn="0" w:firstRow="1"/>
      </w:tblPr>
      <w:tblGrid>
        <w:gridCol w:w="1132"/>
        <w:gridCol w:w="503"/>
        <w:gridCol w:w="988"/>
        <w:gridCol w:w="991"/>
        <w:gridCol w:w="991"/>
        <w:gridCol w:w="988"/>
        <w:gridCol w:w="988"/>
        <w:gridCol w:w="986"/>
      </w:tblGrid>
      <w:tr>
        <w:trPr>
          <w:trHeight w:val="311" w:hRule="atLeast"/>
        </w:trPr>
        <w:tc>
          <w:tcPr>
            <w:tcW w:w="1132" w:type="dxa"/>
            <w:vMerge w:val="restart"/>
            <w:tcBorders/>
            <w:vAlign w:val="center"/>
          </w:tcPr>
          <w:p>
            <w:pPr>
              <w:pStyle w:val="Normal"/>
              <w:bidi w:val="0"/>
              <w:jc w:val="center"/>
              <w:rPr>
                <w:szCs w:val="20"/>
              </w:rPr>
            </w:pPr>
            <w:r>
              <w:rPr>
                <w:rFonts w:eastAsia="Malgun Gothic"/>
                <w:b/>
                <w:bCs/>
                <w:kern w:val="2"/>
                <w:szCs w:val="20"/>
              </w:rPr>
              <w:t>Power state</w:t>
            </w:r>
          </w:p>
        </w:tc>
        <w:tc>
          <w:tcPr>
            <w:tcW w:w="503" w:type="dxa"/>
            <w:vMerge w:val="restart"/>
            <w:tcBorders/>
            <w:vAlign w:val="center"/>
          </w:tcPr>
          <w:p>
            <w:pPr>
              <w:pStyle w:val="Normal"/>
              <w:bidi w:val="0"/>
              <w:jc w:val="center"/>
              <w:rPr>
                <w:rFonts w:eastAsia="Malgun Gothic"/>
                <w:b/>
                <w:b/>
                <w:bCs/>
                <w:kern w:val="2"/>
                <w:szCs w:val="20"/>
              </w:rPr>
            </w:pPr>
            <w:r>
              <w:rPr>
                <w:rFonts w:eastAsia="Malgun Gothic"/>
                <w:b/>
                <w:bCs/>
                <w:kern w:val="2"/>
                <w:szCs w:val="20"/>
              </w:rPr>
            </w:r>
          </w:p>
        </w:tc>
        <w:tc>
          <w:tcPr>
            <w:tcW w:w="2970" w:type="dxa"/>
            <w:gridSpan w:val="3"/>
            <w:tcBorders/>
            <w:vAlign w:val="center"/>
          </w:tcPr>
          <w:p>
            <w:pPr>
              <w:pStyle w:val="Normal"/>
              <w:bidi w:val="0"/>
              <w:jc w:val="center"/>
              <w:rPr>
                <w:rFonts w:eastAsia="Malgun Gothic"/>
                <w:b/>
                <w:b/>
                <w:bCs/>
                <w:kern w:val="2"/>
                <w:szCs w:val="20"/>
              </w:rPr>
            </w:pPr>
            <w:r>
              <w:rPr>
                <w:rFonts w:eastAsia="Malgun Gothic"/>
                <w:b/>
                <w:bCs/>
                <w:kern w:val="2"/>
                <w:szCs w:val="20"/>
              </w:rPr>
              <w:t xml:space="preserve">Relative Power </w:t>
            </w:r>
            <w:r>
              <w:rPr>
                <w:rFonts w:eastAsia="Malgun Gothic"/>
                <w:b/>
                <w:bCs/>
                <w:i/>
                <w:kern w:val="2"/>
                <w:szCs w:val="20"/>
              </w:rPr>
              <w:t>P</w:t>
            </w:r>
            <w:r>
              <w:rPr>
                <w:rFonts w:eastAsia="Malgun Gothic"/>
                <w:b/>
                <w:bCs/>
                <w:kern w:val="2"/>
                <w:szCs w:val="20"/>
              </w:rPr>
              <w:t xml:space="preserve"> for Category 1</w:t>
            </w:r>
          </w:p>
        </w:tc>
        <w:tc>
          <w:tcPr>
            <w:tcW w:w="2962" w:type="dxa"/>
            <w:gridSpan w:val="3"/>
            <w:tcBorders/>
            <w:vAlign w:val="center"/>
          </w:tcPr>
          <w:p>
            <w:pPr>
              <w:pStyle w:val="Normal"/>
              <w:bidi w:val="0"/>
              <w:jc w:val="center"/>
              <w:rPr>
                <w:rFonts w:eastAsia="Malgun Gothic"/>
                <w:b/>
                <w:b/>
                <w:bCs/>
                <w:kern w:val="2"/>
                <w:szCs w:val="20"/>
              </w:rPr>
            </w:pPr>
            <w:r>
              <w:rPr>
                <w:rFonts w:eastAsia="Malgun Gothic"/>
                <w:b/>
                <w:bCs/>
                <w:kern w:val="2"/>
                <w:szCs w:val="20"/>
              </w:rPr>
              <w:t xml:space="preserve">Relative Power </w:t>
            </w:r>
            <w:r>
              <w:rPr>
                <w:rFonts w:eastAsia="Malgun Gothic"/>
                <w:b/>
                <w:bCs/>
                <w:i/>
                <w:kern w:val="2"/>
                <w:szCs w:val="20"/>
              </w:rPr>
              <w:t xml:space="preserve">P </w:t>
            </w:r>
            <w:r>
              <w:rPr>
                <w:rFonts w:eastAsia="Malgun Gothic"/>
                <w:b/>
                <w:bCs/>
                <w:kern w:val="2"/>
                <w:szCs w:val="20"/>
              </w:rPr>
              <w:t>for Category 2</w:t>
            </w:r>
          </w:p>
        </w:tc>
      </w:tr>
      <w:tr>
        <w:trPr>
          <w:trHeight w:val="331" w:hRule="atLeast"/>
        </w:trPr>
        <w:tc>
          <w:tcPr>
            <w:tcW w:w="1132" w:type="dxa"/>
            <w:vMerge w:val="continue"/>
            <w:tcBorders/>
            <w:vAlign w:val="center"/>
          </w:tcPr>
          <w:p>
            <w:pPr>
              <w:pStyle w:val="Normal"/>
              <w:bidi w:val="0"/>
              <w:jc w:val="center"/>
              <w:rPr>
                <w:szCs w:val="20"/>
              </w:rPr>
            </w:pPr>
            <w:r>
              <w:rPr>
                <w:szCs w:val="20"/>
              </w:rPr>
            </w:r>
          </w:p>
        </w:tc>
        <w:tc>
          <w:tcPr>
            <w:tcW w:w="503" w:type="dxa"/>
            <w:vMerge w:val="continue"/>
            <w:tcBorders/>
            <w:vAlign w:val="center"/>
          </w:tcPr>
          <w:p>
            <w:pPr>
              <w:pStyle w:val="Normal"/>
              <w:bidi w:val="0"/>
              <w:jc w:val="center"/>
              <w:rPr>
                <w:b/>
                <w:b/>
                <w:szCs w:val="20"/>
              </w:rPr>
            </w:pPr>
            <w:r>
              <w:rPr>
                <w:b/>
                <w:szCs w:val="20"/>
              </w:rPr>
            </w:r>
          </w:p>
        </w:tc>
        <w:tc>
          <w:tcPr>
            <w:tcW w:w="988" w:type="dxa"/>
            <w:tcBorders/>
            <w:vAlign w:val="center"/>
          </w:tcPr>
          <w:p>
            <w:pPr>
              <w:pStyle w:val="Normal"/>
              <w:bidi w:val="0"/>
              <w:jc w:val="center"/>
              <w:rPr>
                <w:b/>
                <w:b/>
                <w:szCs w:val="20"/>
              </w:rPr>
            </w:pPr>
            <w:r>
              <w:rPr>
                <w:b/>
                <w:szCs w:val="20"/>
              </w:rPr>
              <w:t>Set 1</w:t>
            </w:r>
          </w:p>
        </w:tc>
        <w:tc>
          <w:tcPr>
            <w:tcW w:w="991" w:type="dxa"/>
            <w:tcBorders/>
            <w:vAlign w:val="center"/>
          </w:tcPr>
          <w:p>
            <w:pPr>
              <w:pStyle w:val="Normal"/>
              <w:bidi w:val="0"/>
              <w:jc w:val="center"/>
              <w:rPr>
                <w:b/>
                <w:b/>
                <w:szCs w:val="20"/>
              </w:rPr>
            </w:pPr>
            <w:r>
              <w:rPr>
                <w:b/>
                <w:szCs w:val="20"/>
              </w:rPr>
              <w:t>Set 2</w:t>
            </w:r>
          </w:p>
        </w:tc>
        <w:tc>
          <w:tcPr>
            <w:tcW w:w="991" w:type="dxa"/>
            <w:tcBorders/>
            <w:vAlign w:val="center"/>
          </w:tcPr>
          <w:p>
            <w:pPr>
              <w:pStyle w:val="Normal"/>
              <w:bidi w:val="0"/>
              <w:jc w:val="center"/>
              <w:rPr>
                <w:b/>
                <w:b/>
                <w:szCs w:val="20"/>
              </w:rPr>
            </w:pPr>
            <w:r>
              <w:rPr>
                <w:b/>
                <w:szCs w:val="20"/>
              </w:rPr>
              <w:t>Set 3</w:t>
            </w:r>
          </w:p>
        </w:tc>
        <w:tc>
          <w:tcPr>
            <w:tcW w:w="988" w:type="dxa"/>
            <w:tcBorders/>
            <w:vAlign w:val="center"/>
          </w:tcPr>
          <w:p>
            <w:pPr>
              <w:pStyle w:val="Normal"/>
              <w:bidi w:val="0"/>
              <w:jc w:val="center"/>
              <w:rPr>
                <w:b/>
                <w:b/>
                <w:szCs w:val="20"/>
              </w:rPr>
            </w:pPr>
            <w:r>
              <w:rPr>
                <w:b/>
                <w:szCs w:val="20"/>
              </w:rPr>
              <w:t>Set 1</w:t>
            </w:r>
          </w:p>
        </w:tc>
        <w:tc>
          <w:tcPr>
            <w:tcW w:w="988" w:type="dxa"/>
            <w:tcBorders/>
            <w:vAlign w:val="center"/>
          </w:tcPr>
          <w:p>
            <w:pPr>
              <w:pStyle w:val="Normal"/>
              <w:bidi w:val="0"/>
              <w:jc w:val="center"/>
              <w:rPr>
                <w:b/>
                <w:b/>
                <w:szCs w:val="20"/>
              </w:rPr>
            </w:pPr>
            <w:r>
              <w:rPr>
                <w:b/>
                <w:szCs w:val="20"/>
              </w:rPr>
              <w:t>Set 2</w:t>
            </w:r>
          </w:p>
        </w:tc>
        <w:tc>
          <w:tcPr>
            <w:tcW w:w="986" w:type="dxa"/>
            <w:tcBorders/>
            <w:vAlign w:val="center"/>
          </w:tcPr>
          <w:p>
            <w:pPr>
              <w:pStyle w:val="Normal"/>
              <w:bidi w:val="0"/>
              <w:jc w:val="center"/>
              <w:rPr>
                <w:b/>
                <w:b/>
                <w:szCs w:val="20"/>
              </w:rPr>
            </w:pPr>
            <w:r>
              <w:rPr>
                <w:b/>
                <w:szCs w:val="20"/>
              </w:rPr>
              <w:t>Set 3</w:t>
            </w:r>
          </w:p>
        </w:tc>
      </w:tr>
      <w:tr>
        <w:trPr>
          <w:trHeight w:val="299" w:hRule="atLeast"/>
        </w:trPr>
        <w:tc>
          <w:tcPr>
            <w:tcW w:w="1132" w:type="dxa"/>
            <w:tcBorders/>
            <w:vAlign w:val="center"/>
          </w:tcPr>
          <w:p>
            <w:pPr>
              <w:pStyle w:val="Normal"/>
              <w:bidi w:val="0"/>
              <w:jc w:val="center"/>
              <w:rPr>
                <w:szCs w:val="20"/>
              </w:rPr>
            </w:pPr>
            <w:r>
              <w:rPr>
                <w:szCs w:val="20"/>
              </w:rPr>
              <w:t>Deep sleep</w:t>
            </w:r>
          </w:p>
        </w:tc>
        <w:tc>
          <w:tcPr>
            <w:tcW w:w="503" w:type="dxa"/>
            <w:tcBorders/>
            <w:vAlign w:val="center"/>
          </w:tcPr>
          <w:p>
            <w:pPr>
              <w:pStyle w:val="Normal"/>
              <w:bidi w:val="0"/>
              <w:jc w:val="center"/>
              <w:rPr>
                <w:rFonts w:eastAsia="" w:eastAsiaTheme="minorEastAsia"/>
                <w:color w:val="000000" w:themeColor="text1"/>
                <w:szCs w:val="20"/>
                <w:lang w:eastAsia="zh-CN"/>
              </w:rPr>
            </w:pPr>
            <w:r>
              <w:rPr>
                <w:rFonts w:eastAsia="" w:eastAsiaTheme="minorEastAsia"/>
                <w:color w:val="000000" w:themeColor="text1"/>
                <w:szCs w:val="20"/>
                <w:lang w:eastAsia="zh-CN"/>
              </w:rPr>
              <w:t>P1</w:t>
            </w:r>
          </w:p>
        </w:tc>
        <w:tc>
          <w:tcPr>
            <w:tcW w:w="988" w:type="dxa"/>
            <w:tcBorders/>
            <w:vAlign w:val="center"/>
          </w:tcPr>
          <w:p>
            <w:pPr>
              <w:pStyle w:val="Normal"/>
              <w:bidi w:val="0"/>
              <w:jc w:val="center"/>
              <w:rPr>
                <w:color w:val="000000" w:themeColor="text1"/>
                <w:szCs w:val="20"/>
              </w:rPr>
            </w:pPr>
            <w:r>
              <w:rPr>
                <w:color w:val="000000" w:themeColor="text1"/>
                <w:szCs w:val="20"/>
              </w:rPr>
              <w:t>1</w:t>
            </w:r>
          </w:p>
        </w:tc>
        <w:tc>
          <w:tcPr>
            <w:tcW w:w="991" w:type="dxa"/>
            <w:tcBorders/>
            <w:vAlign w:val="center"/>
          </w:tcPr>
          <w:p>
            <w:pPr>
              <w:pStyle w:val="Normal"/>
              <w:bidi w:val="0"/>
              <w:jc w:val="center"/>
              <w:rPr>
                <w:color w:val="000000" w:themeColor="text1"/>
                <w:szCs w:val="20"/>
              </w:rPr>
            </w:pPr>
            <w:r>
              <w:rPr>
                <w:color w:val="000000" w:themeColor="text1"/>
                <w:szCs w:val="20"/>
              </w:rPr>
              <w:t>1</w:t>
            </w:r>
          </w:p>
        </w:tc>
        <w:tc>
          <w:tcPr>
            <w:tcW w:w="991" w:type="dxa"/>
            <w:tcBorders/>
            <w:vAlign w:val="center"/>
          </w:tcPr>
          <w:p>
            <w:pPr>
              <w:pStyle w:val="Normal"/>
              <w:bidi w:val="0"/>
              <w:jc w:val="center"/>
              <w:rPr>
                <w:color w:val="000000" w:themeColor="text1"/>
                <w:szCs w:val="20"/>
              </w:rPr>
            </w:pPr>
            <w:r>
              <w:rPr>
                <w:color w:val="000000" w:themeColor="text1"/>
                <w:szCs w:val="20"/>
              </w:rPr>
              <w:t>1</w:t>
            </w:r>
          </w:p>
        </w:tc>
        <w:tc>
          <w:tcPr>
            <w:tcW w:w="988" w:type="dxa"/>
            <w:tcBorders/>
            <w:vAlign w:val="center"/>
          </w:tcPr>
          <w:p>
            <w:pPr>
              <w:pStyle w:val="Normal"/>
              <w:bidi w:val="0"/>
              <w:jc w:val="center"/>
              <w:rPr>
                <w:color w:val="000000" w:themeColor="text1"/>
                <w:szCs w:val="20"/>
              </w:rPr>
            </w:pPr>
            <w:r>
              <w:rPr>
                <w:color w:val="000000" w:themeColor="text1"/>
                <w:szCs w:val="20"/>
              </w:rPr>
              <w:t>1</w:t>
            </w:r>
          </w:p>
        </w:tc>
        <w:tc>
          <w:tcPr>
            <w:tcW w:w="988" w:type="dxa"/>
            <w:tcBorders/>
            <w:vAlign w:val="center"/>
          </w:tcPr>
          <w:p>
            <w:pPr>
              <w:pStyle w:val="Normal"/>
              <w:bidi w:val="0"/>
              <w:jc w:val="center"/>
              <w:rPr>
                <w:color w:val="000000" w:themeColor="text1"/>
                <w:szCs w:val="20"/>
              </w:rPr>
            </w:pPr>
            <w:r>
              <w:rPr>
                <w:color w:val="000000" w:themeColor="text1"/>
                <w:szCs w:val="20"/>
              </w:rPr>
              <w:t>1</w:t>
            </w:r>
          </w:p>
        </w:tc>
        <w:tc>
          <w:tcPr>
            <w:tcW w:w="986" w:type="dxa"/>
            <w:tcBorders/>
            <w:vAlign w:val="center"/>
          </w:tcPr>
          <w:p>
            <w:pPr>
              <w:pStyle w:val="Normal"/>
              <w:bidi w:val="0"/>
              <w:jc w:val="center"/>
              <w:rPr>
                <w:color w:val="000000" w:themeColor="text1"/>
                <w:szCs w:val="20"/>
              </w:rPr>
            </w:pPr>
            <w:r>
              <w:rPr>
                <w:color w:val="000000" w:themeColor="text1"/>
                <w:szCs w:val="20"/>
              </w:rPr>
              <w:t>1</w:t>
            </w:r>
          </w:p>
        </w:tc>
      </w:tr>
      <w:tr>
        <w:trPr>
          <w:trHeight w:val="289" w:hRule="atLeast"/>
        </w:trPr>
        <w:tc>
          <w:tcPr>
            <w:tcW w:w="1132" w:type="dxa"/>
            <w:tcBorders/>
            <w:vAlign w:val="center"/>
          </w:tcPr>
          <w:p>
            <w:pPr>
              <w:pStyle w:val="Normal"/>
              <w:bidi w:val="0"/>
              <w:jc w:val="center"/>
              <w:rPr>
                <w:szCs w:val="20"/>
              </w:rPr>
            </w:pPr>
            <w:r>
              <w:rPr>
                <w:szCs w:val="20"/>
              </w:rPr>
              <w:t>Light sleep</w:t>
            </w:r>
          </w:p>
        </w:tc>
        <w:tc>
          <w:tcPr>
            <w:tcW w:w="503" w:type="dxa"/>
            <w:tcBorders/>
            <w:vAlign w:val="center"/>
          </w:tcPr>
          <w:p>
            <w:pPr>
              <w:pStyle w:val="Normal"/>
              <w:bidi w:val="0"/>
              <w:jc w:val="center"/>
              <w:rPr>
                <w:color w:val="000000" w:themeColor="text1"/>
                <w:szCs w:val="20"/>
              </w:rPr>
            </w:pPr>
            <w:r>
              <w:rPr>
                <w:rFonts w:eastAsia="" w:eastAsiaTheme="minorEastAsia"/>
                <w:color w:val="000000" w:themeColor="text1"/>
                <w:szCs w:val="20"/>
                <w:lang w:eastAsia="zh-CN"/>
              </w:rPr>
              <w:t>P2</w:t>
            </w:r>
          </w:p>
        </w:tc>
        <w:tc>
          <w:tcPr>
            <w:tcW w:w="988" w:type="dxa"/>
            <w:tcBorders/>
            <w:vAlign w:val="center"/>
          </w:tcPr>
          <w:p>
            <w:pPr>
              <w:pStyle w:val="Normal"/>
              <w:bidi w:val="0"/>
              <w:jc w:val="center"/>
              <w:rPr>
                <w:color w:val="000000" w:themeColor="text1"/>
                <w:szCs w:val="20"/>
              </w:rPr>
            </w:pPr>
            <w:r>
              <w:rPr>
                <w:color w:val="000000" w:themeColor="text1"/>
                <w:szCs w:val="20"/>
              </w:rPr>
              <w:t>25</w:t>
            </w:r>
          </w:p>
        </w:tc>
        <w:tc>
          <w:tcPr>
            <w:tcW w:w="991" w:type="dxa"/>
            <w:tcBorders/>
            <w:vAlign w:val="center"/>
          </w:tcPr>
          <w:p>
            <w:pPr>
              <w:pStyle w:val="Normal"/>
              <w:bidi w:val="0"/>
              <w:jc w:val="center"/>
              <w:rPr>
                <w:color w:val="000000" w:themeColor="text1"/>
                <w:szCs w:val="20"/>
              </w:rPr>
            </w:pPr>
            <w:r>
              <w:rPr>
                <w:color w:val="000000" w:themeColor="text1"/>
                <w:szCs w:val="20"/>
              </w:rPr>
              <w:t>25</w:t>
            </w:r>
          </w:p>
        </w:tc>
        <w:tc>
          <w:tcPr>
            <w:tcW w:w="991" w:type="dxa"/>
            <w:tcBorders/>
            <w:vAlign w:val="center"/>
          </w:tcPr>
          <w:p>
            <w:pPr>
              <w:pStyle w:val="Normal"/>
              <w:bidi w:val="0"/>
              <w:jc w:val="center"/>
              <w:rPr>
                <w:color w:val="000000" w:themeColor="text1"/>
                <w:szCs w:val="20"/>
              </w:rPr>
            </w:pPr>
            <w:r>
              <w:rPr>
                <w:color w:val="000000" w:themeColor="text1"/>
                <w:szCs w:val="20"/>
              </w:rPr>
              <w:t>25</w:t>
            </w:r>
          </w:p>
        </w:tc>
        <w:tc>
          <w:tcPr>
            <w:tcW w:w="988" w:type="dxa"/>
            <w:tcBorders/>
            <w:vAlign w:val="center"/>
          </w:tcPr>
          <w:p>
            <w:pPr>
              <w:pStyle w:val="Normal"/>
              <w:bidi w:val="0"/>
              <w:jc w:val="center"/>
              <w:rPr>
                <w:color w:val="000000" w:themeColor="text1"/>
                <w:szCs w:val="20"/>
              </w:rPr>
            </w:pPr>
            <w:r>
              <w:rPr>
                <w:color w:val="000000" w:themeColor="text1"/>
                <w:szCs w:val="20"/>
              </w:rPr>
              <w:t>2.1</w:t>
            </w:r>
          </w:p>
        </w:tc>
        <w:tc>
          <w:tcPr>
            <w:tcW w:w="988" w:type="dxa"/>
            <w:tcBorders/>
            <w:vAlign w:val="center"/>
          </w:tcPr>
          <w:p>
            <w:pPr>
              <w:pStyle w:val="Normal"/>
              <w:bidi w:val="0"/>
              <w:jc w:val="center"/>
              <w:rPr>
                <w:color w:val="000000" w:themeColor="text1"/>
                <w:szCs w:val="20"/>
              </w:rPr>
            </w:pPr>
            <w:r>
              <w:rPr>
                <w:color w:val="000000" w:themeColor="text1"/>
                <w:szCs w:val="20"/>
              </w:rPr>
              <w:t>2.1</w:t>
            </w:r>
          </w:p>
        </w:tc>
        <w:tc>
          <w:tcPr>
            <w:tcW w:w="986" w:type="dxa"/>
            <w:tcBorders/>
            <w:vAlign w:val="center"/>
          </w:tcPr>
          <w:p>
            <w:pPr>
              <w:pStyle w:val="Normal"/>
              <w:bidi w:val="0"/>
              <w:jc w:val="center"/>
              <w:rPr>
                <w:color w:val="000000" w:themeColor="text1"/>
                <w:szCs w:val="20"/>
              </w:rPr>
            </w:pPr>
            <w:r>
              <w:rPr>
                <w:color w:val="000000" w:themeColor="text1"/>
                <w:szCs w:val="20"/>
              </w:rPr>
              <w:t>2.1</w:t>
            </w:r>
          </w:p>
        </w:tc>
      </w:tr>
      <w:tr>
        <w:trPr>
          <w:trHeight w:val="299" w:hRule="atLeast"/>
        </w:trPr>
        <w:tc>
          <w:tcPr>
            <w:tcW w:w="1132" w:type="dxa"/>
            <w:tcBorders/>
            <w:vAlign w:val="center"/>
          </w:tcPr>
          <w:p>
            <w:pPr>
              <w:pStyle w:val="Normal"/>
              <w:bidi w:val="0"/>
              <w:jc w:val="center"/>
              <w:rPr>
                <w:szCs w:val="20"/>
              </w:rPr>
            </w:pPr>
            <w:r>
              <w:rPr>
                <w:szCs w:val="20"/>
              </w:rPr>
              <w:t>Micro sleep</w:t>
            </w:r>
          </w:p>
        </w:tc>
        <w:tc>
          <w:tcPr>
            <w:tcW w:w="503" w:type="dxa"/>
            <w:tcBorders/>
            <w:vAlign w:val="center"/>
          </w:tcPr>
          <w:p>
            <w:pPr>
              <w:pStyle w:val="Normal"/>
              <w:bidi w:val="0"/>
              <w:jc w:val="center"/>
              <w:rPr>
                <w:color w:val="000000" w:themeColor="text1"/>
                <w:szCs w:val="20"/>
              </w:rPr>
            </w:pPr>
            <w:r>
              <w:rPr>
                <w:rFonts w:eastAsia="" w:eastAsiaTheme="minorEastAsia"/>
                <w:color w:val="000000" w:themeColor="text1"/>
                <w:szCs w:val="20"/>
                <w:lang w:eastAsia="zh-CN"/>
              </w:rPr>
              <w:t>P3</w:t>
            </w:r>
          </w:p>
        </w:tc>
        <w:tc>
          <w:tcPr>
            <w:tcW w:w="988" w:type="dxa"/>
            <w:tcBorders/>
            <w:vAlign w:val="center"/>
          </w:tcPr>
          <w:p>
            <w:pPr>
              <w:pStyle w:val="Normal"/>
              <w:bidi w:val="0"/>
              <w:jc w:val="center"/>
              <w:rPr>
                <w:color w:val="000000" w:themeColor="text1"/>
                <w:szCs w:val="20"/>
              </w:rPr>
            </w:pPr>
            <w:r>
              <w:rPr>
                <w:color w:val="000000" w:themeColor="text1"/>
                <w:szCs w:val="20"/>
              </w:rPr>
              <w:t>55</w:t>
            </w:r>
          </w:p>
        </w:tc>
        <w:tc>
          <w:tcPr>
            <w:tcW w:w="991" w:type="dxa"/>
            <w:tcBorders/>
            <w:vAlign w:val="center"/>
          </w:tcPr>
          <w:p>
            <w:pPr>
              <w:pStyle w:val="Normal"/>
              <w:bidi w:val="0"/>
              <w:jc w:val="center"/>
              <w:rPr>
                <w:color w:val="000000" w:themeColor="text1"/>
                <w:szCs w:val="20"/>
              </w:rPr>
            </w:pPr>
            <w:r>
              <w:rPr>
                <w:color w:val="000000" w:themeColor="text1"/>
                <w:szCs w:val="20"/>
              </w:rPr>
              <w:t>50</w:t>
            </w:r>
          </w:p>
        </w:tc>
        <w:tc>
          <w:tcPr>
            <w:tcW w:w="991" w:type="dxa"/>
            <w:tcBorders/>
            <w:vAlign w:val="center"/>
          </w:tcPr>
          <w:p>
            <w:pPr>
              <w:pStyle w:val="Normal"/>
              <w:bidi w:val="0"/>
              <w:jc w:val="center"/>
              <w:rPr>
                <w:color w:val="000000" w:themeColor="text1"/>
                <w:szCs w:val="20"/>
              </w:rPr>
            </w:pPr>
            <w:r>
              <w:rPr>
                <w:color w:val="000000" w:themeColor="text1"/>
                <w:szCs w:val="20"/>
              </w:rPr>
              <w:t>38</w:t>
            </w:r>
          </w:p>
        </w:tc>
        <w:tc>
          <w:tcPr>
            <w:tcW w:w="988" w:type="dxa"/>
            <w:tcBorders/>
            <w:vAlign w:val="center"/>
          </w:tcPr>
          <w:p>
            <w:pPr>
              <w:pStyle w:val="Normal"/>
              <w:bidi w:val="0"/>
              <w:jc w:val="center"/>
              <w:rPr>
                <w:color w:val="000000" w:themeColor="text1"/>
                <w:szCs w:val="20"/>
              </w:rPr>
            </w:pPr>
            <w:r>
              <w:rPr>
                <w:color w:val="000000" w:themeColor="text1"/>
                <w:szCs w:val="20"/>
              </w:rPr>
              <w:t>5.5</w:t>
            </w:r>
          </w:p>
        </w:tc>
        <w:tc>
          <w:tcPr>
            <w:tcW w:w="988" w:type="dxa"/>
            <w:tcBorders/>
            <w:vAlign w:val="center"/>
          </w:tcPr>
          <w:p>
            <w:pPr>
              <w:pStyle w:val="Normal"/>
              <w:bidi w:val="0"/>
              <w:jc w:val="center"/>
              <w:rPr>
                <w:color w:val="000000" w:themeColor="text1"/>
                <w:szCs w:val="20"/>
              </w:rPr>
            </w:pPr>
            <w:r>
              <w:rPr>
                <w:color w:val="000000" w:themeColor="text1"/>
                <w:szCs w:val="20"/>
              </w:rPr>
              <w:t>5</w:t>
            </w:r>
          </w:p>
        </w:tc>
        <w:tc>
          <w:tcPr>
            <w:tcW w:w="986" w:type="dxa"/>
            <w:tcBorders/>
            <w:vAlign w:val="center"/>
          </w:tcPr>
          <w:p>
            <w:pPr>
              <w:pStyle w:val="Normal"/>
              <w:bidi w:val="0"/>
              <w:jc w:val="center"/>
              <w:rPr>
                <w:color w:val="000000" w:themeColor="text1"/>
                <w:szCs w:val="20"/>
              </w:rPr>
            </w:pPr>
            <w:r>
              <w:rPr>
                <w:color w:val="000000" w:themeColor="text1"/>
                <w:szCs w:val="20"/>
              </w:rPr>
              <w:t>3</w:t>
            </w:r>
          </w:p>
        </w:tc>
      </w:tr>
      <w:tr>
        <w:trPr>
          <w:trHeight w:val="299" w:hRule="atLeast"/>
        </w:trPr>
        <w:tc>
          <w:tcPr>
            <w:tcW w:w="1132" w:type="dxa"/>
            <w:tcBorders/>
            <w:vAlign w:val="center"/>
          </w:tcPr>
          <w:p>
            <w:pPr>
              <w:pStyle w:val="Normal"/>
              <w:bidi w:val="0"/>
              <w:jc w:val="center"/>
              <w:rPr>
                <w:szCs w:val="20"/>
              </w:rPr>
            </w:pPr>
            <w:r>
              <w:rPr>
                <w:szCs w:val="20"/>
              </w:rPr>
              <w:t>Active DL</w:t>
            </w:r>
          </w:p>
        </w:tc>
        <w:tc>
          <w:tcPr>
            <w:tcW w:w="503" w:type="dxa"/>
            <w:tcBorders/>
            <w:vAlign w:val="center"/>
          </w:tcPr>
          <w:p>
            <w:pPr>
              <w:pStyle w:val="Normal"/>
              <w:bidi w:val="0"/>
              <w:jc w:val="center"/>
              <w:rPr>
                <w:color w:val="000000" w:themeColor="text1"/>
                <w:szCs w:val="20"/>
              </w:rPr>
            </w:pPr>
            <w:r>
              <w:rPr>
                <w:rFonts w:eastAsia="" w:eastAsiaTheme="minorEastAsia"/>
                <w:color w:val="000000" w:themeColor="text1"/>
                <w:szCs w:val="20"/>
                <w:lang w:eastAsia="zh-CN"/>
              </w:rPr>
              <w:t>P4</w:t>
            </w:r>
          </w:p>
        </w:tc>
        <w:tc>
          <w:tcPr>
            <w:tcW w:w="988" w:type="dxa"/>
            <w:tcBorders/>
            <w:vAlign w:val="center"/>
          </w:tcPr>
          <w:p>
            <w:pPr>
              <w:pStyle w:val="Normal"/>
              <w:bidi w:val="0"/>
              <w:jc w:val="center"/>
              <w:rPr>
                <w:color w:val="000000" w:themeColor="text1"/>
                <w:szCs w:val="20"/>
              </w:rPr>
            </w:pPr>
            <w:r>
              <w:rPr>
                <w:color w:val="000000" w:themeColor="text1"/>
                <w:szCs w:val="20"/>
              </w:rPr>
              <w:t>280</w:t>
            </w:r>
          </w:p>
        </w:tc>
        <w:tc>
          <w:tcPr>
            <w:tcW w:w="991" w:type="dxa"/>
            <w:tcBorders/>
            <w:vAlign w:val="center"/>
          </w:tcPr>
          <w:p>
            <w:pPr>
              <w:pStyle w:val="Normal"/>
              <w:bidi w:val="0"/>
              <w:jc w:val="center"/>
              <w:rPr>
                <w:color w:val="000000" w:themeColor="text1"/>
                <w:szCs w:val="20"/>
              </w:rPr>
            </w:pPr>
            <w:r>
              <w:rPr>
                <w:color w:val="000000" w:themeColor="text1"/>
                <w:szCs w:val="20"/>
              </w:rPr>
              <w:t>200</w:t>
            </w:r>
          </w:p>
        </w:tc>
        <w:tc>
          <w:tcPr>
            <w:tcW w:w="991" w:type="dxa"/>
            <w:tcBorders/>
            <w:vAlign w:val="center"/>
          </w:tcPr>
          <w:p>
            <w:pPr>
              <w:pStyle w:val="Normal"/>
              <w:bidi w:val="0"/>
              <w:jc w:val="center"/>
              <w:rPr>
                <w:color w:val="000000" w:themeColor="text1"/>
                <w:szCs w:val="20"/>
              </w:rPr>
            </w:pPr>
            <w:r>
              <w:rPr>
                <w:color w:val="000000" w:themeColor="text1"/>
                <w:szCs w:val="20"/>
              </w:rPr>
              <w:t>152</w:t>
            </w:r>
          </w:p>
        </w:tc>
        <w:tc>
          <w:tcPr>
            <w:tcW w:w="988" w:type="dxa"/>
            <w:tcBorders/>
            <w:vAlign w:val="center"/>
          </w:tcPr>
          <w:p>
            <w:pPr>
              <w:pStyle w:val="Normal"/>
              <w:bidi w:val="0"/>
              <w:jc w:val="center"/>
              <w:rPr>
                <w:color w:val="000000" w:themeColor="text1"/>
                <w:szCs w:val="20"/>
              </w:rPr>
            </w:pPr>
            <w:r>
              <w:rPr>
                <w:color w:val="000000" w:themeColor="text1"/>
                <w:szCs w:val="20"/>
              </w:rPr>
              <w:t>32</w:t>
            </w:r>
          </w:p>
        </w:tc>
        <w:tc>
          <w:tcPr>
            <w:tcW w:w="988" w:type="dxa"/>
            <w:tcBorders/>
            <w:vAlign w:val="center"/>
          </w:tcPr>
          <w:p>
            <w:pPr>
              <w:pStyle w:val="Normal"/>
              <w:bidi w:val="0"/>
              <w:jc w:val="center"/>
              <w:rPr>
                <w:color w:val="000000" w:themeColor="text1"/>
                <w:szCs w:val="20"/>
              </w:rPr>
            </w:pPr>
            <w:r>
              <w:rPr>
                <w:color w:val="000000" w:themeColor="text1"/>
                <w:szCs w:val="20"/>
              </w:rPr>
              <w:t>26</w:t>
            </w:r>
          </w:p>
        </w:tc>
        <w:tc>
          <w:tcPr>
            <w:tcW w:w="986" w:type="dxa"/>
            <w:tcBorders/>
            <w:vAlign w:val="center"/>
          </w:tcPr>
          <w:p>
            <w:pPr>
              <w:pStyle w:val="Normal"/>
              <w:bidi w:val="0"/>
              <w:jc w:val="center"/>
              <w:rPr>
                <w:strike/>
                <w:color w:val="000000" w:themeColor="text1"/>
                <w:szCs w:val="20"/>
              </w:rPr>
            </w:pPr>
            <w:r>
              <w:rPr>
                <w:color w:val="000000" w:themeColor="text1"/>
                <w:szCs w:val="20"/>
              </w:rPr>
              <w:t>17.6</w:t>
            </w:r>
          </w:p>
        </w:tc>
      </w:tr>
      <w:tr>
        <w:trPr>
          <w:trHeight w:val="289" w:hRule="atLeast"/>
        </w:trPr>
        <w:tc>
          <w:tcPr>
            <w:tcW w:w="1132" w:type="dxa"/>
            <w:tcBorders/>
            <w:vAlign w:val="center"/>
          </w:tcPr>
          <w:p>
            <w:pPr>
              <w:pStyle w:val="Normal"/>
              <w:bidi w:val="0"/>
              <w:jc w:val="center"/>
              <w:rPr>
                <w:szCs w:val="20"/>
              </w:rPr>
            </w:pPr>
            <w:r>
              <w:rPr>
                <w:szCs w:val="20"/>
              </w:rPr>
              <w:t>Active UL</w:t>
            </w:r>
          </w:p>
        </w:tc>
        <w:tc>
          <w:tcPr>
            <w:tcW w:w="503" w:type="dxa"/>
            <w:tcBorders/>
            <w:vAlign w:val="center"/>
          </w:tcPr>
          <w:p>
            <w:pPr>
              <w:pStyle w:val="Normal"/>
              <w:bidi w:val="0"/>
              <w:jc w:val="center"/>
              <w:rPr>
                <w:color w:val="000000" w:themeColor="text1"/>
                <w:szCs w:val="20"/>
              </w:rPr>
            </w:pPr>
            <w:r>
              <w:rPr>
                <w:rFonts w:eastAsia="" w:eastAsiaTheme="minorEastAsia"/>
                <w:color w:val="000000" w:themeColor="text1"/>
                <w:szCs w:val="20"/>
                <w:lang w:eastAsia="zh-CN"/>
              </w:rPr>
              <w:t>P5</w:t>
            </w:r>
          </w:p>
        </w:tc>
        <w:tc>
          <w:tcPr>
            <w:tcW w:w="988" w:type="dxa"/>
            <w:tcBorders/>
            <w:vAlign w:val="center"/>
          </w:tcPr>
          <w:p>
            <w:pPr>
              <w:pStyle w:val="Normal"/>
              <w:bidi w:val="0"/>
              <w:jc w:val="center"/>
              <w:rPr>
                <w:color w:val="000000" w:themeColor="text1"/>
                <w:szCs w:val="20"/>
              </w:rPr>
            </w:pPr>
            <w:r>
              <w:rPr>
                <w:color w:val="000000" w:themeColor="text1"/>
                <w:szCs w:val="20"/>
              </w:rPr>
              <w:t>110</w:t>
            </w:r>
          </w:p>
        </w:tc>
        <w:tc>
          <w:tcPr>
            <w:tcW w:w="991" w:type="dxa"/>
            <w:tcBorders/>
            <w:vAlign w:val="center"/>
          </w:tcPr>
          <w:p>
            <w:pPr>
              <w:pStyle w:val="Normal"/>
              <w:bidi w:val="0"/>
              <w:jc w:val="center"/>
              <w:rPr>
                <w:color w:val="000000" w:themeColor="text1"/>
                <w:szCs w:val="20"/>
              </w:rPr>
            </w:pPr>
            <w:r>
              <w:rPr>
                <w:color w:val="000000" w:themeColor="text1"/>
                <w:szCs w:val="20"/>
              </w:rPr>
              <w:t>90</w:t>
            </w:r>
          </w:p>
        </w:tc>
        <w:tc>
          <w:tcPr>
            <w:tcW w:w="991" w:type="dxa"/>
            <w:tcBorders/>
            <w:vAlign w:val="center"/>
          </w:tcPr>
          <w:p>
            <w:pPr>
              <w:pStyle w:val="Normal"/>
              <w:bidi w:val="0"/>
              <w:jc w:val="center"/>
              <w:rPr>
                <w:color w:val="000000" w:themeColor="text1"/>
                <w:szCs w:val="20"/>
              </w:rPr>
            </w:pPr>
            <w:r>
              <w:rPr>
                <w:color w:val="000000" w:themeColor="text1"/>
                <w:szCs w:val="20"/>
              </w:rPr>
              <w:t>80</w:t>
            </w:r>
          </w:p>
        </w:tc>
        <w:tc>
          <w:tcPr>
            <w:tcW w:w="988" w:type="dxa"/>
            <w:tcBorders/>
            <w:vAlign w:val="center"/>
          </w:tcPr>
          <w:p>
            <w:pPr>
              <w:pStyle w:val="Normal"/>
              <w:bidi w:val="0"/>
              <w:jc w:val="center"/>
              <w:rPr>
                <w:color w:val="000000" w:themeColor="text1"/>
                <w:szCs w:val="20"/>
              </w:rPr>
            </w:pPr>
            <w:r>
              <w:rPr>
                <w:color w:val="000000" w:themeColor="text1"/>
                <w:szCs w:val="20"/>
              </w:rPr>
              <w:t>6.5</w:t>
            </w:r>
          </w:p>
        </w:tc>
        <w:tc>
          <w:tcPr>
            <w:tcW w:w="988" w:type="dxa"/>
            <w:tcBorders/>
            <w:vAlign w:val="center"/>
          </w:tcPr>
          <w:p>
            <w:pPr>
              <w:pStyle w:val="Normal"/>
              <w:bidi w:val="0"/>
              <w:jc w:val="center"/>
              <w:rPr>
                <w:color w:val="000000" w:themeColor="text1"/>
                <w:szCs w:val="20"/>
              </w:rPr>
            </w:pPr>
            <w:r>
              <w:rPr>
                <w:color w:val="000000" w:themeColor="text1"/>
                <w:szCs w:val="20"/>
              </w:rPr>
              <w:t>5.8</w:t>
            </w:r>
          </w:p>
        </w:tc>
        <w:tc>
          <w:tcPr>
            <w:tcW w:w="986" w:type="dxa"/>
            <w:tcBorders/>
            <w:vAlign w:val="center"/>
          </w:tcPr>
          <w:p>
            <w:pPr>
              <w:pStyle w:val="Normal"/>
              <w:bidi w:val="0"/>
              <w:jc w:val="center"/>
              <w:rPr>
                <w:color w:val="000000" w:themeColor="text1"/>
                <w:szCs w:val="20"/>
              </w:rPr>
            </w:pPr>
            <w:r>
              <w:rPr>
                <w:color w:val="000000" w:themeColor="text1"/>
                <w:szCs w:val="20"/>
              </w:rPr>
              <w:t>4.2</w:t>
            </w:r>
          </w:p>
        </w:tc>
      </w:tr>
    </w:tbl>
    <w:p>
      <w:pPr>
        <w:pStyle w:val="Normal"/>
        <w:bidi w:val="0"/>
        <w:spacing w:lineRule="auto" w:line="276" w:before="120" w:after="0"/>
        <w:jc w:val="center"/>
        <w:rPr>
          <w:rFonts w:eastAsia="宋体"/>
          <w:lang w:eastAsia="zh-CN"/>
        </w:rPr>
      </w:pPr>
      <w:r>
        <w:rPr>
          <w:rFonts w:eastAsia="宋体"/>
          <w:lang w:eastAsia="zh-CN"/>
        </w:rPr>
      </w:r>
    </w:p>
    <w:p>
      <w:pPr>
        <w:pStyle w:val="Normal"/>
        <w:bidi w:val="0"/>
        <w:spacing w:lineRule="auto" w:line="276" w:before="120" w:after="0"/>
        <w:jc w:val="center"/>
        <w:rPr>
          <w:rFonts w:eastAsia="宋体"/>
          <w:lang w:eastAsia="zh-CN"/>
        </w:rPr>
      </w:pPr>
      <w:r>
        <w:rPr>
          <w:rFonts w:eastAsia="宋体"/>
          <w:lang w:eastAsia="zh-CN"/>
        </w:rPr>
      </w:r>
    </w:p>
    <w:p>
      <w:pPr>
        <w:pStyle w:val="Normal"/>
        <w:bidi w:val="0"/>
        <w:spacing w:lineRule="auto" w:line="276" w:before="120" w:after="0"/>
        <w:jc w:val="center"/>
        <w:rPr>
          <w:rFonts w:eastAsia="宋体"/>
          <w:lang w:eastAsia="zh-CN"/>
        </w:rPr>
      </w:pPr>
      <w:r>
        <w:rPr>
          <w:rFonts w:eastAsia="宋体"/>
          <w:lang w:eastAsia="zh-CN"/>
        </w:rPr>
        <w:t xml:space="preserve">Table </w:t>
      </w:r>
      <w:r>
        <w:rPr>
          <w:rFonts w:eastAsia="宋体" w:cs="Times New Roman" w:ascii="Times New Roman" w:hAnsi="Times New Roman"/>
          <w:color w:val="00000A"/>
          <w:kern w:val="0"/>
          <w:sz w:val="22"/>
          <w:szCs w:val="22"/>
          <w:lang w:val="en-US" w:eastAsia="zh-CN" w:bidi="ar-SA"/>
        </w:rPr>
        <w:t>5</w:t>
      </w:r>
      <w:r>
        <w:rPr>
          <w:rFonts w:eastAsia="宋体"/>
          <w:lang w:eastAsia="zh-CN"/>
        </w:rPr>
        <w:t>. Additional energy and total transition time for BS</w:t>
      </w:r>
    </w:p>
    <w:tbl>
      <w:tblPr>
        <w:tblStyle w:val="13"/>
        <w:tblW w:w="6287" w:type="dxa"/>
        <w:jc w:val="center"/>
        <w:tblInd w:w="0" w:type="dxa"/>
        <w:tblCellMar>
          <w:top w:w="0" w:type="dxa"/>
          <w:start w:w="108" w:type="dxa"/>
          <w:bottom w:w="0" w:type="dxa"/>
          <w:end w:w="108" w:type="dxa"/>
        </w:tblCellMar>
        <w:tblLook w:val="04a0" w:noHBand="0" w:noVBand="1" w:firstColumn="1" w:lastRow="0" w:lastColumn="0" w:firstRow="1"/>
      </w:tblPr>
      <w:tblGrid>
        <w:gridCol w:w="1207"/>
        <w:gridCol w:w="1439"/>
        <w:gridCol w:w="1441"/>
        <w:gridCol w:w="1100"/>
        <w:gridCol w:w="1100"/>
      </w:tblGrid>
      <w:tr>
        <w:trPr/>
        <w:tc>
          <w:tcPr>
            <w:tcW w:w="1207" w:type="dxa"/>
            <w:vMerge w:val="restart"/>
            <w:tcBorders/>
          </w:tcPr>
          <w:p>
            <w:pPr>
              <w:pStyle w:val="Normal"/>
              <w:bidi w:val="0"/>
              <w:jc w:val="center"/>
              <w:rPr>
                <w:b/>
                <w:b/>
                <w:bCs/>
                <w:kern w:val="2"/>
                <w:szCs w:val="20"/>
              </w:rPr>
            </w:pPr>
            <w:r>
              <w:rPr>
                <w:b/>
                <w:bCs/>
                <w:kern w:val="2"/>
                <w:szCs w:val="20"/>
              </w:rPr>
              <w:t>Power state</w:t>
            </w:r>
          </w:p>
        </w:tc>
        <w:tc>
          <w:tcPr>
            <w:tcW w:w="2880" w:type="dxa"/>
            <w:gridSpan w:val="2"/>
            <w:tcBorders/>
          </w:tcPr>
          <w:p>
            <w:pPr>
              <w:pStyle w:val="Normal"/>
              <w:keepNext w:val="true"/>
              <w:keepLines/>
              <w:bidi w:val="0"/>
              <w:jc w:val="center"/>
              <w:rPr>
                <w:b/>
                <w:b/>
                <w:bCs/>
                <w:kern w:val="2"/>
                <w:szCs w:val="20"/>
              </w:rPr>
            </w:pPr>
            <w:r>
              <w:rPr>
                <w:b/>
                <w:bCs/>
                <w:kern w:val="2"/>
                <w:szCs w:val="20"/>
              </w:rPr>
              <w:t xml:space="preserve">Additional transition energy </w:t>
            </w:r>
            <w:r>
              <w:rPr/>
            </w:r>
            <m:oMath xmlns:m="http://schemas.openxmlformats.org/officeDocument/2006/math">
              <m:sSub>
                <m:e>
                  <m:r>
                    <m:t xml:space="preserve">E</m:t>
                  </m:r>
                </m:e>
                <m:sub>
                  <m:r>
                    <m:t xml:space="preserve">i</m:t>
                  </m:r>
                </m:sub>
              </m:sSub>
            </m:oMath>
          </w:p>
        </w:tc>
        <w:tc>
          <w:tcPr>
            <w:tcW w:w="2200" w:type="dxa"/>
            <w:gridSpan w:val="2"/>
            <w:tcBorders/>
          </w:tcPr>
          <w:p>
            <w:pPr>
              <w:pStyle w:val="Normal"/>
              <w:keepNext w:val="true"/>
              <w:keepLines/>
              <w:bidi w:val="0"/>
              <w:jc w:val="center"/>
              <w:rPr>
                <w:b/>
                <w:b/>
                <w:bCs/>
                <w:kern w:val="2"/>
                <w:szCs w:val="20"/>
              </w:rPr>
            </w:pPr>
            <w:r>
              <w:rPr>
                <w:b/>
                <w:bCs/>
                <w:kern w:val="2"/>
                <w:szCs w:val="20"/>
              </w:rPr>
              <w:t>Total transition time T</w:t>
            </w:r>
          </w:p>
        </w:tc>
      </w:tr>
      <w:tr>
        <w:trPr/>
        <w:tc>
          <w:tcPr>
            <w:tcW w:w="1207" w:type="dxa"/>
            <w:vMerge w:val="continue"/>
            <w:tcBorders/>
          </w:tcPr>
          <w:p>
            <w:pPr>
              <w:pStyle w:val="Normal"/>
              <w:bidi w:val="0"/>
              <w:jc w:val="center"/>
              <w:rPr>
                <w:szCs w:val="20"/>
              </w:rPr>
            </w:pPr>
            <w:r>
              <w:rPr>
                <w:szCs w:val="20"/>
              </w:rPr>
            </w:r>
          </w:p>
        </w:tc>
        <w:tc>
          <w:tcPr>
            <w:tcW w:w="1439" w:type="dxa"/>
            <w:tcBorders/>
          </w:tcPr>
          <w:p>
            <w:pPr>
              <w:pStyle w:val="Normal"/>
              <w:bidi w:val="0"/>
              <w:jc w:val="center"/>
              <w:rPr>
                <w:szCs w:val="20"/>
              </w:rPr>
            </w:pPr>
            <w:r>
              <w:rPr>
                <w:szCs w:val="20"/>
              </w:rPr>
              <w:t>Category 1</w:t>
            </w:r>
          </w:p>
        </w:tc>
        <w:tc>
          <w:tcPr>
            <w:tcW w:w="1441" w:type="dxa"/>
            <w:tcBorders/>
          </w:tcPr>
          <w:p>
            <w:pPr>
              <w:pStyle w:val="Normal"/>
              <w:bidi w:val="0"/>
              <w:jc w:val="center"/>
              <w:rPr>
                <w:szCs w:val="20"/>
              </w:rPr>
            </w:pPr>
            <w:r>
              <w:rPr>
                <w:szCs w:val="20"/>
              </w:rPr>
              <w:t>Category 2</w:t>
            </w:r>
          </w:p>
        </w:tc>
        <w:tc>
          <w:tcPr>
            <w:tcW w:w="1100" w:type="dxa"/>
            <w:tcBorders/>
          </w:tcPr>
          <w:p>
            <w:pPr>
              <w:pStyle w:val="Normal"/>
              <w:bidi w:val="0"/>
              <w:jc w:val="center"/>
              <w:rPr>
                <w:szCs w:val="20"/>
              </w:rPr>
            </w:pPr>
            <w:r>
              <w:rPr>
                <w:szCs w:val="20"/>
              </w:rPr>
              <w:t>Category 1</w:t>
            </w:r>
          </w:p>
        </w:tc>
        <w:tc>
          <w:tcPr>
            <w:tcW w:w="1100" w:type="dxa"/>
            <w:tcBorders/>
          </w:tcPr>
          <w:p>
            <w:pPr>
              <w:pStyle w:val="Normal"/>
              <w:bidi w:val="0"/>
              <w:jc w:val="center"/>
              <w:rPr>
                <w:szCs w:val="20"/>
              </w:rPr>
            </w:pPr>
            <w:r>
              <w:rPr>
                <w:szCs w:val="20"/>
              </w:rPr>
              <w:t>Category 2</w:t>
            </w:r>
          </w:p>
        </w:tc>
      </w:tr>
      <w:tr>
        <w:trPr/>
        <w:tc>
          <w:tcPr>
            <w:tcW w:w="1207" w:type="dxa"/>
            <w:tcBorders/>
          </w:tcPr>
          <w:p>
            <w:pPr>
              <w:pStyle w:val="Normal"/>
              <w:bidi w:val="0"/>
              <w:jc w:val="center"/>
              <w:rPr>
                <w:szCs w:val="20"/>
              </w:rPr>
            </w:pPr>
            <w:r>
              <w:rPr>
                <w:szCs w:val="20"/>
              </w:rPr>
              <w:t>Deep sleep</w:t>
            </w:r>
          </w:p>
        </w:tc>
        <w:tc>
          <w:tcPr>
            <w:tcW w:w="1439" w:type="dxa"/>
            <w:tcBorders/>
          </w:tcPr>
          <w:p>
            <w:pPr>
              <w:pStyle w:val="Normal"/>
              <w:bidi w:val="0"/>
              <w:jc w:val="center"/>
              <w:rPr>
                <w:color w:val="000000" w:themeColor="text1"/>
                <w:szCs w:val="20"/>
              </w:rPr>
            </w:pPr>
            <w:r>
              <w:rPr>
                <w:color w:val="000000" w:themeColor="text1"/>
                <w:szCs w:val="20"/>
              </w:rPr>
              <w:t>1000</w:t>
            </w:r>
          </w:p>
        </w:tc>
        <w:tc>
          <w:tcPr>
            <w:tcW w:w="1441" w:type="dxa"/>
            <w:tcBorders/>
          </w:tcPr>
          <w:p>
            <w:pPr>
              <w:pStyle w:val="Normal"/>
              <w:bidi w:val="0"/>
              <w:jc w:val="center"/>
              <w:rPr>
                <w:color w:val="000000" w:themeColor="text1"/>
                <w:szCs w:val="20"/>
              </w:rPr>
            </w:pPr>
            <w:r>
              <w:rPr>
                <w:color w:val="000000" w:themeColor="text1"/>
                <w:szCs w:val="20"/>
              </w:rPr>
              <w:t>17000</w:t>
            </w:r>
          </w:p>
        </w:tc>
        <w:tc>
          <w:tcPr>
            <w:tcW w:w="1100" w:type="dxa"/>
            <w:tcBorders/>
          </w:tcPr>
          <w:p>
            <w:pPr>
              <w:pStyle w:val="Normal"/>
              <w:bidi w:val="0"/>
              <w:jc w:val="center"/>
              <w:rPr>
                <w:color w:val="000000" w:themeColor="text1"/>
                <w:szCs w:val="20"/>
              </w:rPr>
            </w:pPr>
            <w:r>
              <w:rPr>
                <w:color w:val="000000" w:themeColor="text1"/>
                <w:szCs w:val="20"/>
              </w:rPr>
              <w:t>50ms</w:t>
            </w:r>
          </w:p>
        </w:tc>
        <w:tc>
          <w:tcPr>
            <w:tcW w:w="1100" w:type="dxa"/>
            <w:tcBorders/>
          </w:tcPr>
          <w:p>
            <w:pPr>
              <w:pStyle w:val="Normal"/>
              <w:bidi w:val="0"/>
              <w:jc w:val="center"/>
              <w:rPr>
                <w:color w:val="000000" w:themeColor="text1"/>
                <w:szCs w:val="20"/>
              </w:rPr>
            </w:pPr>
            <w:r>
              <w:rPr>
                <w:color w:val="000000" w:themeColor="text1"/>
                <w:szCs w:val="20"/>
              </w:rPr>
              <w:t>10s</w:t>
            </w:r>
          </w:p>
        </w:tc>
      </w:tr>
      <w:tr>
        <w:trPr/>
        <w:tc>
          <w:tcPr>
            <w:tcW w:w="1207" w:type="dxa"/>
            <w:tcBorders/>
          </w:tcPr>
          <w:p>
            <w:pPr>
              <w:pStyle w:val="Normal"/>
              <w:bidi w:val="0"/>
              <w:jc w:val="center"/>
              <w:rPr>
                <w:szCs w:val="20"/>
              </w:rPr>
            </w:pPr>
            <w:r>
              <w:rPr>
                <w:szCs w:val="20"/>
              </w:rPr>
              <w:t>Light sleep</w:t>
            </w:r>
          </w:p>
        </w:tc>
        <w:tc>
          <w:tcPr>
            <w:tcW w:w="1439" w:type="dxa"/>
            <w:tcBorders/>
          </w:tcPr>
          <w:p>
            <w:pPr>
              <w:pStyle w:val="Normal"/>
              <w:bidi w:val="0"/>
              <w:jc w:val="center"/>
              <w:rPr>
                <w:color w:val="000000" w:themeColor="text1"/>
                <w:szCs w:val="20"/>
              </w:rPr>
            </w:pPr>
            <w:r>
              <w:rPr>
                <w:color w:val="000000" w:themeColor="text1"/>
                <w:szCs w:val="20"/>
              </w:rPr>
              <w:t>90</w:t>
            </w:r>
          </w:p>
        </w:tc>
        <w:tc>
          <w:tcPr>
            <w:tcW w:w="1441" w:type="dxa"/>
            <w:tcBorders/>
          </w:tcPr>
          <w:p>
            <w:pPr>
              <w:pStyle w:val="Normal"/>
              <w:bidi w:val="0"/>
              <w:jc w:val="center"/>
              <w:rPr>
                <w:color w:val="000000" w:themeColor="text1"/>
                <w:szCs w:val="20"/>
              </w:rPr>
            </w:pPr>
            <w:r>
              <w:rPr>
                <w:color w:val="000000" w:themeColor="text1"/>
                <w:szCs w:val="20"/>
              </w:rPr>
              <w:t>1088</w:t>
            </w:r>
          </w:p>
        </w:tc>
        <w:tc>
          <w:tcPr>
            <w:tcW w:w="1100" w:type="dxa"/>
            <w:tcBorders/>
          </w:tcPr>
          <w:p>
            <w:pPr>
              <w:pStyle w:val="Normal"/>
              <w:bidi w:val="0"/>
              <w:jc w:val="center"/>
              <w:rPr>
                <w:color w:val="000000" w:themeColor="text1"/>
                <w:szCs w:val="20"/>
              </w:rPr>
            </w:pPr>
            <w:r>
              <w:rPr>
                <w:color w:val="000000" w:themeColor="text1"/>
                <w:szCs w:val="20"/>
              </w:rPr>
              <w:t>6ms</w:t>
            </w:r>
          </w:p>
        </w:tc>
        <w:tc>
          <w:tcPr>
            <w:tcW w:w="1100" w:type="dxa"/>
            <w:tcBorders/>
          </w:tcPr>
          <w:p>
            <w:pPr>
              <w:pStyle w:val="Normal"/>
              <w:bidi w:val="0"/>
              <w:jc w:val="center"/>
              <w:rPr>
                <w:color w:val="000000" w:themeColor="text1"/>
                <w:szCs w:val="20"/>
              </w:rPr>
            </w:pPr>
            <w:r>
              <w:rPr>
                <w:rFonts w:eastAsia="" w:eastAsiaTheme="minorEastAsia"/>
                <w:color w:val="000000" w:themeColor="text1"/>
                <w:szCs w:val="20"/>
                <w:lang w:eastAsia="zh-CN"/>
              </w:rPr>
              <w:t>640ms</w:t>
            </w:r>
            <w:r>
              <w:rPr>
                <w:color w:val="000000" w:themeColor="text1"/>
                <w:szCs w:val="20"/>
              </w:rPr>
              <w:t xml:space="preserve"> </w:t>
            </w:r>
          </w:p>
        </w:tc>
      </w:tr>
    </w:tbl>
    <w:p>
      <w:pPr>
        <w:pStyle w:val="Normal"/>
        <w:bidi w:val="0"/>
        <w:spacing w:lineRule="auto" w:line="276" w:before="120" w:after="0"/>
        <w:jc w:val="center"/>
        <w:rPr>
          <w:rFonts w:eastAsia="宋体"/>
          <w:lang w:eastAsia="zh-CN"/>
        </w:rPr>
      </w:pPr>
      <w:r>
        <w:rPr/>
      </w:r>
    </w:p>
    <w:sectPr>
      <w:type w:val="nextPage"/>
      <w:pgSz w:w="11906" w:h="16838"/>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roman"/>
    <w:pitch w:val="variable"/>
  </w:font>
  <w:font w:name="Times New Roman">
    <w:charset w:val="01" w:characterSet="utf-8"/>
    <w:family w:val="roman"/>
    <w:pitch w:val="variable"/>
  </w:font>
  <w:font w:name="Calibri">
    <w:charset w:val="01" w:characterSet="utf-8"/>
    <w:family w:val="auto"/>
    <w:pitch w:val="default"/>
  </w:font>
  <w:font w:name="Symbol">
    <w:charset w:val="02"/>
    <w:family w:val="auto"/>
    <w:pitch w:val="default"/>
  </w:font>
  <w:font w:name="Courier New">
    <w:charset w:val="01"/>
    <w:family w:val="auto"/>
    <w:pitch w:val="default"/>
  </w:font>
  <w:font w:name="Wingdings">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start"/>
      <w:pPr>
        <w:tabs>
          <w:tab w:val="num" w:pos="0"/>
        </w:tabs>
        <w:ind w:start="0" w:hanging="0"/>
      </w:pPr>
    </w:lvl>
    <w:lvl w:ilvl="1">
      <w:start w:val="1"/>
      <w:pStyle w:val="Heading2"/>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decimal"/>
      <w:lvlText w:val="%1"/>
      <w:lvlJc w:val="start"/>
      <w:pPr>
        <w:tabs>
          <w:tab w:val="num" w:pos="432"/>
        </w:tabs>
        <w:ind w:start="432" w:hanging="432"/>
      </w:pPr>
      <w:rPr>
        <w:sz w:val="22"/>
        <w:i w:val="false"/>
        <w:lang w:val="en-US"/>
      </w:rPr>
    </w:lvl>
    <w:lvl w:ilvl="1">
      <w:start w:val="1"/>
      <w:numFmt w:val="decimal"/>
      <w:lvlText w:val="%1.%2"/>
      <w:lvlJc w:val="start"/>
      <w:pPr>
        <w:tabs>
          <w:tab w:val="num" w:pos="576"/>
        </w:tabs>
        <w:ind w:start="576" w:hanging="576"/>
      </w:pPr>
      <w:rPr>
        <w:sz w:val="22"/>
        <w:i w:val="false"/>
        <w:b/>
        <w:rFonts w:cs="Times New Roman"/>
      </w:rPr>
    </w:lvl>
    <w:lvl w:ilvl="2">
      <w:start w:val="1"/>
      <w:numFmt w:val="decimal"/>
      <w:lvlText w:val="%1.%2.%3"/>
      <w:lvlJc w:val="start"/>
      <w:pPr>
        <w:tabs>
          <w:tab w:val="num" w:pos="720"/>
        </w:tabs>
        <w:ind w:start="720" w:hanging="720"/>
      </w:pPr>
    </w:lvl>
    <w:lvl w:ilvl="3">
      <w:start w:val="1"/>
      <w:numFmt w:val="decimal"/>
      <w:lvlText w:val="%1.%2.%3.%4"/>
      <w:lvlJc w:val="start"/>
      <w:pPr>
        <w:tabs>
          <w:tab w:val="num" w:pos="864"/>
        </w:tabs>
        <w:ind w:start="864" w:hanging="864"/>
      </w:pPr>
    </w:lvl>
    <w:lvl w:ilvl="4">
      <w:start w:val="1"/>
      <w:numFmt w:val="decimal"/>
      <w:lvlText w:val="%1.%2.%3.%4.%5"/>
      <w:lvlJc w:val="start"/>
      <w:pPr>
        <w:tabs>
          <w:tab w:val="num" w:pos="1008"/>
        </w:tabs>
        <w:ind w:start="1008" w:hanging="1008"/>
      </w:pPr>
    </w:lvl>
    <w:lvl w:ilvl="5">
      <w:start w:val="1"/>
      <w:numFmt w:val="decimal"/>
      <w:lvlText w:val="%1.%2.%3.%4.%5.%6"/>
      <w:lvlJc w:val="start"/>
      <w:pPr>
        <w:tabs>
          <w:tab w:val="num" w:pos="1152"/>
        </w:tabs>
        <w:ind w:start="1152" w:hanging="1152"/>
      </w:pPr>
    </w:lvl>
    <w:lvl w:ilvl="6">
      <w:start w:val="1"/>
      <w:numFmt w:val="decimal"/>
      <w:lvlText w:val="%1.%2.%3.%4.%5.%6.%7"/>
      <w:lvlJc w:val="start"/>
      <w:pPr>
        <w:tabs>
          <w:tab w:val="num" w:pos="1296"/>
        </w:tabs>
        <w:ind w:start="1296" w:hanging="1296"/>
      </w:pPr>
    </w:lvl>
    <w:lvl w:ilvl="7">
      <w:start w:val="1"/>
      <w:numFmt w:val="decimal"/>
      <w:lvlText w:val="%1.%2.%3.%4.%5.%6.%7.%8"/>
      <w:lvlJc w:val="start"/>
      <w:pPr>
        <w:tabs>
          <w:tab w:val="num" w:pos="1440"/>
        </w:tabs>
        <w:ind w:start="1440" w:hanging="1440"/>
      </w:pPr>
    </w:lvl>
    <w:lvl w:ilvl="8">
      <w:start w:val="1"/>
      <w:numFmt w:val="decimal"/>
      <w:lvlText w:val="%1.%2.%3.%4.%5.%6.%7.%8.%9"/>
      <w:lvlJc w:val="start"/>
      <w:pPr>
        <w:tabs>
          <w:tab w:val="num" w:pos="1584"/>
        </w:tabs>
        <w:ind w:start="1584" w:hanging="1584"/>
      </w:pPr>
    </w:lvl>
  </w:abstractNum>
  <w:abstractNum w:abstractNumId="3">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decimal"/>
      <w:lvlText w:val="%1."/>
      <w:lvlJc w:val="start"/>
      <w:pPr>
        <w:tabs>
          <w:tab w:val="num" w:pos="720"/>
        </w:tabs>
        <w:ind w:start="720" w:hanging="360"/>
      </w:p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5">
    <w:lvl w:ilvl="0">
      <w:start w:val="1"/>
      <w:numFmt w:val="bullet"/>
      <w:lvlText w:val=""/>
      <w:lvlJc w:val="start"/>
      <w:pPr>
        <w:tabs>
          <w:tab w:val="num" w:pos="360"/>
        </w:tabs>
        <w:ind w:start="360" w:hanging="360"/>
      </w:pPr>
      <w:rPr>
        <w:rFonts w:ascii="Symbol" w:hAnsi="Symbol" w:cs="Symbol" w:hint="default"/>
      </w:rPr>
    </w:lvl>
    <w:lvl w:ilvl="1">
      <w:start w:val="1"/>
      <w:numFmt w:val="bullet"/>
      <w:lvlText w:val="◦"/>
      <w:lvlJc w:val="start"/>
      <w:pPr>
        <w:tabs>
          <w:tab w:val="num" w:pos="720"/>
        </w:tabs>
        <w:ind w:start="720" w:hanging="360"/>
      </w:pPr>
      <w:rPr>
        <w:rFonts w:ascii="OpenSymbol" w:hAnsi="OpenSymbol" w:cs="OpenSymbol" w:hint="default"/>
      </w:rPr>
    </w:lvl>
    <w:lvl w:ilvl="2">
      <w:start w:val="1"/>
      <w:numFmt w:val="bullet"/>
      <w:lvlText w:val="▪"/>
      <w:lvlJc w:val="start"/>
      <w:pPr>
        <w:tabs>
          <w:tab w:val="num" w:pos="1080"/>
        </w:tabs>
        <w:ind w:start="1080" w:hanging="360"/>
      </w:pPr>
      <w:rPr>
        <w:rFonts w:ascii="OpenSymbol" w:hAnsi="OpenSymbol" w:cs="OpenSymbol" w:hint="default"/>
      </w:rPr>
    </w:lvl>
    <w:lvl w:ilvl="3">
      <w:start w:val="1"/>
      <w:numFmt w:val="bullet"/>
      <w:lvlText w:val=""/>
      <w:lvlJc w:val="start"/>
      <w:pPr>
        <w:tabs>
          <w:tab w:val="num" w:pos="1440"/>
        </w:tabs>
        <w:ind w:start="1440" w:hanging="360"/>
      </w:pPr>
      <w:rPr>
        <w:rFonts w:ascii="Symbol" w:hAnsi="Symbol" w:cs="Symbol" w:hint="default"/>
      </w:rPr>
    </w:lvl>
    <w:lvl w:ilvl="4">
      <w:start w:val="1"/>
      <w:numFmt w:val="bullet"/>
      <w:lvlText w:val="◦"/>
      <w:lvlJc w:val="start"/>
      <w:pPr>
        <w:tabs>
          <w:tab w:val="num" w:pos="1800"/>
        </w:tabs>
        <w:ind w:start="1800" w:hanging="360"/>
      </w:pPr>
      <w:rPr>
        <w:rFonts w:ascii="OpenSymbol" w:hAnsi="OpenSymbol" w:cs="OpenSymbol" w:hint="default"/>
      </w:rPr>
    </w:lvl>
    <w:lvl w:ilvl="5">
      <w:start w:val="1"/>
      <w:numFmt w:val="bullet"/>
      <w:lvlText w:val="▪"/>
      <w:lvlJc w:val="start"/>
      <w:pPr>
        <w:tabs>
          <w:tab w:val="num" w:pos="2160"/>
        </w:tabs>
        <w:ind w:start="2160" w:hanging="360"/>
      </w:pPr>
      <w:rPr>
        <w:rFonts w:ascii="OpenSymbol" w:hAnsi="OpenSymbol" w:cs="OpenSymbol" w:hint="default"/>
      </w:rPr>
    </w:lvl>
    <w:lvl w:ilvl="6">
      <w:start w:val="1"/>
      <w:numFmt w:val="bullet"/>
      <w:lvlText w:val=""/>
      <w:lvlJc w:val="start"/>
      <w:pPr>
        <w:tabs>
          <w:tab w:val="num" w:pos="2520"/>
        </w:tabs>
        <w:ind w:start="2520" w:hanging="360"/>
      </w:pPr>
      <w:rPr>
        <w:rFonts w:ascii="Symbol" w:hAnsi="Symbol" w:cs="Symbol" w:hint="default"/>
      </w:rPr>
    </w:lvl>
    <w:lvl w:ilvl="7">
      <w:start w:val="1"/>
      <w:numFmt w:val="bullet"/>
      <w:lvlText w:val="◦"/>
      <w:lvlJc w:val="start"/>
      <w:pPr>
        <w:tabs>
          <w:tab w:val="num" w:pos="2880"/>
        </w:tabs>
        <w:ind w:start="2880" w:hanging="360"/>
      </w:pPr>
      <w:rPr>
        <w:rFonts w:ascii="OpenSymbol" w:hAnsi="OpenSymbol" w:cs="OpenSymbol" w:hint="default"/>
      </w:rPr>
    </w:lvl>
    <w:lvl w:ilvl="8">
      <w:start w:val="1"/>
      <w:numFmt w:val="bullet"/>
      <w:lvlText w:val="▪"/>
      <w:lvlJc w:val="start"/>
      <w:pPr>
        <w:tabs>
          <w:tab w:val="num" w:pos="3240"/>
        </w:tabs>
        <w:ind w:start="3240" w:hanging="360"/>
      </w:pPr>
      <w:rPr>
        <w:rFonts w:ascii="OpenSymbol" w:hAnsi="OpenSymbol" w:cs="OpenSymbol" w:hint="default"/>
      </w:rPr>
    </w:lvl>
  </w:abstractNum>
  <w:abstractNum w:abstractNumId="6">
    <w:lvl w:ilvl="0">
      <w:start w:val="2"/>
      <w:numFmt w:val="decimal"/>
      <w:lvlText w:val="%1"/>
      <w:lvlJc w:val="start"/>
      <w:pPr>
        <w:tabs>
          <w:tab w:val="num" w:pos="0"/>
        </w:tabs>
        <w:ind w:start="360" w:hanging="360"/>
      </w:pPr>
    </w:lvl>
    <w:lvl w:ilvl="1">
      <w:start w:val="3"/>
      <w:numFmt w:val="decimal"/>
      <w:lvlText w:val="%1.%2"/>
      <w:lvlJc w:val="start"/>
      <w:pPr>
        <w:tabs>
          <w:tab w:val="num" w:pos="0"/>
        </w:tabs>
        <w:ind w:start="360" w:hanging="360"/>
      </w:pPr>
    </w:lvl>
    <w:lvl w:ilvl="2">
      <w:start w:val="1"/>
      <w:numFmt w:val="decimal"/>
      <w:lvlText w:val="%1.%2.%3"/>
      <w:lvlJc w:val="start"/>
      <w:pPr>
        <w:tabs>
          <w:tab w:val="num" w:pos="0"/>
        </w:tabs>
        <w:ind w:start="720" w:hanging="720"/>
      </w:pPr>
    </w:lvl>
    <w:lvl w:ilvl="3">
      <w:start w:val="1"/>
      <w:numFmt w:val="decimal"/>
      <w:lvlText w:val="%1.%2.%3.%4"/>
      <w:lvlJc w:val="start"/>
      <w:pPr>
        <w:tabs>
          <w:tab w:val="num" w:pos="0"/>
        </w:tabs>
        <w:ind w:start="720" w:hanging="720"/>
      </w:pPr>
    </w:lvl>
    <w:lvl w:ilvl="4">
      <w:start w:val="1"/>
      <w:numFmt w:val="decimal"/>
      <w:lvlText w:val="%1.%2.%3.%4.%5"/>
      <w:lvlJc w:val="start"/>
      <w:pPr>
        <w:tabs>
          <w:tab w:val="num" w:pos="0"/>
        </w:tabs>
        <w:ind w:start="1080" w:hanging="1080"/>
      </w:pPr>
    </w:lvl>
    <w:lvl w:ilvl="5">
      <w:start w:val="1"/>
      <w:numFmt w:val="decimal"/>
      <w:lvlText w:val="%1.%2.%3.%4.%5.%6"/>
      <w:lvlJc w:val="start"/>
      <w:pPr>
        <w:tabs>
          <w:tab w:val="num" w:pos="0"/>
        </w:tabs>
        <w:ind w:start="1080" w:hanging="1080"/>
      </w:pPr>
    </w:lvl>
    <w:lvl w:ilvl="6">
      <w:start w:val="1"/>
      <w:numFmt w:val="decimal"/>
      <w:lvlText w:val="%1.%2.%3.%4.%5.%6.%7"/>
      <w:lvlJc w:val="start"/>
      <w:pPr>
        <w:tabs>
          <w:tab w:val="num" w:pos="0"/>
        </w:tabs>
        <w:ind w:start="1440" w:hanging="1440"/>
      </w:pPr>
    </w:lvl>
    <w:lvl w:ilvl="7">
      <w:start w:val="1"/>
      <w:numFmt w:val="decimal"/>
      <w:lvlText w:val="%1.%2.%3.%4.%5.%6.%7.%8"/>
      <w:lvlJc w:val="start"/>
      <w:pPr>
        <w:tabs>
          <w:tab w:val="num" w:pos="0"/>
        </w:tabs>
        <w:ind w:start="1440" w:hanging="1440"/>
      </w:pPr>
    </w:lvl>
    <w:lvl w:ilvl="8">
      <w:start w:val="1"/>
      <w:numFmt w:val="decimal"/>
      <w:lvlText w:val="%1.%2.%3.%4.%5.%6.%7.%8.%9"/>
      <w:lvlJc w:val="start"/>
      <w:pPr>
        <w:tabs>
          <w:tab w:val="num" w:pos="0"/>
        </w:tabs>
        <w:ind w:start="1800" w:hanging="1800"/>
      </w:pPr>
    </w:lvl>
  </w:abstractNum>
  <w:abstractNum w:abstractNumId="7">
    <w:lvl w:ilvl="0">
      <w:start w:val="1"/>
      <w:numFmt w:val="bullet"/>
      <w:lvlText w:val=""/>
      <w:lvlJc w:val="start"/>
      <w:pPr>
        <w:tabs>
          <w:tab w:val="num" w:pos="1440"/>
        </w:tabs>
        <w:ind w:start="1440" w:hanging="360"/>
      </w:pPr>
      <w:rPr>
        <w:rFonts w:ascii="Symbol" w:hAnsi="Symbol" w:cs="Symbol" w:hint="default"/>
      </w:rPr>
    </w:lvl>
    <w:lvl w:ilvl="1">
      <w:start w:val="1"/>
      <w:numFmt w:val="bullet"/>
      <w:lvlText w:val="◦"/>
      <w:lvlJc w:val="start"/>
      <w:pPr>
        <w:tabs>
          <w:tab w:val="num" w:pos="1800"/>
        </w:tabs>
        <w:ind w:start="1800" w:hanging="360"/>
      </w:pPr>
      <w:rPr>
        <w:rFonts w:ascii="OpenSymbol" w:hAnsi="OpenSymbol" w:cs="OpenSymbol" w:hint="default"/>
      </w:rPr>
    </w:lvl>
    <w:lvl w:ilvl="2">
      <w:start w:val="1"/>
      <w:numFmt w:val="bullet"/>
      <w:lvlText w:val="▪"/>
      <w:lvlJc w:val="start"/>
      <w:pPr>
        <w:tabs>
          <w:tab w:val="num" w:pos="2160"/>
        </w:tabs>
        <w:ind w:start="2160" w:hanging="360"/>
      </w:pPr>
      <w:rPr>
        <w:rFonts w:ascii="OpenSymbol" w:hAnsi="OpenSymbol" w:cs="OpenSymbol" w:hint="default"/>
      </w:rPr>
    </w:lvl>
    <w:lvl w:ilvl="3">
      <w:start w:val="1"/>
      <w:numFmt w:val="bullet"/>
      <w:lvlText w:val=""/>
      <w:lvlJc w:val="start"/>
      <w:pPr>
        <w:tabs>
          <w:tab w:val="num" w:pos="2520"/>
        </w:tabs>
        <w:ind w:start="2520" w:hanging="360"/>
      </w:pPr>
      <w:rPr>
        <w:rFonts w:ascii="Symbol" w:hAnsi="Symbol" w:cs="Symbol" w:hint="default"/>
      </w:rPr>
    </w:lvl>
    <w:lvl w:ilvl="4">
      <w:start w:val="1"/>
      <w:numFmt w:val="bullet"/>
      <w:lvlText w:val="◦"/>
      <w:lvlJc w:val="start"/>
      <w:pPr>
        <w:tabs>
          <w:tab w:val="num" w:pos="2880"/>
        </w:tabs>
        <w:ind w:start="2880" w:hanging="360"/>
      </w:pPr>
      <w:rPr>
        <w:rFonts w:ascii="OpenSymbol" w:hAnsi="OpenSymbol" w:cs="OpenSymbol" w:hint="default"/>
      </w:rPr>
    </w:lvl>
    <w:lvl w:ilvl="5">
      <w:start w:val="1"/>
      <w:numFmt w:val="bullet"/>
      <w:lvlText w:val="▪"/>
      <w:lvlJc w:val="start"/>
      <w:pPr>
        <w:tabs>
          <w:tab w:val="num" w:pos="3240"/>
        </w:tabs>
        <w:ind w:start="3240" w:hanging="360"/>
      </w:pPr>
      <w:rPr>
        <w:rFonts w:ascii="OpenSymbol" w:hAnsi="OpenSymbol" w:cs="OpenSymbol" w:hint="default"/>
      </w:rPr>
    </w:lvl>
    <w:lvl w:ilvl="6">
      <w:start w:val="1"/>
      <w:numFmt w:val="bullet"/>
      <w:lvlText w:val=""/>
      <w:lvlJc w:val="start"/>
      <w:pPr>
        <w:tabs>
          <w:tab w:val="num" w:pos="3600"/>
        </w:tabs>
        <w:ind w:start="3600" w:hanging="360"/>
      </w:pPr>
      <w:rPr>
        <w:rFonts w:ascii="Symbol" w:hAnsi="Symbol" w:cs="Symbol" w:hint="default"/>
      </w:rPr>
    </w:lvl>
    <w:lvl w:ilvl="7">
      <w:start w:val="1"/>
      <w:numFmt w:val="bullet"/>
      <w:lvlText w:val="◦"/>
      <w:lvlJc w:val="start"/>
      <w:pPr>
        <w:tabs>
          <w:tab w:val="num" w:pos="3960"/>
        </w:tabs>
        <w:ind w:start="3960" w:hanging="360"/>
      </w:pPr>
      <w:rPr>
        <w:rFonts w:ascii="OpenSymbol" w:hAnsi="OpenSymbol" w:cs="OpenSymbol" w:hint="default"/>
      </w:rPr>
    </w:lvl>
    <w:lvl w:ilvl="8">
      <w:start w:val="1"/>
      <w:numFmt w:val="bullet"/>
      <w:lvlText w:val="▪"/>
      <w:lvlJc w:val="start"/>
      <w:pPr>
        <w:tabs>
          <w:tab w:val="num" w:pos="4320"/>
        </w:tabs>
        <w:ind w:start="4320" w:hanging="360"/>
      </w:pPr>
      <w:rPr>
        <w:rFonts w:ascii="OpenSymbol" w:hAnsi="OpenSymbol" w:cs="OpenSymbol" w:hint="default"/>
      </w:rPr>
    </w:lvl>
  </w:abstractNum>
  <w:abstractNum w:abstractNumId="8">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abstractNum w:abstractNumId="9">
    <w:lvl w:ilvl="0">
      <w:start w:val="1"/>
      <w:numFmt w:val="decimal"/>
      <w:lvlText w:val="%1"/>
      <w:lvlJc w:val="start"/>
      <w:pPr>
        <w:tabs>
          <w:tab w:val="num" w:pos="720"/>
        </w:tabs>
        <w:ind w:start="720" w:hanging="360"/>
      </w:pPr>
    </w:lvl>
    <w:lvl w:ilvl="1">
      <w:start w:val="1"/>
      <w:numFmt w:val="decimal"/>
      <w:lvlText w:val="%1.%2"/>
      <w:lvlJc w:val="start"/>
      <w:pPr>
        <w:tabs>
          <w:tab w:val="num" w:pos="1440"/>
        </w:tabs>
        <w:ind w:start="1440" w:hanging="360"/>
      </w:pPr>
    </w:lvl>
    <w:lvl w:ilvl="2">
      <w:start w:val="1"/>
      <w:numFmt w:val="decimal"/>
      <w:lvlText w:val="%1.%2.%3"/>
      <w:lvlJc w:val="start"/>
      <w:pPr>
        <w:tabs>
          <w:tab w:val="num" w:pos="1800"/>
        </w:tabs>
        <w:ind w:start="1800" w:hanging="360"/>
      </w:pPr>
    </w:lvl>
    <w:lvl w:ilvl="3">
      <w:start w:val="1"/>
      <w:numFmt w:val="decimal"/>
      <w:lvlText w:val="%2.%3.%4"/>
      <w:lvlJc w:val="start"/>
      <w:pPr>
        <w:tabs>
          <w:tab w:val="num" w:pos="2160"/>
        </w:tabs>
        <w:ind w:start="2160" w:hanging="360"/>
      </w:pPr>
    </w:lvl>
    <w:lvl w:ilvl="4">
      <w:start w:val="1"/>
      <w:numFmt w:val="decimal"/>
      <w:lvlText w:val="%3.%4.%5"/>
      <w:lvlJc w:val="start"/>
      <w:pPr>
        <w:tabs>
          <w:tab w:val="num" w:pos="2520"/>
        </w:tabs>
        <w:ind w:start="2520" w:hanging="360"/>
      </w:pPr>
    </w:lvl>
    <w:lvl w:ilvl="5">
      <w:start w:val="1"/>
      <w:numFmt w:val="decimal"/>
      <w:lvlText w:val="%4.%5.%6"/>
      <w:lvlJc w:val="start"/>
      <w:pPr>
        <w:tabs>
          <w:tab w:val="num" w:pos="2880"/>
        </w:tabs>
        <w:ind w:start="2880" w:hanging="360"/>
      </w:pPr>
    </w:lvl>
    <w:lvl w:ilvl="6">
      <w:start w:val="1"/>
      <w:numFmt w:val="decimal"/>
      <w:lvlText w:val="%5.%6.%7"/>
      <w:lvlJc w:val="start"/>
      <w:pPr>
        <w:tabs>
          <w:tab w:val="num" w:pos="3240"/>
        </w:tabs>
        <w:ind w:start="3240" w:hanging="360"/>
      </w:pPr>
    </w:lvl>
    <w:lvl w:ilvl="7">
      <w:start w:val="1"/>
      <w:numFmt w:val="decimal"/>
      <w:lvlText w:val="%6.%7.%8"/>
      <w:lvlJc w:val="start"/>
      <w:pPr>
        <w:tabs>
          <w:tab w:val="num" w:pos="3600"/>
        </w:tabs>
        <w:ind w:start="3600" w:hanging="360"/>
      </w:pPr>
    </w:lvl>
    <w:lvl w:ilvl="8">
      <w:start w:val="1"/>
      <w:numFmt w:val="decimal"/>
      <w:lvlText w:val="%7.%8.%9"/>
      <w:lvlJc w:val="start"/>
      <w:pPr>
        <w:tabs>
          <w:tab w:val="num" w:pos="3960"/>
        </w:tabs>
        <w:ind w:start="396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40"/>
  <w:defaultTabStop w:val="709"/>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0"/>
        <w:szCs w:val="24"/>
        <w:lang w:val="en-IN"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Noto Serif CJK SC" w:cs="Lohit Devanagari"/>
      <w:color w:val="auto"/>
      <w:kern w:val="2"/>
      <w:sz w:val="24"/>
      <w:szCs w:val="24"/>
      <w:lang w:val="en-IN" w:eastAsia="zh-CN" w:bidi="hi-IN"/>
    </w:rPr>
  </w:style>
  <w:style w:type="paragraph" w:styleId="Heading1">
    <w:name w:val="Heading 1"/>
    <w:basedOn w:val="Normal"/>
    <w:next w:val="Normal"/>
    <w:qFormat/>
    <w:pPr>
      <w:keepNext w:val="true"/>
      <w:numPr>
        <w:ilvl w:val="0"/>
        <w:numId w:val="1"/>
      </w:numPr>
      <w:spacing w:before="120" w:after="120"/>
      <w:outlineLvl w:val="0"/>
    </w:pPr>
    <w:rPr>
      <w:b/>
      <w:bCs/>
      <w:sz w:val="28"/>
      <w:szCs w:val="28"/>
    </w:rPr>
  </w:style>
  <w:style w:type="paragraph" w:styleId="Heading2">
    <w:name w:val="Heading 2"/>
    <w:basedOn w:val="Normal"/>
    <w:next w:val="Normal"/>
    <w:qFormat/>
    <w:pPr>
      <w:keepNext w:val="true"/>
      <w:numPr>
        <w:ilvl w:val="1"/>
        <w:numId w:val="1"/>
      </w:numPr>
      <w:spacing w:before="120" w:after="120"/>
      <w:outlineLvl w:val="1"/>
    </w:pPr>
    <w:rPr>
      <w:b/>
      <w:bCs/>
      <w:sz w:val="24"/>
    </w:rPr>
  </w:style>
  <w:style w:type="character" w:styleId="Annotationreference">
    <w:name w:val="annotation reference"/>
    <w:qFormat/>
    <w:rPr>
      <w:sz w:val="16"/>
      <w:szCs w:val="16"/>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qFormat/>
    <w:pPr>
      <w:spacing w:before="0" w:after="0"/>
    </w:pPr>
    <w:rPr>
      <w:rFonts w:eastAsia="" w:eastAsiaTheme="minorEastAsia"/>
      <w:lang w:eastAsia="ko-KR"/>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paragraph" w:styleId="Standard">
    <w:name w:val="Standard"/>
    <w:qFormat/>
    <w:pPr>
      <w:widowControl/>
      <w:suppressAutoHyphens w:val="true"/>
      <w:bidi w:val="0"/>
      <w:spacing w:before="0" w:after="0"/>
      <w:jc w:val="start"/>
      <w:textAlignment w:val="baseline"/>
    </w:pPr>
    <w:rPr>
      <w:rFonts w:ascii="Liberation Serif" w:hAnsi="Liberation Serif" w:eastAsia="Noto Sans CJK SC Regular" w:cs="FreeSans"/>
      <w:color w:val="00000A"/>
      <w:kern w:val="0"/>
      <w:sz w:val="22"/>
      <w:szCs w:val="24"/>
      <w:lang w:val="en-IN" w:eastAsia="zh-CN" w:bidi="hi-IN"/>
    </w:rPr>
  </w:style>
  <w:style w:type="paragraph" w:styleId="PreformattedText">
    <w:name w:val="Preformatted Text"/>
    <w:basedOn w:val="Normal"/>
    <w:qFormat/>
    <w:pPr/>
    <w:rPr/>
  </w:style>
  <w:style w:type="paragraph" w:styleId="References">
    <w:name w:val="References"/>
    <w:basedOn w:val="Normal"/>
    <w:qFormat/>
    <w:pPr>
      <w:spacing w:before="0" w:after="60"/>
    </w:pPr>
    <w:rPr>
      <w:sz w:val="20"/>
      <w:szCs w:val="1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chart" Target="charts/chart1.xml"/><Relationship Id="rId3" Type="http://schemas.openxmlformats.org/officeDocument/2006/relationships/image" Target="media/image1.jpeg"/><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word/charts/chart1.xml><?xml version="1.0" encoding="utf-8"?>
<c:chartSpace xmlns:c="http://schemas.openxmlformats.org/drawingml/2006/chart" xmlns:a="http://schemas.openxmlformats.org/drawingml/2006/main" xmlns:r="http://schemas.openxmlformats.org/officeDocument/2006/relationships">
  <c:lang val="en-US"/>
  <c:roundedCorners val="0"/>
  <c:chart>
    <c:autoTitleDeleted val="1"/>
    <c:plotArea>
      <c:barChart>
        <c:barDir val="col"/>
        <c:grouping val="clustered"/>
        <c:varyColors val="0"/>
        <c:ser>
          <c:idx val="0"/>
          <c:order val="0"/>
          <c:tx>
            <c:strRef>
              <c:f>label 0</c:f>
              <c:strCache>
                <c:ptCount val="1"/>
                <c:pt idx="0">
                  <c:v>without_offloading</c:v>
                </c:pt>
              </c:strCache>
            </c:strRef>
          </c:tx>
          <c:spPr>
            <a:solidFill>
              <a:srgbClr val="004586"/>
            </a:solidFill>
            <a:ln>
              <a:noFill/>
            </a:ln>
          </c:spPr>
          <c:invertIfNegative val="0"/>
          <c:dLbls>
            <c:txPr>
              <a:bodyPr/>
              <a:lstStyle/>
              <a:p>
                <a:pPr>
                  <a:defRPr b="0" sz="1000" spc="-1" strike="noStrike">
                    <a:solidFill>
                      <a:srgbClr val="000000"/>
                    </a:solidFill>
                    <a:latin typeface="Arial"/>
                  </a:defRPr>
                </a:pPr>
              </a:p>
            </c:txPr>
            <c:dLblPos val="outEnd"/>
            <c:showLegendKey val="0"/>
            <c:showVal val="0"/>
            <c:showCatName val="0"/>
            <c:showSerName val="0"/>
            <c:showPercent val="0"/>
            <c:separator> </c:separator>
            <c:showLeaderLines val="0"/>
          </c:dLbls>
          <c:cat>
            <c:strRef>
              <c:f>categories</c:f>
              <c:strCache>
                <c:ptCount val="4"/>
                <c:pt idx="0">
                  <c:v>No</c:v>
                </c:pt>
                <c:pt idx="1">
                  <c:v>Low</c:v>
                </c:pt>
                <c:pt idx="2">
                  <c:v>Light</c:v>
                </c:pt>
                <c:pt idx="3">
                  <c:v>Medium</c:v>
                </c:pt>
              </c:strCache>
            </c:strRef>
          </c:cat>
          <c:val>
            <c:numRef>
              <c:f>0</c:f>
              <c:numCache>
                <c:formatCode>General</c:formatCode>
                <c:ptCount val="4"/>
                <c:pt idx="0">
                  <c:v>46</c:v>
                </c:pt>
                <c:pt idx="1">
                  <c:v>11.2</c:v>
                </c:pt>
                <c:pt idx="2">
                  <c:v>4.5</c:v>
                </c:pt>
                <c:pt idx="3">
                  <c:v>2.3</c:v>
                </c:pt>
              </c:numCache>
            </c:numRef>
          </c:val>
        </c:ser>
        <c:ser>
          <c:idx val="1"/>
          <c:order val="1"/>
          <c:tx>
            <c:strRef>
              <c:f>label 1</c:f>
              <c:strCache>
                <c:ptCount val="1"/>
                <c:pt idx="0">
                  <c:v>with_offloading</c:v>
                </c:pt>
              </c:strCache>
            </c:strRef>
          </c:tx>
          <c:spPr>
            <a:solidFill>
              <a:srgbClr val="ff420e"/>
            </a:solidFill>
            <a:ln>
              <a:noFill/>
            </a:ln>
          </c:spPr>
          <c:invertIfNegative val="0"/>
          <c:dLbls>
            <c:txPr>
              <a:bodyPr/>
              <a:lstStyle/>
              <a:p>
                <a:pPr>
                  <a:defRPr b="0" sz="1000" spc="-1" strike="noStrike">
                    <a:solidFill>
                      <a:srgbClr val="000000"/>
                    </a:solidFill>
                    <a:latin typeface="Arial"/>
                  </a:defRPr>
                </a:pPr>
              </a:p>
            </c:txPr>
            <c:dLblPos val="outEnd"/>
            <c:showLegendKey val="0"/>
            <c:showVal val="0"/>
            <c:showCatName val="0"/>
            <c:showSerName val="0"/>
            <c:showPercent val="0"/>
            <c:separator> </c:separator>
            <c:showLeaderLines val="0"/>
          </c:dLbls>
          <c:cat>
            <c:strRef>
              <c:f>categories</c:f>
              <c:strCache>
                <c:ptCount val="4"/>
                <c:pt idx="0">
                  <c:v>No</c:v>
                </c:pt>
                <c:pt idx="1">
                  <c:v>Low</c:v>
                </c:pt>
                <c:pt idx="2">
                  <c:v>Light</c:v>
                </c:pt>
                <c:pt idx="3">
                  <c:v>Medium</c:v>
                </c:pt>
              </c:strCache>
            </c:strRef>
          </c:cat>
          <c:val>
            <c:numRef>
              <c:f>1</c:f>
              <c:numCache>
                <c:formatCode>General</c:formatCode>
                <c:ptCount val="4"/>
                <c:pt idx="0">
                  <c:v>46</c:v>
                </c:pt>
                <c:pt idx="1">
                  <c:v>17.9</c:v>
                </c:pt>
                <c:pt idx="2">
                  <c:v>13.43</c:v>
                </c:pt>
                <c:pt idx="3">
                  <c:v>11.18</c:v>
                </c:pt>
              </c:numCache>
            </c:numRef>
          </c:val>
        </c:ser>
        <c:gapWidth val="100"/>
        <c:overlap val="0"/>
        <c:axId val="19739675"/>
        <c:axId val="58829290"/>
      </c:barChart>
      <c:catAx>
        <c:axId val="19739675"/>
        <c:scaling>
          <c:orientation val="minMax"/>
        </c:scaling>
        <c:delete val="0"/>
        <c:axPos val="b"/>
        <c:title>
          <c:tx>
            <c:rich>
              <a:bodyPr rot="0"/>
              <a:lstStyle/>
              <a:p>
                <a:pPr>
                  <a:defRPr b="0" sz="900" spc="-1" strike="noStrike">
                    <a:solidFill>
                      <a:srgbClr val="000000"/>
                    </a:solidFill>
                    <a:latin typeface="Arial"/>
                  </a:defRPr>
                </a:pPr>
                <a:r>
                  <a:rPr b="0" sz="900" spc="-1" strike="noStrike">
                    <a:solidFill>
                      <a:srgbClr val="000000"/>
                    </a:solidFill>
                    <a:latin typeface="Arial"/>
                  </a:rPr>
                  <a:t>Load</a:t>
                </a:r>
              </a:p>
            </c:rich>
          </c:tx>
          <c:overlay val="0"/>
          <c:spPr>
            <a:noFill/>
            <a:ln>
              <a:noFill/>
            </a:ln>
          </c:spPr>
        </c:title>
        <c:numFmt formatCode="[$-4009]dd/mm/yyyy" sourceLinked="1"/>
        <c:majorTickMark val="out"/>
        <c:minorTickMark val="none"/>
        <c:tickLblPos val="nextTo"/>
        <c:spPr>
          <a:ln>
            <a:solidFill>
              <a:srgbClr val="b3b3b3"/>
            </a:solidFill>
          </a:ln>
        </c:spPr>
        <c:txPr>
          <a:bodyPr/>
          <a:lstStyle/>
          <a:p>
            <a:pPr>
              <a:defRPr b="0" sz="1000" spc="-1" strike="noStrike">
                <a:solidFill>
                  <a:srgbClr val="000000"/>
                </a:solidFill>
                <a:latin typeface="Arial"/>
              </a:defRPr>
            </a:pPr>
          </a:p>
        </c:txPr>
        <c:crossAx val="58829290"/>
        <c:crosses val="autoZero"/>
        <c:auto val="1"/>
        <c:lblAlgn val="ctr"/>
        <c:lblOffset val="100"/>
        <c:noMultiLvlLbl val="0"/>
      </c:catAx>
      <c:valAx>
        <c:axId val="58829290"/>
        <c:scaling>
          <c:orientation val="minMax"/>
        </c:scaling>
        <c:delete val="0"/>
        <c:axPos val="l"/>
        <c:majorGridlines>
          <c:spPr>
            <a:ln>
              <a:solidFill>
                <a:srgbClr val="b3b3b3"/>
              </a:solidFill>
            </a:ln>
          </c:spPr>
        </c:majorGridlines>
        <c:title>
          <c:tx>
            <c:rich>
              <a:bodyPr rot="-5400000"/>
              <a:lstStyle/>
              <a:p>
                <a:pPr>
                  <a:defRPr b="0" sz="900" spc="-1" strike="noStrike">
                    <a:solidFill>
                      <a:srgbClr val="000000"/>
                    </a:solidFill>
                    <a:latin typeface="Arial"/>
                  </a:defRPr>
                </a:pPr>
                <a:r>
                  <a:rPr b="0" sz="900" spc="-1" strike="noStrike">
                    <a:solidFill>
                      <a:srgbClr val="000000"/>
                    </a:solidFill>
                    <a:latin typeface="Arial"/>
                  </a:rPr>
                  <a:t>Energy Saving %</a:t>
                </a:r>
              </a:p>
            </c:rich>
          </c:tx>
          <c:overlay val="0"/>
          <c:spPr>
            <a:noFill/>
            <a:ln>
              <a:noFill/>
            </a:ln>
          </c:spPr>
        </c:title>
        <c:numFmt formatCode="General" sourceLinked="0"/>
        <c:majorTickMark val="out"/>
        <c:minorTickMark val="none"/>
        <c:tickLblPos val="nextTo"/>
        <c:spPr>
          <a:ln>
            <a:solidFill>
              <a:srgbClr val="b3b3b3"/>
            </a:solidFill>
          </a:ln>
        </c:spPr>
        <c:txPr>
          <a:bodyPr/>
          <a:lstStyle/>
          <a:p>
            <a:pPr>
              <a:defRPr b="0" sz="1000" spc="-1" strike="noStrike">
                <a:solidFill>
                  <a:srgbClr val="000000"/>
                </a:solidFill>
                <a:latin typeface="Arial"/>
              </a:defRPr>
            </a:pPr>
          </a:p>
        </c:txPr>
        <c:crossAx val="19739675"/>
        <c:crosses val="autoZero"/>
        <c:crossBetween val="between"/>
      </c:valAx>
      <c:spPr>
        <a:noFill/>
        <a:ln>
          <a:solidFill>
            <a:srgbClr val="b3b3b3"/>
          </a:solidFill>
        </a:ln>
      </c:spPr>
    </c:plotArea>
    <c:legend>
      <c:legendPos val="b"/>
      <c:overlay val="0"/>
      <c:spPr>
        <a:noFill/>
        <a:ln>
          <a:noFill/>
        </a:ln>
      </c:spPr>
      <c:txPr>
        <a:bodyPr/>
        <a:lstStyle/>
        <a:p>
          <a:pPr>
            <a:defRPr b="0" sz="1000" spc="-1" strike="noStrike">
              <a:solidFill>
                <a:srgbClr val="000000"/>
              </a:solidFill>
              <a:latin typeface="Arial"/>
            </a:defRPr>
          </a:pPr>
        </a:p>
      </c:txPr>
    </c:legend>
    <c:plotVisOnly val="1"/>
    <c:dispBlanksAs val="gap"/>
  </c:chart>
  <c:spPr>
    <a:solidFill>
      <a:srgbClr val="ffffff"/>
    </a:solidFill>
    <a:ln w="9360">
      <a:noFill/>
    </a:ln>
  </c:spPr>
</c:chartSpace>
</file>

<file path=docProps/app.xml><?xml version="1.0" encoding="utf-8"?>
<Properties xmlns="http://schemas.openxmlformats.org/officeDocument/2006/extended-properties" xmlns:vt="http://schemas.openxmlformats.org/officeDocument/2006/docPropsVTypes">
  <Template/>
  <TotalTime>154</TotalTime>
  <Application>LibreOffice/6.4.7.2$Linux_X86_64 LibreOffice_project/40$Build-2</Application>
  <Pages>9</Pages>
  <Words>3758</Words>
  <Characters>18682</Characters>
  <CharactersWithSpaces>22235</CharactersWithSpaces>
  <Paragraphs>213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2022-11-15T16:40:31Z</dcterms:created>
  <dc:creator/>
  <dc:description/>
  <dc:language>en-IN</dc:language>
  <cp:lastModifiedBy/>
  <dcterms:modified xsi:type="dcterms:W3CDTF">2022-11-16T22:11:31Z</dcterms:modified>
  <cp:revision>27</cp:revision>
  <dc:subject/>
  <dc:title/>
</cp:coreProperties>
</file>