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DD5A5" w14:textId="32476412" w:rsidR="009C2433" w:rsidRPr="00B3214F" w:rsidRDefault="009C2433" w:rsidP="009C2433">
      <w:pPr>
        <w:pStyle w:val="aff3"/>
        <w:snapToGrid w:val="0"/>
        <w:ind w:left="2384" w:hangingChars="993" w:hanging="2384"/>
        <w:rPr>
          <w:rFonts w:ascii="Arial" w:hAnsi="Arial" w:cs="Arial"/>
          <w:b/>
          <w:bCs/>
          <w:sz w:val="24"/>
          <w:szCs w:val="24"/>
          <w:lang w:val="en-GB"/>
        </w:rPr>
      </w:pPr>
      <w:bookmarkStart w:id="0" w:name="OLE_LINK2"/>
      <w:bookmarkStart w:id="1" w:name="OLE_LINK3"/>
      <w:r w:rsidRPr="00B3214F">
        <w:rPr>
          <w:rFonts w:ascii="Arial" w:hAnsi="Arial" w:cs="Arial"/>
          <w:b/>
          <w:bCs/>
          <w:sz w:val="24"/>
          <w:szCs w:val="24"/>
          <w:lang w:val="en-GB"/>
        </w:rPr>
        <w:t>3GPP TSG RAN WG1 #11</w:t>
      </w:r>
      <w:r>
        <w:rPr>
          <w:rFonts w:ascii="Arial" w:hAnsi="Arial" w:cs="Arial"/>
          <w:b/>
          <w:bCs/>
          <w:sz w:val="24"/>
          <w:szCs w:val="24"/>
          <w:lang w:val="en-GB"/>
        </w:rPr>
        <w:t>1</w:t>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t xml:space="preserve"> </w:t>
      </w:r>
      <w:r w:rsidRPr="00B3214F">
        <w:rPr>
          <w:rFonts w:ascii="Arial" w:hAnsi="Arial" w:cs="Arial"/>
          <w:b/>
          <w:bCs/>
          <w:sz w:val="24"/>
          <w:szCs w:val="24"/>
          <w:lang w:val="en-GB"/>
        </w:rPr>
        <w:tab/>
      </w:r>
      <w:r>
        <w:rPr>
          <w:rFonts w:ascii="Arial" w:hAnsi="Arial" w:cs="Arial"/>
          <w:b/>
          <w:bCs/>
          <w:sz w:val="24"/>
          <w:szCs w:val="24"/>
          <w:lang w:val="en-GB"/>
        </w:rPr>
        <w:t xml:space="preserve">  </w:t>
      </w:r>
      <w:r w:rsidR="008F6BA9">
        <w:rPr>
          <w:rFonts w:ascii="Arial" w:hAnsi="Arial" w:cs="Arial"/>
          <w:b/>
          <w:bCs/>
          <w:sz w:val="24"/>
          <w:szCs w:val="24"/>
          <w:lang w:val="en-GB"/>
        </w:rPr>
        <w:t xml:space="preserve">    </w:t>
      </w:r>
      <w:r w:rsidR="00D344EB" w:rsidRPr="00D344EB">
        <w:rPr>
          <w:rFonts w:ascii="Arial" w:hAnsi="Arial" w:cs="Arial"/>
          <w:b/>
          <w:bCs/>
          <w:sz w:val="24"/>
          <w:szCs w:val="24"/>
          <w:lang w:val="en-GB"/>
        </w:rPr>
        <w:t>R1-2212348</w:t>
      </w:r>
      <w:bookmarkStart w:id="2" w:name="_GoBack"/>
      <w:bookmarkEnd w:id="2"/>
    </w:p>
    <w:p w14:paraId="528A0B7C" w14:textId="77777777" w:rsidR="009C2433" w:rsidRDefault="009C2433" w:rsidP="009C2433">
      <w:pPr>
        <w:pStyle w:val="aff3"/>
        <w:snapToGrid w:val="0"/>
        <w:ind w:left="2384" w:hangingChars="993" w:hanging="2384"/>
        <w:rPr>
          <w:rFonts w:ascii="Arial" w:hAnsi="Arial" w:cs="Arial"/>
          <w:b/>
          <w:bCs/>
          <w:sz w:val="24"/>
          <w:szCs w:val="24"/>
          <w:lang w:val="en-GB"/>
        </w:rPr>
      </w:pPr>
      <w:r w:rsidRPr="00B3214F">
        <w:rPr>
          <w:rFonts w:ascii="Arial" w:hAnsi="Arial" w:cs="Arial"/>
          <w:b/>
          <w:bCs/>
          <w:sz w:val="24"/>
          <w:szCs w:val="24"/>
          <w:lang w:val="en-GB"/>
        </w:rPr>
        <w:t>Toulouse, France, November 14th – 18th, 2022</w:t>
      </w:r>
    </w:p>
    <w:p w14:paraId="067EC42F" w14:textId="77777777" w:rsidR="0007797C" w:rsidRPr="009C2433"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3DCAE912"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7111CF">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24BAD110"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634EDB" w:rsidRPr="00634EDB">
        <w:rPr>
          <w:rFonts w:ascii="Arial" w:eastAsiaTheme="minorEastAsia" w:hAnsi="Arial" w:cs="Arial"/>
          <w:b/>
          <w:bCs/>
          <w:sz w:val="24"/>
          <w:szCs w:val="24"/>
          <w:lang w:val="en-GB" w:eastAsia="zh-CN"/>
        </w:rPr>
        <w:t xml:space="preserve">Discussion on </w:t>
      </w:r>
      <w:r w:rsidR="007111CF">
        <w:rPr>
          <w:rFonts w:ascii="Arial" w:eastAsiaTheme="minorEastAsia" w:hAnsi="Arial" w:cs="Arial"/>
          <w:b/>
          <w:bCs/>
          <w:sz w:val="24"/>
          <w:szCs w:val="24"/>
          <w:lang w:val="en-GB" w:eastAsia="zh-CN"/>
        </w:rPr>
        <w:t>CSI enhancement</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1D58F2FD" w:rsidR="00307ABB" w:rsidRDefault="0071010E"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CSI enhancement for Coherent-JT targeting FR1 and up to 4 TRPs, CSI enhancement for high/medium UE velocities </w:t>
      </w:r>
      <w:r w:rsidR="00F56E29">
        <w:rPr>
          <w:rFonts w:eastAsiaTheme="minorEastAsia"/>
          <w:color w:val="000000" w:themeColor="text1"/>
          <w:sz w:val="22"/>
          <w:szCs w:val="22"/>
          <w:lang w:val="en-US" w:eastAsia="zh-CN"/>
        </w:rPr>
        <w:t xml:space="preserve">and TDCP reporting </w:t>
      </w:r>
      <w:r>
        <w:rPr>
          <w:rFonts w:eastAsiaTheme="minorEastAsia"/>
          <w:color w:val="000000" w:themeColor="text1"/>
          <w:sz w:val="22"/>
          <w:szCs w:val="22"/>
          <w:lang w:val="en-US" w:eastAsia="zh-CN"/>
        </w:rPr>
        <w:t xml:space="preserve">were agreed for Rel-18 </w:t>
      </w:r>
      <w:r w:rsidR="009C3CB3">
        <w:rPr>
          <w:rFonts w:eastAsiaTheme="minorEastAsia"/>
          <w:color w:val="000000" w:themeColor="text1"/>
          <w:sz w:val="22"/>
          <w:szCs w:val="22"/>
          <w:lang w:val="en-US" w:eastAsia="zh-CN"/>
        </w:rPr>
        <w:t>MIMO evolution</w:t>
      </w:r>
      <w:r w:rsidR="006F5971">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And i</w:t>
      </w:r>
      <w:r>
        <w:rPr>
          <w:rFonts w:eastAsiaTheme="minorEastAsia" w:hint="eastAsia"/>
          <w:color w:val="000000" w:themeColor="text1"/>
          <w:sz w:val="22"/>
          <w:szCs w:val="22"/>
          <w:lang w:val="en-US" w:eastAsia="zh-CN"/>
        </w:rPr>
        <w:t>n</w:t>
      </w:r>
      <w:r w:rsidR="00F56E29">
        <w:rPr>
          <w:rFonts w:eastAsiaTheme="minorEastAsia"/>
          <w:color w:val="000000" w:themeColor="text1"/>
          <w:sz w:val="22"/>
          <w:szCs w:val="22"/>
          <w:lang w:val="en-US" w:eastAsia="zh-CN"/>
        </w:rPr>
        <w:t xml:space="preserve"> RAN1#110</w:t>
      </w:r>
      <w:r w:rsidR="002F000D">
        <w:rPr>
          <w:rFonts w:eastAsiaTheme="minorEastAsia"/>
          <w:color w:val="000000" w:themeColor="text1"/>
          <w:sz w:val="22"/>
          <w:szCs w:val="22"/>
          <w:lang w:val="en-US" w:eastAsia="zh-CN"/>
        </w:rPr>
        <w:t>bis-e</w:t>
      </w:r>
      <w:r>
        <w:rPr>
          <w:rFonts w:eastAsiaTheme="minorEastAsia"/>
          <w:color w:val="000000" w:themeColor="text1"/>
          <w:sz w:val="22"/>
          <w:szCs w:val="22"/>
          <w:lang w:val="en-US" w:eastAsia="zh-CN"/>
        </w:rPr>
        <w:t xml:space="preserve"> meeting, </w:t>
      </w:r>
      <w:r w:rsidR="00B33CBE">
        <w:rPr>
          <w:rFonts w:eastAsiaTheme="minorEastAsia"/>
          <w:color w:val="000000" w:themeColor="text1"/>
          <w:sz w:val="22"/>
          <w:szCs w:val="22"/>
          <w:lang w:val="en-US" w:eastAsia="zh-CN"/>
        </w:rPr>
        <w:t xml:space="preserve">agreements for </w:t>
      </w:r>
      <w:r>
        <w:rPr>
          <w:rFonts w:eastAsiaTheme="minorEastAsia"/>
          <w:color w:val="000000" w:themeColor="text1"/>
          <w:sz w:val="22"/>
          <w:szCs w:val="22"/>
          <w:lang w:val="en-US" w:eastAsia="zh-CN"/>
        </w:rPr>
        <w:t>CSI enhancements</w:t>
      </w:r>
      <w:r w:rsidR="00B33CBE">
        <w:rPr>
          <w:rFonts w:eastAsiaTheme="minorEastAsia"/>
          <w:color w:val="000000" w:themeColor="text1"/>
          <w:sz w:val="22"/>
          <w:szCs w:val="22"/>
          <w:lang w:val="en-US" w:eastAsia="zh-CN"/>
        </w:rPr>
        <w:t xml:space="preserve"> were achieved as:</w:t>
      </w:r>
      <w:r>
        <w:rPr>
          <w:rFonts w:eastAsiaTheme="minorEastAsia"/>
          <w:color w:val="000000" w:themeColor="text1"/>
          <w:sz w:val="22"/>
          <w:szCs w:val="22"/>
          <w:lang w:val="en-US" w:eastAsia="zh-CN"/>
        </w:rPr>
        <w:t xml:space="preserve"> </w:t>
      </w:r>
    </w:p>
    <w:p w14:paraId="4969A5D8" w14:textId="77777777" w:rsidR="002F000D" w:rsidRPr="005A2DC6" w:rsidRDefault="002F000D" w:rsidP="002F000D">
      <w:pPr>
        <w:snapToGrid w:val="0"/>
        <w:spacing w:after="0"/>
        <w:jc w:val="both"/>
        <w:rPr>
          <w:rFonts w:eastAsia="Malgun Gothic" w:cs="Times"/>
          <w:lang w:val="en-US" w:eastAsia="ko-KR"/>
        </w:rPr>
      </w:pPr>
      <w:r w:rsidRPr="005A2DC6">
        <w:rPr>
          <w:rFonts w:cs="Times"/>
          <w:b/>
          <w:bCs/>
          <w:highlight w:val="green"/>
        </w:rPr>
        <w:t>Agreement</w:t>
      </w:r>
    </w:p>
    <w:p w14:paraId="750C3DE9" w14:textId="77777777" w:rsidR="002F000D" w:rsidRPr="005A2DC6" w:rsidRDefault="002F000D" w:rsidP="002F000D">
      <w:pPr>
        <w:snapToGrid w:val="0"/>
        <w:spacing w:after="0"/>
        <w:jc w:val="both"/>
        <w:rPr>
          <w:rFonts w:cs="Times"/>
        </w:rPr>
      </w:pPr>
      <w:r w:rsidRPr="005A2DC6">
        <w:rPr>
          <w:rFonts w:cs="Times"/>
        </w:rPr>
        <w:t>On the Type-II codebook refinement for CJT mTRP, regarding W2 quantization group, for each layer:</w:t>
      </w:r>
    </w:p>
    <w:p w14:paraId="71B009CE" w14:textId="77777777" w:rsidR="002F000D" w:rsidRPr="005A2DC6" w:rsidRDefault="002F000D" w:rsidP="002F000D">
      <w:pPr>
        <w:numPr>
          <w:ilvl w:val="0"/>
          <w:numId w:val="44"/>
        </w:numPr>
        <w:snapToGrid w:val="0"/>
        <w:spacing w:after="0"/>
        <w:jc w:val="both"/>
        <w:rPr>
          <w:rFonts w:cs="Times"/>
        </w:rPr>
      </w:pPr>
      <w:r w:rsidRPr="005A2DC6">
        <w:rPr>
          <w:rFonts w:cs="Times"/>
        </w:rPr>
        <w:t>Support the following: (Alt1) One group comprises one polarization across all N CSI-RS resources (</w:t>
      </w:r>
      <w:r w:rsidRPr="005A2DC6">
        <w:rPr>
          <w:rFonts w:cs="Times"/>
          <w:i/>
          <w:iCs/>
        </w:rPr>
        <w:t>C</w:t>
      </w:r>
      <w:r w:rsidRPr="005A2DC6">
        <w:rPr>
          <w:rFonts w:cs="Times"/>
          <w:vertAlign w:val="subscript"/>
        </w:rPr>
        <w:t>group,phase</w:t>
      </w:r>
      <w:r w:rsidRPr="005A2DC6">
        <w:rPr>
          <w:rFonts w:cs="Times"/>
        </w:rPr>
        <w:t>=1,</w:t>
      </w:r>
      <w:r w:rsidRPr="005A2DC6">
        <w:rPr>
          <w:rStyle w:val="apple-converted-space"/>
          <w:rFonts w:cs="Times"/>
        </w:rPr>
        <w:t> </w:t>
      </w:r>
      <w:r w:rsidRPr="005A2DC6">
        <w:rPr>
          <w:rFonts w:cs="Times"/>
          <w:i/>
          <w:iCs/>
        </w:rPr>
        <w:t>C</w:t>
      </w:r>
      <w:r w:rsidRPr="005A2DC6">
        <w:rPr>
          <w:rFonts w:cs="Times"/>
          <w:vertAlign w:val="subscript"/>
        </w:rPr>
        <w:t>group,amp</w:t>
      </w:r>
      <w:r w:rsidRPr="005A2DC6">
        <w:rPr>
          <w:rFonts w:cs="Times"/>
        </w:rPr>
        <w:t>=2)</w:t>
      </w:r>
    </w:p>
    <w:p w14:paraId="09750EEA" w14:textId="77777777" w:rsidR="002F000D" w:rsidRPr="005A2DC6" w:rsidRDefault="002F000D" w:rsidP="002F000D">
      <w:pPr>
        <w:numPr>
          <w:ilvl w:val="1"/>
          <w:numId w:val="44"/>
        </w:numPr>
        <w:snapToGrid w:val="0"/>
        <w:spacing w:after="0"/>
        <w:jc w:val="both"/>
        <w:rPr>
          <w:rFonts w:cs="Times"/>
        </w:rPr>
      </w:pPr>
      <w:r w:rsidRPr="005A2DC6">
        <w:rPr>
          <w:rFonts w:cs="Times"/>
        </w:rPr>
        <w:t>FFS: Amplitude quantization table enhancement</w:t>
      </w:r>
    </w:p>
    <w:p w14:paraId="6AC9C9D9" w14:textId="77777777" w:rsidR="002F000D" w:rsidRPr="005A2DC6" w:rsidRDefault="002F000D" w:rsidP="002F000D">
      <w:pPr>
        <w:numPr>
          <w:ilvl w:val="1"/>
          <w:numId w:val="44"/>
        </w:numPr>
        <w:snapToGrid w:val="0"/>
        <w:spacing w:after="0"/>
        <w:jc w:val="both"/>
        <w:rPr>
          <w:rFonts w:cs="Times"/>
        </w:rPr>
      </w:pPr>
      <w:r w:rsidRPr="005A2DC6">
        <w:rPr>
          <w:rFonts w:cs="Times"/>
        </w:rPr>
        <w:t>For the amplitude group other than the group associated with the SCI, the reference amplitude is reported</w:t>
      </w:r>
    </w:p>
    <w:p w14:paraId="5A51756E" w14:textId="77777777" w:rsidR="002F000D" w:rsidRPr="005A2DC6" w:rsidRDefault="002F000D" w:rsidP="002F000D">
      <w:pPr>
        <w:numPr>
          <w:ilvl w:val="0"/>
          <w:numId w:val="44"/>
        </w:numPr>
        <w:snapToGrid w:val="0"/>
        <w:spacing w:after="0"/>
        <w:jc w:val="both"/>
        <w:rPr>
          <w:rFonts w:cs="Times"/>
        </w:rPr>
      </w:pPr>
      <w:r w:rsidRPr="005A2DC6">
        <w:rPr>
          <w:rFonts w:cs="Times"/>
          <w:bCs/>
          <w:highlight w:val="darkYellow"/>
        </w:rPr>
        <w:t>Working assumption</w:t>
      </w:r>
      <w:r w:rsidRPr="005A2DC6">
        <w:rPr>
          <w:rFonts w:cs="Times"/>
        </w:rPr>
        <w:t>: Alt3 is supported in addition to Alt1 (to be confirmed in RAN1#111)</w:t>
      </w:r>
    </w:p>
    <w:p w14:paraId="0212D083" w14:textId="77777777" w:rsidR="002F000D" w:rsidRPr="005A2DC6" w:rsidRDefault="002F000D" w:rsidP="002F000D">
      <w:pPr>
        <w:numPr>
          <w:ilvl w:val="1"/>
          <w:numId w:val="44"/>
        </w:numPr>
        <w:snapToGrid w:val="0"/>
        <w:spacing w:after="0"/>
        <w:rPr>
          <w:rFonts w:cs="Times"/>
        </w:rPr>
      </w:pPr>
      <w:r w:rsidRPr="005A2DC6">
        <w:rPr>
          <w:rFonts w:cs="Times"/>
        </w:rPr>
        <w:t>(Alt3). One group comprises one polarization for one CSI-RS resource with a common phase reference across N CSI-RS resources (C</w:t>
      </w:r>
      <w:r w:rsidRPr="005A2DC6">
        <w:rPr>
          <w:rFonts w:cs="Times"/>
          <w:vertAlign w:val="subscript"/>
        </w:rPr>
        <w:t>group,phase</w:t>
      </w:r>
      <w:r w:rsidRPr="005A2DC6">
        <w:rPr>
          <w:rFonts w:cs="Times"/>
        </w:rPr>
        <w:t>=1, C</w:t>
      </w:r>
      <w:r w:rsidRPr="005A2DC6">
        <w:rPr>
          <w:rFonts w:cs="Times"/>
          <w:vertAlign w:val="subscript"/>
        </w:rPr>
        <w:t>group,amp</w:t>
      </w:r>
      <w:r w:rsidRPr="005A2DC6">
        <w:rPr>
          <w:rFonts w:cs="Times"/>
        </w:rPr>
        <w:t>=2N)</w:t>
      </w:r>
    </w:p>
    <w:p w14:paraId="26D5D302" w14:textId="77777777" w:rsidR="002F000D" w:rsidRPr="005A2DC6" w:rsidRDefault="002F000D" w:rsidP="002F000D">
      <w:pPr>
        <w:numPr>
          <w:ilvl w:val="2"/>
          <w:numId w:val="44"/>
        </w:numPr>
        <w:snapToGrid w:val="0"/>
        <w:spacing w:after="0"/>
        <w:rPr>
          <w:rFonts w:cs="Times"/>
        </w:rPr>
      </w:pPr>
      <w:r w:rsidRPr="005A2DC6">
        <w:rPr>
          <w:rFonts w:cs="Times"/>
        </w:rPr>
        <w:t>For each of the (2N–1) amplitude groups (other than the group associated with the SCI), the reference amplitude is reported</w:t>
      </w:r>
    </w:p>
    <w:p w14:paraId="664EE82A" w14:textId="75541013" w:rsidR="002F000D" w:rsidRPr="002F000D" w:rsidRDefault="002F000D" w:rsidP="002F000D">
      <w:pPr>
        <w:numPr>
          <w:ilvl w:val="0"/>
          <w:numId w:val="44"/>
        </w:numPr>
        <w:snapToGrid w:val="0"/>
        <w:spacing w:after="0"/>
        <w:jc w:val="both"/>
        <w:rPr>
          <w:rFonts w:cs="Times"/>
          <w:bCs/>
        </w:rPr>
      </w:pPr>
      <w:r w:rsidRPr="005A2DC6">
        <w:rPr>
          <w:rFonts w:cs="Times"/>
          <w:bCs/>
        </w:rPr>
        <w:t>If the support Alt3 in addition to Alt1 is confirmed, only one of the two schemes will be a basic feature for UEs supporting Rel-18 Type-II CJT codebook</w:t>
      </w:r>
    </w:p>
    <w:p w14:paraId="7C2D7FFA" w14:textId="77777777" w:rsidR="002F000D" w:rsidRPr="004D4553" w:rsidRDefault="002F000D" w:rsidP="002F000D">
      <w:pPr>
        <w:snapToGrid w:val="0"/>
        <w:spacing w:after="0"/>
        <w:jc w:val="both"/>
        <w:rPr>
          <w:rFonts w:eastAsia="Malgun Gothic" w:cs="Times"/>
          <w:lang w:val="en-US" w:eastAsia="ko-KR"/>
        </w:rPr>
      </w:pPr>
      <w:r w:rsidRPr="004D4553">
        <w:rPr>
          <w:rFonts w:cs="Times"/>
          <w:b/>
          <w:bCs/>
          <w:highlight w:val="green"/>
        </w:rPr>
        <w:t>Agreement</w:t>
      </w:r>
    </w:p>
    <w:p w14:paraId="78938929" w14:textId="77777777" w:rsidR="002F000D" w:rsidRDefault="002F000D" w:rsidP="002F000D">
      <w:pPr>
        <w:snapToGrid w:val="0"/>
        <w:spacing w:after="0"/>
        <w:rPr>
          <w:rFonts w:eastAsia="宋体"/>
          <w:lang w:val="en-US" w:eastAsia="ko-KR"/>
        </w:rPr>
      </w:pPr>
      <w:r>
        <w:t xml:space="preserve">On the SD basis selection for Type-II codebook refinement for CJT mTRP, on the </w:t>
      </w:r>
      <w:r>
        <w:rPr>
          <w:i/>
          <w:iCs/>
        </w:rPr>
        <w:t>L</w:t>
      </w:r>
      <w:r>
        <w:t xml:space="preserve"> parameter, down select from the following alternatives (by RAN1#111):</w:t>
      </w:r>
    </w:p>
    <w:p w14:paraId="4F01E719" w14:textId="77777777" w:rsidR="002F000D" w:rsidRDefault="002F000D" w:rsidP="002F000D">
      <w:pPr>
        <w:numPr>
          <w:ilvl w:val="0"/>
          <w:numId w:val="45"/>
        </w:numPr>
        <w:snapToGrid w:val="0"/>
        <w:spacing w:after="0"/>
        <w:rPr>
          <w:lang w:eastAsia="zh-CN"/>
        </w:rPr>
      </w:pPr>
      <w:r>
        <w:t>Alt1. Each of the {</w:t>
      </w:r>
      <w:r>
        <w:rPr>
          <w:i/>
          <w:iCs/>
        </w:rPr>
        <w:t>L</w:t>
      </w:r>
      <w:r>
        <w:rPr>
          <w:i/>
          <w:iCs/>
          <w:vertAlign w:val="subscript"/>
        </w:rPr>
        <w:t>n</w:t>
      </w:r>
      <w:r>
        <w:t xml:space="preserve">, </w:t>
      </w:r>
      <w:r>
        <w:rPr>
          <w:i/>
          <w:iCs/>
        </w:rPr>
        <w:t>n</w:t>
      </w:r>
      <w:r>
        <w:t xml:space="preserve">=1, ..., </w:t>
      </w:r>
      <w:r>
        <w:rPr>
          <w:i/>
          <w:iCs/>
        </w:rPr>
        <w:t>N</w:t>
      </w:r>
      <w:r>
        <w:t>} is gNB-configured via higher-layer (RRC) signaling</w:t>
      </w:r>
      <w:r>
        <w:rPr>
          <w:rFonts w:hint="eastAsia"/>
        </w:rPr>
        <w:t xml:space="preserve"> </w:t>
      </w:r>
    </w:p>
    <w:p w14:paraId="170B9801" w14:textId="77777777" w:rsidR="002F000D" w:rsidRDefault="002F000D" w:rsidP="002F000D">
      <w:pPr>
        <w:numPr>
          <w:ilvl w:val="1"/>
          <w:numId w:val="45"/>
        </w:numPr>
        <w:snapToGrid w:val="0"/>
        <w:spacing w:after="0"/>
      </w:pPr>
      <w:r>
        <w:t xml:space="preserve">FFS: The candidate values for </w:t>
      </w:r>
      <w:r>
        <w:rPr>
          <w:i/>
          <w:iCs/>
        </w:rPr>
        <w:t>L</w:t>
      </w:r>
      <w:r>
        <w:rPr>
          <w:vertAlign w:val="subscript"/>
        </w:rPr>
        <w:t>n</w:t>
      </w:r>
      <w:r>
        <w:t xml:space="preserve">, e.g. follow the legacy specification </w:t>
      </w:r>
    </w:p>
    <w:p w14:paraId="32D323BF" w14:textId="11E0561B" w:rsidR="002F000D" w:rsidRDefault="002F000D" w:rsidP="002F000D">
      <w:pPr>
        <w:numPr>
          <w:ilvl w:val="0"/>
          <w:numId w:val="45"/>
        </w:numPr>
        <w:snapToGrid w:val="0"/>
        <w:spacing w:after="0"/>
      </w:pPr>
      <w:r>
        <w:rPr>
          <w:lang w:val="de-DE"/>
        </w:rPr>
        <w:t xml:space="preserve">Alt2. </w:t>
      </w:r>
      <m:oMath>
        <m:sSub>
          <m:sSubPr>
            <m:ctrlPr>
              <w:rPr>
                <w:rFonts w:ascii="Cambria Math" w:eastAsia="Cambria Math" w:hAnsi="Cambria Math"/>
                <w:i/>
                <w:iCs/>
                <w:sz w:val="24"/>
                <w:lang w:eastAsia="zh-CN"/>
              </w:rPr>
            </m:ctrlPr>
          </m:sSubPr>
          <m:e>
            <m:r>
              <w:rPr>
                <w:rFonts w:ascii="Cambria Math" w:hAnsi="Cambria Math"/>
              </w:rPr>
              <m:t>L</m:t>
            </m:r>
          </m:e>
          <m:sub>
            <m:r>
              <w:rPr>
                <w:rFonts w:ascii="Cambria Math" w:hAnsi="Cambria Math"/>
              </w:rPr>
              <m:t>tot</m:t>
            </m:r>
          </m:sub>
        </m:sSub>
        <m:r>
          <w:rPr>
            <w:rFonts w:ascii="Cambria Math" w:hAnsi="Cambria Math"/>
            <w:lang w:val="de-DE"/>
          </w:rPr>
          <m:t>=</m:t>
        </m:r>
        <m:nary>
          <m:naryPr>
            <m:chr m:val="∑"/>
            <m:limLoc m:val="subSup"/>
            <m:ctrlPr>
              <w:rPr>
                <w:rFonts w:ascii="Cambria Math" w:eastAsia="Cambria Math" w:hAnsi="Cambria Math"/>
                <w:i/>
                <w:iCs/>
                <w:sz w:val="24"/>
                <w:lang w:eastAsia="zh-CN"/>
              </w:rPr>
            </m:ctrlPr>
          </m:naryPr>
          <m:sub>
            <m:r>
              <w:rPr>
                <w:rFonts w:ascii="Cambria Math" w:hAnsi="Cambria Math"/>
              </w:rPr>
              <m:t>n</m:t>
            </m:r>
            <m:r>
              <w:rPr>
                <w:rFonts w:ascii="Cambria Math" w:hAnsi="Cambria Math"/>
                <w:lang w:val="de-DE"/>
              </w:rPr>
              <m:t>=1</m:t>
            </m:r>
          </m:sub>
          <m:sup>
            <m:r>
              <w:rPr>
                <w:rFonts w:ascii="Cambria Math" w:hAnsi="Cambria Math"/>
              </w:rPr>
              <m:t>N</m:t>
            </m:r>
          </m:sup>
          <m:e>
            <m:sSub>
              <m:sSubPr>
                <m:ctrlPr>
                  <w:rPr>
                    <w:rFonts w:ascii="Cambria Math" w:eastAsia="Cambria Math" w:hAnsi="Cambria Math"/>
                    <w:i/>
                    <w:iCs/>
                    <w:sz w:val="24"/>
                    <w:lang w:eastAsia="zh-CN"/>
                  </w:rPr>
                </m:ctrlPr>
              </m:sSubPr>
              <m:e>
                <m:r>
                  <w:rPr>
                    <w:rFonts w:ascii="Cambria Math" w:hAnsi="Cambria Math"/>
                  </w:rPr>
                  <m:t>L</m:t>
                </m:r>
              </m:e>
              <m:sub>
                <m:r>
                  <w:rPr>
                    <w:rFonts w:ascii="Cambria Math" w:hAnsi="Cambria Math"/>
                  </w:rPr>
                  <m:t>n</m:t>
                </m:r>
              </m:sub>
            </m:sSub>
          </m:e>
        </m:nary>
      </m:oMath>
      <w:r>
        <w:t xml:space="preserve"> where </w:t>
      </w:r>
      <w:r>
        <w:rPr>
          <w:i/>
          <w:iCs/>
        </w:rPr>
        <w:t>L</w:t>
      </w:r>
      <w:r>
        <w:rPr>
          <w:i/>
          <w:iCs/>
          <w:vertAlign w:val="subscript"/>
        </w:rPr>
        <w:t>tot</w:t>
      </w:r>
      <w:r>
        <w:t xml:space="preserve"> is gNB-configured via higher-layer (RRC) signaling and the relative value(s) of {</w:t>
      </w:r>
      <w:r>
        <w:rPr>
          <w:i/>
          <w:iCs/>
        </w:rPr>
        <w:t>L</w:t>
      </w:r>
      <w:r>
        <w:rPr>
          <w:i/>
          <w:iCs/>
          <w:vertAlign w:val="subscript"/>
        </w:rPr>
        <w:t>n</w:t>
      </w:r>
      <w:r>
        <w:t xml:space="preserve">, </w:t>
      </w:r>
      <w:r>
        <w:rPr>
          <w:i/>
          <w:iCs/>
        </w:rPr>
        <w:t>n</w:t>
      </w:r>
      <w:r>
        <w:t xml:space="preserve">=1, ..., </w:t>
      </w:r>
      <w:r>
        <w:rPr>
          <w:i/>
          <w:iCs/>
        </w:rPr>
        <w:t>N</w:t>
      </w:r>
      <w:r>
        <w:t>} are reported by the UE</w:t>
      </w:r>
      <w:r>
        <w:rPr>
          <w:rFonts w:hint="eastAsia"/>
        </w:rPr>
        <w:t xml:space="preserve"> </w:t>
      </w:r>
    </w:p>
    <w:p w14:paraId="690F37DE" w14:textId="77777777" w:rsidR="002F000D" w:rsidRDefault="002F000D" w:rsidP="002F000D">
      <w:pPr>
        <w:numPr>
          <w:ilvl w:val="1"/>
          <w:numId w:val="45"/>
        </w:numPr>
        <w:snapToGrid w:val="0"/>
        <w:spacing w:after="0"/>
      </w:pPr>
      <w:r>
        <w:t xml:space="preserve">TBD: Whether for a given configured value of </w:t>
      </w:r>
      <w:r>
        <w:rPr>
          <w:i/>
          <w:iCs/>
        </w:rPr>
        <w:t>L</w:t>
      </w:r>
      <w:r>
        <w:rPr>
          <w:i/>
          <w:iCs/>
          <w:vertAlign w:val="subscript"/>
        </w:rPr>
        <w:t>tot</w:t>
      </w:r>
      <w:r>
        <w:t>, the possible combinations of {</w:t>
      </w:r>
      <w:r>
        <w:rPr>
          <w:i/>
          <w:iCs/>
        </w:rPr>
        <w:t>L</w:t>
      </w:r>
      <w:r>
        <w:rPr>
          <w:i/>
          <w:iCs/>
          <w:vertAlign w:val="subscript"/>
        </w:rPr>
        <w:t>n</w:t>
      </w:r>
      <w:r>
        <w:t xml:space="preserve">, </w:t>
      </w:r>
      <w:r>
        <w:rPr>
          <w:i/>
          <w:iCs/>
        </w:rPr>
        <w:t>n</w:t>
      </w:r>
      <w:r>
        <w:t xml:space="preserve">=1, ..., </w:t>
      </w:r>
      <w:r>
        <w:rPr>
          <w:i/>
          <w:iCs/>
        </w:rPr>
        <w:t>N</w:t>
      </w:r>
      <w:r>
        <w:t>} are fixed/pre-determined or gNB-configured via higher-layer (RRC) signaling</w:t>
      </w:r>
    </w:p>
    <w:p w14:paraId="07DF258E" w14:textId="77777777" w:rsidR="002F000D" w:rsidRDefault="002F000D" w:rsidP="002F000D">
      <w:pPr>
        <w:numPr>
          <w:ilvl w:val="1"/>
          <w:numId w:val="45"/>
        </w:numPr>
        <w:snapToGrid w:val="0"/>
        <w:spacing w:after="0"/>
      </w:pPr>
      <w:r>
        <w:t>TBD: Whether the value(s) of {</w:t>
      </w:r>
      <w:r>
        <w:rPr>
          <w:i/>
          <w:iCs/>
        </w:rPr>
        <w:t>L</w:t>
      </w:r>
      <w:r>
        <w:rPr>
          <w:i/>
          <w:iCs/>
          <w:vertAlign w:val="subscript"/>
        </w:rPr>
        <w:t>n</w:t>
      </w:r>
      <w:r>
        <w:t xml:space="preserve">, </w:t>
      </w:r>
      <w:r>
        <w:rPr>
          <w:i/>
          <w:iCs/>
        </w:rPr>
        <w:t>n</w:t>
      </w:r>
      <w:r>
        <w:t xml:space="preserve">=1, ..., </w:t>
      </w:r>
      <w:r>
        <w:rPr>
          <w:i/>
          <w:iCs/>
        </w:rPr>
        <w:t>N</w:t>
      </w:r>
      <w:r>
        <w:t xml:space="preserve">} are reported implicitly or explicitly, and whether some value(s) don’t need to be reported </w:t>
      </w:r>
    </w:p>
    <w:p w14:paraId="16B06D43" w14:textId="77777777" w:rsidR="002F000D" w:rsidRDefault="002F000D" w:rsidP="002F000D">
      <w:pPr>
        <w:numPr>
          <w:ilvl w:val="1"/>
          <w:numId w:val="45"/>
        </w:numPr>
        <w:snapToGrid w:val="0"/>
        <w:spacing w:after="0"/>
      </w:pPr>
      <w:r>
        <w:t xml:space="preserve">FFS: The candidate values for </w:t>
      </w:r>
      <w:r>
        <w:rPr>
          <w:i/>
          <w:iCs/>
        </w:rPr>
        <w:t>L</w:t>
      </w:r>
      <w:r>
        <w:rPr>
          <w:vertAlign w:val="subscript"/>
        </w:rPr>
        <w:t>n</w:t>
      </w:r>
    </w:p>
    <w:p w14:paraId="095C716B" w14:textId="77777777" w:rsidR="002F000D" w:rsidRDefault="002F000D" w:rsidP="002F000D">
      <w:pPr>
        <w:numPr>
          <w:ilvl w:val="0"/>
          <w:numId w:val="45"/>
        </w:numPr>
        <w:snapToGrid w:val="0"/>
        <w:spacing w:after="0"/>
      </w:pPr>
      <w:r>
        <w:t xml:space="preserve">Alt3. An </w:t>
      </w:r>
      <w:r>
        <w:rPr>
          <w:i/>
          <w:iCs/>
        </w:rPr>
        <w:t>L</w:t>
      </w:r>
      <w:r>
        <w:t xml:space="preserve"> parameter is gNB-configured via higher-layer (RRC) signaling and {</w:t>
      </w:r>
      <w:r>
        <w:rPr>
          <w:i/>
          <w:iCs/>
        </w:rPr>
        <w:t>L</w:t>
      </w:r>
      <w:r>
        <w:rPr>
          <w:i/>
          <w:iCs/>
          <w:vertAlign w:val="subscript"/>
        </w:rPr>
        <w:t>n</w:t>
      </w:r>
      <w:r>
        <w:t xml:space="preserve">, </w:t>
      </w:r>
      <w:r>
        <w:rPr>
          <w:i/>
          <w:iCs/>
        </w:rPr>
        <w:t>n</w:t>
      </w:r>
      <w:r>
        <w:t xml:space="preserve">=1, ..., </w:t>
      </w:r>
      <w:r>
        <w:rPr>
          <w:i/>
          <w:iCs/>
        </w:rPr>
        <w:t>N</w:t>
      </w:r>
      <w:r>
        <w:t xml:space="preserve">} are determined from the value of </w:t>
      </w:r>
      <w:r>
        <w:rPr>
          <w:i/>
          <w:iCs/>
        </w:rPr>
        <w:t>L</w:t>
      </w:r>
      <w:r>
        <w:rPr>
          <w:rFonts w:hint="eastAsia"/>
        </w:rPr>
        <w:t xml:space="preserve"> </w:t>
      </w:r>
    </w:p>
    <w:p w14:paraId="3A77D3B0" w14:textId="77777777" w:rsidR="002F000D" w:rsidRDefault="002F000D" w:rsidP="002F000D">
      <w:pPr>
        <w:numPr>
          <w:ilvl w:val="1"/>
          <w:numId w:val="45"/>
        </w:numPr>
        <w:snapToGrid w:val="0"/>
        <w:spacing w:after="0"/>
      </w:pPr>
      <w:r>
        <w:t>TBD: How to determine {</w:t>
      </w:r>
      <w:r>
        <w:rPr>
          <w:i/>
          <w:iCs/>
        </w:rPr>
        <w:t>L</w:t>
      </w:r>
      <w:r>
        <w:rPr>
          <w:i/>
          <w:iCs/>
          <w:vertAlign w:val="subscript"/>
        </w:rPr>
        <w:t>n</w:t>
      </w:r>
      <w:r>
        <w:t xml:space="preserve">, </w:t>
      </w:r>
      <w:r>
        <w:rPr>
          <w:i/>
          <w:iCs/>
        </w:rPr>
        <w:t>n</w:t>
      </w:r>
      <w:r>
        <w:t xml:space="preserve">=1, ..., </w:t>
      </w:r>
      <w:r>
        <w:rPr>
          <w:i/>
          <w:iCs/>
        </w:rPr>
        <w:t>N</w:t>
      </w:r>
      <w:r>
        <w:t xml:space="preserve">} from </w:t>
      </w:r>
      <w:r>
        <w:rPr>
          <w:i/>
          <w:iCs/>
        </w:rPr>
        <w:t>L</w:t>
      </w:r>
      <w:r>
        <w:t xml:space="preserve">, e.g. </w:t>
      </w:r>
      <w:r>
        <w:rPr>
          <w:i/>
          <w:iCs/>
        </w:rPr>
        <w:t>L</w:t>
      </w:r>
      <w:r>
        <w:rPr>
          <w:vertAlign w:val="subscript"/>
        </w:rPr>
        <w:t>1</w:t>
      </w:r>
      <w:r>
        <w:t>=</w:t>
      </w:r>
      <w:r>
        <w:rPr>
          <w:i/>
          <w:iCs/>
        </w:rPr>
        <w:t>L</w:t>
      </w:r>
      <w:r>
        <w:t xml:space="preserve"> and other </w:t>
      </w:r>
      <w:r>
        <w:rPr>
          <w:i/>
          <w:iCs/>
        </w:rPr>
        <w:t>L</w:t>
      </w:r>
      <w:r>
        <w:rPr>
          <w:i/>
          <w:iCs/>
          <w:vertAlign w:val="subscript"/>
        </w:rPr>
        <w:t>n</w:t>
      </w:r>
      <w:r>
        <w:t xml:space="preserve"> = </w:t>
      </w:r>
      <w:r>
        <w:rPr>
          <w:i/>
          <w:iCs/>
        </w:rPr>
        <w:t>L</w:t>
      </w:r>
      <w:r>
        <w:t>/2</w:t>
      </w:r>
    </w:p>
    <w:p w14:paraId="2200DB29" w14:textId="77777777" w:rsidR="002F000D" w:rsidRDefault="002F000D" w:rsidP="002F000D">
      <w:pPr>
        <w:numPr>
          <w:ilvl w:val="1"/>
          <w:numId w:val="45"/>
        </w:numPr>
        <w:snapToGrid w:val="0"/>
        <w:spacing w:after="0"/>
      </w:pPr>
      <w:r>
        <w:t xml:space="preserve">FFS: The candidate values for </w:t>
      </w:r>
      <w:r>
        <w:rPr>
          <w:i/>
          <w:iCs/>
        </w:rPr>
        <w:t>L</w:t>
      </w:r>
    </w:p>
    <w:p w14:paraId="15E46DAB" w14:textId="77777777" w:rsidR="002F000D" w:rsidRDefault="002F000D" w:rsidP="002F000D">
      <w:pPr>
        <w:numPr>
          <w:ilvl w:val="0"/>
          <w:numId w:val="45"/>
        </w:numPr>
        <w:snapToGrid w:val="0"/>
        <w:spacing w:after="0"/>
      </w:pPr>
      <w:r>
        <w:t xml:space="preserve">Alt4. </w:t>
      </w:r>
      <w:r>
        <w:rPr>
          <w:i/>
          <w:iCs/>
        </w:rPr>
        <w:t>L</w:t>
      </w:r>
      <w:r>
        <w:rPr>
          <w:i/>
          <w:iCs/>
          <w:vertAlign w:val="subscript"/>
        </w:rPr>
        <w:t>max</w:t>
      </w:r>
      <w:r>
        <w:t xml:space="preserve"> is gNB-configured via higher-layer (RRC) signaling and the relative value(s) of {</w:t>
      </w:r>
      <w:r>
        <w:rPr>
          <w:i/>
          <w:iCs/>
        </w:rPr>
        <w:t>L</w:t>
      </w:r>
      <w:r>
        <w:rPr>
          <w:i/>
          <w:iCs/>
          <w:vertAlign w:val="subscript"/>
        </w:rPr>
        <w:t>n</w:t>
      </w:r>
      <w:r>
        <w:t xml:space="preserve">, </w:t>
      </w:r>
      <w:r>
        <w:rPr>
          <w:i/>
          <w:iCs/>
        </w:rPr>
        <w:t>n</w:t>
      </w:r>
      <w:r>
        <w:t xml:space="preserve">=1, ..., </w:t>
      </w:r>
      <w:r>
        <w:rPr>
          <w:i/>
          <w:iCs/>
        </w:rPr>
        <w:t>N</w:t>
      </w:r>
      <w:r>
        <w:t>} are reported by the UE</w:t>
      </w:r>
      <w:r>
        <w:rPr>
          <w:rFonts w:hint="eastAsia"/>
        </w:rPr>
        <w:t xml:space="preserve"> </w:t>
      </w:r>
    </w:p>
    <w:p w14:paraId="774FEE51" w14:textId="5267E57E" w:rsidR="002F000D" w:rsidRDefault="002F000D" w:rsidP="002F000D">
      <w:pPr>
        <w:numPr>
          <w:ilvl w:val="1"/>
          <w:numId w:val="45"/>
        </w:numPr>
        <w:snapToGrid w:val="0"/>
        <w:spacing w:after="0"/>
      </w:pPr>
      <w:r>
        <w:t>The relative value(s) of {</w:t>
      </w:r>
      <w:r>
        <w:rPr>
          <w:i/>
          <w:iCs/>
        </w:rPr>
        <w:t>L</w:t>
      </w:r>
      <w:r>
        <w:rPr>
          <w:vertAlign w:val="subscript"/>
        </w:rPr>
        <w:t>n</w:t>
      </w:r>
      <w:r>
        <w:t xml:space="preserve">, </w:t>
      </w:r>
      <w:r>
        <w:rPr>
          <w:i/>
          <w:iCs/>
        </w:rPr>
        <w:t>n</w:t>
      </w:r>
      <w:r>
        <w:t xml:space="preserve">=1, ..., </w:t>
      </w:r>
      <w:r>
        <w:rPr>
          <w:i/>
          <w:iCs/>
        </w:rPr>
        <w:t>N</w:t>
      </w:r>
      <w:r>
        <w:t xml:space="preserve">} are reported by the UE, such that </w:t>
      </w:r>
      <m:oMath>
        <m:nary>
          <m:naryPr>
            <m:chr m:val="∑"/>
            <m:limLoc m:val="undOvr"/>
            <m:ctrlPr>
              <w:rPr>
                <w:rFonts w:ascii="Cambria Math" w:eastAsia="Cambria Math" w:hAnsi="Cambria Math"/>
                <w:i/>
                <w:iCs/>
                <w:sz w:val="24"/>
                <w:lang w:eastAsia="zh-CN"/>
              </w:rPr>
            </m:ctrlPr>
          </m:naryPr>
          <m:sub>
            <m:r>
              <w:rPr>
                <w:rFonts w:ascii="Cambria Math" w:hAnsi="Cambria Math"/>
              </w:rPr>
              <m:t>n=1</m:t>
            </m:r>
          </m:sub>
          <m:sup>
            <m:r>
              <w:rPr>
                <w:rFonts w:ascii="Cambria Math" w:hAnsi="Cambria Math"/>
              </w:rPr>
              <m:t>N</m:t>
            </m:r>
          </m:sup>
          <m:e>
            <m:sSub>
              <m:sSubPr>
                <m:ctrlPr>
                  <w:rPr>
                    <w:rFonts w:ascii="Cambria Math" w:eastAsia="Cambria Math" w:hAnsi="Cambria Math"/>
                    <w:i/>
                    <w:iCs/>
                    <w:sz w:val="24"/>
                    <w:lang w:eastAsia="zh-CN"/>
                  </w:rPr>
                </m:ctrlPr>
              </m:sSubPr>
              <m:e>
                <m:r>
                  <w:rPr>
                    <w:rFonts w:ascii="Cambria Math" w:hAnsi="Cambria Math"/>
                  </w:rPr>
                  <m:t>L</m:t>
                </m:r>
              </m:e>
              <m:sub>
                <m:r>
                  <w:rPr>
                    <w:rFonts w:ascii="Cambria Math" w:hAnsi="Cambria Math"/>
                  </w:rPr>
                  <m:t>n</m:t>
                </m:r>
              </m:sub>
            </m:sSub>
            <m:r>
              <w:rPr>
                <w:rFonts w:ascii="Cambria Math" w:hAnsi="Cambria Math"/>
              </w:rPr>
              <m:t>≤</m:t>
            </m:r>
          </m:e>
        </m:nary>
        <m:sSub>
          <m:sSubPr>
            <m:ctrlPr>
              <w:rPr>
                <w:rFonts w:ascii="Cambria Math" w:eastAsia="Cambria Math" w:hAnsi="Cambria Math"/>
                <w:i/>
                <w:iCs/>
                <w:sz w:val="24"/>
                <w:lang w:eastAsia="zh-CN"/>
              </w:rPr>
            </m:ctrlPr>
          </m:sSubPr>
          <m:e>
            <m:r>
              <w:rPr>
                <w:rFonts w:ascii="Cambria Math" w:hAnsi="Cambria Math"/>
              </w:rPr>
              <m:t>L</m:t>
            </m:r>
          </m:e>
          <m:sub>
            <m:r>
              <w:rPr>
                <w:rFonts w:ascii="Cambria Math" w:hAnsi="Cambria Math"/>
              </w:rPr>
              <m:t>max</m:t>
            </m:r>
          </m:sub>
        </m:sSub>
      </m:oMath>
    </w:p>
    <w:p w14:paraId="50769847" w14:textId="77777777" w:rsidR="002F000D" w:rsidRDefault="002F000D" w:rsidP="002F000D">
      <w:pPr>
        <w:numPr>
          <w:ilvl w:val="1"/>
          <w:numId w:val="45"/>
        </w:numPr>
        <w:snapToGrid w:val="0"/>
        <w:spacing w:after="0"/>
      </w:pPr>
      <w:r>
        <w:t>TBD: Whether the value(s) of {</w:t>
      </w:r>
      <w:r>
        <w:rPr>
          <w:i/>
          <w:iCs/>
        </w:rPr>
        <w:t>L</w:t>
      </w:r>
      <w:r>
        <w:rPr>
          <w:i/>
          <w:iCs/>
          <w:vertAlign w:val="subscript"/>
        </w:rPr>
        <w:t>n</w:t>
      </w:r>
      <w:r>
        <w:t xml:space="preserve">, </w:t>
      </w:r>
      <w:r>
        <w:rPr>
          <w:i/>
          <w:iCs/>
        </w:rPr>
        <w:t>n</w:t>
      </w:r>
      <w:r>
        <w:t xml:space="preserve">=1, ..., </w:t>
      </w:r>
      <w:r>
        <w:rPr>
          <w:i/>
          <w:iCs/>
        </w:rPr>
        <w:t>N</w:t>
      </w:r>
      <w:r>
        <w:t>} are reported implicitly or explicitly, and whether some value(s) don’t need to be reported</w:t>
      </w:r>
    </w:p>
    <w:p w14:paraId="21D658D7" w14:textId="0713B954" w:rsidR="002F000D" w:rsidRPr="002F000D" w:rsidRDefault="002F000D" w:rsidP="002F000D">
      <w:pPr>
        <w:numPr>
          <w:ilvl w:val="1"/>
          <w:numId w:val="45"/>
        </w:numPr>
        <w:snapToGrid w:val="0"/>
        <w:spacing w:after="0"/>
      </w:pPr>
      <w:r>
        <w:t xml:space="preserve">FFS: The candidate values for </w:t>
      </w:r>
      <w:r>
        <w:rPr>
          <w:i/>
          <w:iCs/>
        </w:rPr>
        <w:t>L</w:t>
      </w:r>
      <w:r>
        <w:rPr>
          <w:vertAlign w:val="subscript"/>
        </w:rPr>
        <w:t>n</w:t>
      </w:r>
    </w:p>
    <w:p w14:paraId="371AE1EF" w14:textId="77777777" w:rsidR="002F000D" w:rsidRPr="004D4553" w:rsidRDefault="002F000D" w:rsidP="002F000D">
      <w:pPr>
        <w:snapToGrid w:val="0"/>
        <w:spacing w:after="0"/>
        <w:jc w:val="both"/>
        <w:rPr>
          <w:rFonts w:eastAsia="Malgun Gothic" w:cs="Times"/>
          <w:lang w:val="en-US" w:eastAsia="ko-KR"/>
        </w:rPr>
      </w:pPr>
      <w:r w:rsidRPr="004D4553">
        <w:rPr>
          <w:rFonts w:cs="Times"/>
          <w:b/>
          <w:bCs/>
          <w:highlight w:val="green"/>
        </w:rPr>
        <w:t>Agreement</w:t>
      </w:r>
    </w:p>
    <w:p w14:paraId="1D5A5FA6" w14:textId="77777777" w:rsidR="002F000D" w:rsidRDefault="002F000D" w:rsidP="002F000D">
      <w:pPr>
        <w:snapToGrid w:val="0"/>
        <w:spacing w:after="0"/>
        <w:rPr>
          <w:rFonts w:eastAsia="宋体"/>
          <w:lang w:eastAsia="ko-KR"/>
        </w:rPr>
      </w:pPr>
      <w:r>
        <w:t xml:space="preserve">On the Type-II codebook refinement for CJT mTRP, regarding the codebook parameters, for a given CSI-RS resource, the supported value(s) of the following parameters follow the legacy (Rel-16 regular eType-II and Rel-17 PS FeType-II) specification: </w:t>
      </w:r>
    </w:p>
    <w:p w14:paraId="2F142445" w14:textId="77777777" w:rsidR="002F000D" w:rsidRDefault="002F000D" w:rsidP="002F000D">
      <w:pPr>
        <w:numPr>
          <w:ilvl w:val="0"/>
          <w:numId w:val="47"/>
        </w:numPr>
        <w:snapToGrid w:val="0"/>
        <w:spacing w:after="0"/>
        <w:rPr>
          <w:lang w:eastAsia="zh-CN"/>
        </w:rPr>
      </w:pPr>
      <w:r>
        <w:rPr>
          <w:i/>
          <w:iCs/>
        </w:rPr>
        <w:t>N</w:t>
      </w:r>
      <w:r>
        <w:rPr>
          <w:vertAlign w:val="subscript"/>
        </w:rPr>
        <w:t>1</w:t>
      </w:r>
      <w:r>
        <w:t xml:space="preserve">, </w:t>
      </w:r>
      <w:r>
        <w:rPr>
          <w:i/>
          <w:iCs/>
        </w:rPr>
        <w:t>N</w:t>
      </w:r>
      <w:r>
        <w:rPr>
          <w:vertAlign w:val="subscript"/>
        </w:rPr>
        <w:t>2</w:t>
      </w:r>
      <w:r>
        <w:t xml:space="preserve">, </w:t>
      </w:r>
      <w:r>
        <w:rPr>
          <w:i/>
          <w:iCs/>
        </w:rPr>
        <w:t>N</w:t>
      </w:r>
      <w:r>
        <w:rPr>
          <w:vertAlign w:val="subscript"/>
        </w:rPr>
        <w:t>3</w:t>
      </w:r>
      <w:r>
        <w:t xml:space="preserve">, </w:t>
      </w:r>
      <w:r>
        <w:rPr>
          <w:i/>
          <w:iCs/>
        </w:rPr>
        <w:t>O</w:t>
      </w:r>
      <w:r>
        <w:rPr>
          <w:vertAlign w:val="subscript"/>
        </w:rPr>
        <w:t>1</w:t>
      </w:r>
      <w:r>
        <w:t xml:space="preserve">, </w:t>
      </w:r>
      <w:r>
        <w:rPr>
          <w:i/>
          <w:iCs/>
        </w:rPr>
        <w:t>O</w:t>
      </w:r>
      <w:r>
        <w:rPr>
          <w:vertAlign w:val="subscript"/>
        </w:rPr>
        <w:t>2</w:t>
      </w:r>
      <w:r>
        <w:t xml:space="preserve"> </w:t>
      </w:r>
    </w:p>
    <w:p w14:paraId="32C0310D" w14:textId="77777777" w:rsidR="002F000D" w:rsidRDefault="002F000D" w:rsidP="002F000D">
      <w:pPr>
        <w:numPr>
          <w:ilvl w:val="0"/>
          <w:numId w:val="47"/>
        </w:numPr>
        <w:snapToGrid w:val="0"/>
        <w:spacing w:after="0"/>
      </w:pPr>
      <w:r>
        <w:rPr>
          <w:i/>
          <w:iCs/>
        </w:rPr>
        <w:t>M</w:t>
      </w:r>
      <w:r>
        <w:t xml:space="preserve"> (only for design based on Rel-17 PS FeType-II)</w:t>
      </w:r>
    </w:p>
    <w:p w14:paraId="12268C3A" w14:textId="77777777" w:rsidR="002F000D" w:rsidRDefault="002F000D" w:rsidP="002F000D">
      <w:pPr>
        <w:snapToGrid w:val="0"/>
        <w:spacing w:after="0"/>
      </w:pPr>
      <w:r>
        <w:t xml:space="preserve">For the following parameters, decide in RAN1#111 whether the supported value(s) follow the legacy (Rel-16 regular eType-II and Rel-17 PS FeType-II) specification or further refinement is needed: </w:t>
      </w:r>
    </w:p>
    <w:p w14:paraId="6BDE5201" w14:textId="77777777" w:rsidR="002F000D" w:rsidRDefault="002F000D" w:rsidP="002F000D">
      <w:pPr>
        <w:numPr>
          <w:ilvl w:val="0"/>
          <w:numId w:val="48"/>
        </w:numPr>
        <w:snapToGrid w:val="0"/>
        <w:spacing w:after="0"/>
      </w:pPr>
      <w:r>
        <w:rPr>
          <w:i/>
          <w:iCs/>
        </w:rPr>
        <w:lastRenderedPageBreak/>
        <w:t>R</w:t>
      </w:r>
      <w:r>
        <w:t xml:space="preserve">: including, e.g. supporting only </w:t>
      </w:r>
      <w:r>
        <w:rPr>
          <w:i/>
          <w:iCs/>
        </w:rPr>
        <w:t>R</w:t>
      </w:r>
      <w:r>
        <w:t xml:space="preserve">=1, or supporting larger </w:t>
      </w:r>
      <w:r>
        <w:rPr>
          <w:i/>
          <w:iCs/>
        </w:rPr>
        <w:t>R</w:t>
      </w:r>
      <w:r>
        <w:t xml:space="preserve"> values</w:t>
      </w:r>
    </w:p>
    <w:p w14:paraId="4AFCCE66" w14:textId="77777777" w:rsidR="002F000D" w:rsidRDefault="002F000D" w:rsidP="002F000D">
      <w:pPr>
        <w:numPr>
          <w:ilvl w:val="0"/>
          <w:numId w:val="48"/>
        </w:numPr>
        <w:snapToGrid w:val="0"/>
        <w:spacing w:after="0"/>
      </w:pPr>
      <w:r>
        <w:rPr>
          <w:i/>
          <w:iCs/>
        </w:rPr>
        <w:t>M</w:t>
      </w:r>
      <w:r>
        <w:rPr>
          <w:i/>
          <w:iCs/>
          <w:vertAlign w:val="subscript"/>
        </w:rPr>
        <w:t>v</w:t>
      </w:r>
      <w:r>
        <w:t>/</w:t>
      </w:r>
      <w:r>
        <w:rPr>
          <w:i/>
          <w:iCs/>
        </w:rPr>
        <w:t>p</w:t>
      </w:r>
      <w:r>
        <w:rPr>
          <w:i/>
          <w:iCs/>
          <w:vertAlign w:val="subscript"/>
        </w:rPr>
        <w:t>v</w:t>
      </w:r>
      <w:r>
        <w:t xml:space="preserve"> (Rel-16 regular eType-II): including, e.g. supporting smaller </w:t>
      </w:r>
      <w:r>
        <w:rPr>
          <w:i/>
          <w:iCs/>
        </w:rPr>
        <w:t>p</w:t>
      </w:r>
      <w:r>
        <w:rPr>
          <w:i/>
          <w:iCs/>
          <w:vertAlign w:val="subscript"/>
        </w:rPr>
        <w:t>v</w:t>
      </w:r>
      <w:r>
        <w:t xml:space="preserve"> values such as {1/8, 1/4, 1/2} for v=1,2 and/or removing larger legacy value(s)</w:t>
      </w:r>
    </w:p>
    <w:p w14:paraId="5F86F765" w14:textId="77777777" w:rsidR="002F000D" w:rsidRDefault="002F000D" w:rsidP="002F000D">
      <w:pPr>
        <w:numPr>
          <w:ilvl w:val="0"/>
          <w:numId w:val="48"/>
        </w:numPr>
        <w:snapToGrid w:val="0"/>
        <w:spacing w:after="0"/>
      </w:pPr>
      <w:r>
        <w:rPr>
          <w:rFonts w:ascii="Symbol" w:hAnsi="Symbol"/>
          <w:i/>
          <w:iCs/>
        </w:rPr>
        <w:t></w:t>
      </w:r>
      <w:r>
        <w:t xml:space="preserve">: including, e.g. supporting smaller values such as {1/16, 1/8, 3/8} </w:t>
      </w:r>
    </w:p>
    <w:p w14:paraId="57CDBD73" w14:textId="77777777" w:rsidR="002F000D" w:rsidRDefault="002F000D" w:rsidP="002F000D">
      <w:pPr>
        <w:snapToGrid w:val="0"/>
        <w:spacing w:after="0"/>
      </w:pPr>
      <w:r>
        <w:t>Note: The outcome of Parameter Combination discussion will further restrict the supported combinations of parameter value(s)</w:t>
      </w:r>
    </w:p>
    <w:p w14:paraId="450BBC04" w14:textId="16600AB1" w:rsidR="002F000D" w:rsidRPr="002F000D" w:rsidRDefault="002F000D" w:rsidP="002F000D">
      <w:pPr>
        <w:snapToGrid w:val="0"/>
        <w:spacing w:after="0"/>
      </w:pPr>
      <w:r>
        <w:t xml:space="preserve">FFS: For </w:t>
      </w:r>
      <w:r>
        <w:rPr>
          <w:i/>
          <w:iCs/>
        </w:rPr>
        <w:t>N</w:t>
      </w:r>
      <w:r>
        <w:t>&gt;1, whether the maximum 2</w:t>
      </w:r>
      <w:r>
        <w:rPr>
          <w:i/>
          <w:iCs/>
        </w:rPr>
        <w:t>N</w:t>
      </w:r>
      <w:r>
        <w:rPr>
          <w:vertAlign w:val="subscript"/>
        </w:rPr>
        <w:t>1</w:t>
      </w:r>
      <w:r>
        <w:rPr>
          <w:i/>
          <w:iCs/>
        </w:rPr>
        <w:t>N</w:t>
      </w:r>
      <w:r>
        <w:rPr>
          <w:vertAlign w:val="subscript"/>
        </w:rPr>
        <w:t xml:space="preserve">2 </w:t>
      </w:r>
      <w:r>
        <w:t>(identical to the number of CSI-RS ports used for CMR) is limited to 32 just as in legacy specification</w:t>
      </w:r>
    </w:p>
    <w:p w14:paraId="436922EC" w14:textId="77777777" w:rsidR="002F000D" w:rsidRPr="00C80AEF" w:rsidRDefault="002F000D" w:rsidP="002F000D">
      <w:pPr>
        <w:snapToGrid w:val="0"/>
        <w:spacing w:after="0"/>
        <w:jc w:val="both"/>
        <w:rPr>
          <w:rFonts w:cs="Times"/>
          <w:b/>
          <w:bCs/>
          <w:iCs/>
          <w:highlight w:val="green"/>
        </w:rPr>
      </w:pPr>
      <w:r w:rsidRPr="00C80AEF">
        <w:rPr>
          <w:rFonts w:cs="Times"/>
          <w:b/>
          <w:bCs/>
          <w:iCs/>
          <w:highlight w:val="green"/>
        </w:rPr>
        <w:t>Agreement</w:t>
      </w:r>
    </w:p>
    <w:p w14:paraId="336D946C" w14:textId="77777777" w:rsidR="002F000D" w:rsidRDefault="002F000D" w:rsidP="002F000D">
      <w:pPr>
        <w:snapToGrid w:val="0"/>
        <w:spacing w:after="0"/>
        <w:rPr>
          <w:rFonts w:cs="Times"/>
          <w:lang w:val="en-US"/>
        </w:rPr>
      </w:pPr>
      <w:r w:rsidRPr="009A74E4">
        <w:rPr>
          <w:rFonts w:cs="Times"/>
        </w:rPr>
        <w:t>For the Rel-18 TRS-based TDCP reporting, down select one of the following alternatives by RAN1#110bis-e:</w:t>
      </w:r>
    </w:p>
    <w:p w14:paraId="0DE3C12A" w14:textId="77777777" w:rsidR="002F000D" w:rsidRPr="009A74E4" w:rsidRDefault="002F000D" w:rsidP="002F000D">
      <w:pPr>
        <w:numPr>
          <w:ilvl w:val="0"/>
          <w:numId w:val="43"/>
        </w:numPr>
        <w:snapToGrid w:val="0"/>
        <w:spacing w:after="0"/>
        <w:rPr>
          <w:rFonts w:cs="Times"/>
          <w:lang w:val="en-US"/>
        </w:rPr>
      </w:pPr>
      <w:r w:rsidRPr="009A74E4">
        <w:rPr>
          <w:rFonts w:cs="Times"/>
        </w:rPr>
        <w:t>AltA. Based on Doppler profile</w:t>
      </w:r>
    </w:p>
    <w:p w14:paraId="75761822" w14:textId="77777777" w:rsidR="002F000D" w:rsidRDefault="002F000D" w:rsidP="002F000D">
      <w:pPr>
        <w:numPr>
          <w:ilvl w:val="1"/>
          <w:numId w:val="43"/>
        </w:numPr>
        <w:snapToGrid w:val="0"/>
        <w:spacing w:after="0"/>
        <w:rPr>
          <w:rFonts w:cs="Times"/>
          <w:lang w:val="en-US"/>
        </w:rPr>
      </w:pPr>
      <w:r w:rsidRPr="009A74E4">
        <w:rPr>
          <w:rFonts w:cs="Times"/>
        </w:rPr>
        <w:t>E.g., Doppler spread derived from the 2</w:t>
      </w:r>
      <w:r w:rsidRPr="009A74E4">
        <w:rPr>
          <w:rFonts w:cs="Times"/>
          <w:vertAlign w:val="superscript"/>
        </w:rPr>
        <w:t>nd</w:t>
      </w:r>
      <w:r w:rsidRPr="009A74E4">
        <w:rPr>
          <w:rFonts w:cs="Times"/>
        </w:rPr>
        <w:t xml:space="preserve"> moment of Doppler power spectrum, average Doppler shifts, Doppler shift per resource, maximum Doppler shift, relative Doppler shift, etc</w:t>
      </w:r>
    </w:p>
    <w:p w14:paraId="4E88D32D" w14:textId="77777777" w:rsidR="002F000D" w:rsidRPr="009A74E4" w:rsidRDefault="002F000D" w:rsidP="002F000D">
      <w:pPr>
        <w:numPr>
          <w:ilvl w:val="0"/>
          <w:numId w:val="43"/>
        </w:numPr>
        <w:snapToGrid w:val="0"/>
        <w:spacing w:after="0"/>
        <w:rPr>
          <w:rFonts w:cs="Times"/>
          <w:lang w:val="en-US"/>
        </w:rPr>
      </w:pPr>
      <w:r w:rsidRPr="009A74E4">
        <w:rPr>
          <w:rFonts w:cs="Times"/>
        </w:rPr>
        <w:t xml:space="preserve">AltB. Based on </w:t>
      </w:r>
      <w:r w:rsidRPr="009A74E4">
        <w:rPr>
          <w:rStyle w:val="ac"/>
          <w:rFonts w:cs="Times"/>
        </w:rPr>
        <w:t>quantized amplitude of</w:t>
      </w:r>
      <w:r w:rsidRPr="009A74E4">
        <w:rPr>
          <w:rFonts w:cs="Times"/>
        </w:rPr>
        <w:t xml:space="preserve"> time-domain correlation profile</w:t>
      </w:r>
    </w:p>
    <w:p w14:paraId="721A44E1" w14:textId="77777777" w:rsidR="002F000D" w:rsidRPr="009A74E4" w:rsidRDefault="002F000D" w:rsidP="002F000D">
      <w:pPr>
        <w:numPr>
          <w:ilvl w:val="1"/>
          <w:numId w:val="43"/>
        </w:numPr>
        <w:snapToGrid w:val="0"/>
        <w:spacing w:after="0"/>
        <w:rPr>
          <w:rFonts w:cs="Times"/>
          <w:lang w:val="en-US"/>
        </w:rPr>
      </w:pPr>
      <w:r w:rsidRPr="009A74E4">
        <w:rPr>
          <w:rFonts w:cs="Times"/>
        </w:rPr>
        <w:t>E.g. Correlation within one TRS resource, correlation across multiple TRS resources</w:t>
      </w:r>
    </w:p>
    <w:p w14:paraId="74D15C47" w14:textId="77777777" w:rsidR="002F000D" w:rsidRPr="009A74E4" w:rsidRDefault="002F000D" w:rsidP="002F000D">
      <w:pPr>
        <w:numPr>
          <w:ilvl w:val="1"/>
          <w:numId w:val="43"/>
        </w:numPr>
        <w:snapToGrid w:val="0"/>
        <w:spacing w:after="0"/>
        <w:rPr>
          <w:rFonts w:cs="Times"/>
          <w:lang w:val="en-US"/>
        </w:rPr>
      </w:pPr>
      <w:r w:rsidRPr="009A74E4">
        <w:rPr>
          <w:rFonts w:cs="Times"/>
        </w:rPr>
        <w:t>Note: The correlation over one or more lags of TRS resource may be considered.  The lags may be within one TRS burst or different TRS bursts</w:t>
      </w:r>
    </w:p>
    <w:p w14:paraId="1ECE0967" w14:textId="77777777" w:rsidR="002F000D" w:rsidRPr="009A74E4" w:rsidRDefault="002F000D" w:rsidP="002F000D">
      <w:pPr>
        <w:snapToGrid w:val="0"/>
        <w:spacing w:after="0"/>
        <w:rPr>
          <w:rFonts w:cs="Times"/>
        </w:rPr>
      </w:pPr>
      <w:r w:rsidRPr="009A74E4">
        <w:rPr>
          <w:rFonts w:cs="Times"/>
        </w:rPr>
        <w:t>Note: Different alternatives may or may not apply to different use cases</w:t>
      </w:r>
      <w:r w:rsidRPr="009A74E4">
        <w:rPr>
          <w:rStyle w:val="ac"/>
          <w:rFonts w:cs="Times"/>
          <w:b/>
          <w:bCs/>
        </w:rPr>
        <w:t xml:space="preserve">  </w:t>
      </w:r>
    </w:p>
    <w:p w14:paraId="614B86C3" w14:textId="77777777" w:rsidR="002F000D" w:rsidRPr="009A74E4" w:rsidRDefault="002F000D" w:rsidP="002F000D">
      <w:pPr>
        <w:snapToGrid w:val="0"/>
        <w:spacing w:after="0"/>
        <w:jc w:val="both"/>
        <w:rPr>
          <w:rFonts w:cs="Times"/>
        </w:rPr>
      </w:pPr>
      <w:r w:rsidRPr="009A74E4">
        <w:rPr>
          <w:rFonts w:cs="Times"/>
        </w:rPr>
        <w:t>FFS: The need for a measure of confidence level in the TDCP report, and/or UE behaviour when the quality of TDCP measurement is not sufficiently high</w:t>
      </w:r>
    </w:p>
    <w:p w14:paraId="297DD895" w14:textId="77777777" w:rsidR="002F000D" w:rsidRPr="009A74E4" w:rsidRDefault="002F000D" w:rsidP="002F000D">
      <w:pPr>
        <w:snapToGrid w:val="0"/>
        <w:spacing w:after="0"/>
        <w:rPr>
          <w:rFonts w:cs="Times"/>
        </w:rPr>
      </w:pPr>
      <w:r w:rsidRPr="009A74E4">
        <w:rPr>
          <w:rFonts w:cs="Times"/>
        </w:rPr>
        <w:t>FFS: TDCP parameter(s) signaled with respect to each alternative</w:t>
      </w:r>
    </w:p>
    <w:p w14:paraId="245C2B47" w14:textId="77777777" w:rsidR="002F000D" w:rsidRPr="00C80AEF" w:rsidRDefault="002F000D" w:rsidP="002F000D">
      <w:pPr>
        <w:snapToGrid w:val="0"/>
        <w:spacing w:after="0"/>
        <w:jc w:val="both"/>
        <w:rPr>
          <w:rFonts w:cs="Times"/>
          <w:b/>
          <w:bCs/>
          <w:iCs/>
          <w:highlight w:val="green"/>
        </w:rPr>
      </w:pPr>
      <w:r w:rsidRPr="00C80AEF">
        <w:rPr>
          <w:rFonts w:cs="Times"/>
          <w:b/>
          <w:bCs/>
          <w:iCs/>
          <w:highlight w:val="green"/>
        </w:rPr>
        <w:t>Agreement</w:t>
      </w:r>
    </w:p>
    <w:p w14:paraId="7EF4F6DD" w14:textId="3DADDC8A" w:rsidR="002F000D" w:rsidRPr="005A2DC6" w:rsidRDefault="002F000D" w:rsidP="002F000D">
      <w:pPr>
        <w:widowControl w:val="0"/>
        <w:snapToGrid w:val="0"/>
        <w:spacing w:after="0"/>
      </w:pPr>
      <w:r w:rsidRPr="005A2DC6">
        <w:t>On the Type-II codebook refinement for CJT mTRP, the selection of N CSI-RS resources is performed by UE and reported as a part of CSI report where N</w:t>
      </w:r>
      <m:oMath>
        <m:r>
          <w:rPr>
            <w:rFonts w:ascii="Cambria Math" w:hAnsi="Cambria Math"/>
            <w:sz w:val="22"/>
            <w:szCs w:val="18"/>
          </w:rPr>
          <m:t>∈</m:t>
        </m:r>
      </m:oMath>
      <w:r w:rsidRPr="005A2DC6">
        <w:t>{1,..., N</w:t>
      </w:r>
      <w:r w:rsidRPr="005A2DC6">
        <w:rPr>
          <w:vertAlign w:val="subscript"/>
        </w:rPr>
        <w:t>TRP</w:t>
      </w:r>
      <w:r w:rsidRPr="005A2DC6">
        <w:t xml:space="preserve">} </w:t>
      </w:r>
    </w:p>
    <w:p w14:paraId="16AF85B5" w14:textId="77777777" w:rsidR="002F000D" w:rsidRPr="005A2DC6" w:rsidRDefault="002F000D" w:rsidP="002F000D">
      <w:pPr>
        <w:widowControl w:val="0"/>
        <w:numPr>
          <w:ilvl w:val="0"/>
          <w:numId w:val="39"/>
        </w:numPr>
        <w:snapToGrid w:val="0"/>
        <w:spacing w:after="0"/>
      </w:pPr>
      <w:r w:rsidRPr="005A2DC6">
        <w:t>N is the number of cooperating CSI-RS resources, while N</w:t>
      </w:r>
      <w:r w:rsidRPr="005A2DC6">
        <w:rPr>
          <w:vertAlign w:val="subscript"/>
        </w:rPr>
        <w:t>TRP</w:t>
      </w:r>
      <w:r w:rsidRPr="005A2DC6">
        <w:t xml:space="preserve"> is the maximum number of cooperating CSI-RS resources configured by gNB via higher-layer signaling</w:t>
      </w:r>
    </w:p>
    <w:p w14:paraId="66A92953" w14:textId="77777777" w:rsidR="002F000D" w:rsidRPr="005A2DC6" w:rsidRDefault="002F000D" w:rsidP="002F000D">
      <w:pPr>
        <w:widowControl w:val="0"/>
        <w:numPr>
          <w:ilvl w:val="0"/>
          <w:numId w:val="39"/>
        </w:numPr>
        <w:snapToGrid w:val="0"/>
        <w:spacing w:after="0"/>
      </w:pPr>
      <w:r w:rsidRPr="005A2DC6">
        <w:t>The selection of N out of N</w:t>
      </w:r>
      <w:r w:rsidRPr="005A2DC6">
        <w:rPr>
          <w:vertAlign w:val="subscript"/>
        </w:rPr>
        <w:t>TRP</w:t>
      </w:r>
      <w:r w:rsidRPr="005A2DC6">
        <w:t xml:space="preserve"> CSI-RS resources is reported via N</w:t>
      </w:r>
      <w:r w:rsidRPr="005A2DC6">
        <w:rPr>
          <w:vertAlign w:val="subscript"/>
        </w:rPr>
        <w:t>TRP</w:t>
      </w:r>
      <w:r w:rsidRPr="005A2DC6">
        <w:t>-bit bitmap in CSI part 1</w:t>
      </w:r>
    </w:p>
    <w:p w14:paraId="02A33451" w14:textId="77777777" w:rsidR="002F000D" w:rsidRPr="005A2DC6" w:rsidRDefault="002F000D" w:rsidP="002F000D">
      <w:pPr>
        <w:widowControl w:val="0"/>
        <w:numPr>
          <w:ilvl w:val="1"/>
          <w:numId w:val="39"/>
        </w:numPr>
        <w:snapToGrid w:val="0"/>
        <w:spacing w:after="0"/>
      </w:pPr>
      <w:r w:rsidRPr="005A2DC6">
        <w:t>Note: The value of N is inferred from the selection</w:t>
      </w:r>
    </w:p>
    <w:p w14:paraId="4A1AAEC3" w14:textId="77777777" w:rsidR="002F000D" w:rsidRPr="005A2DC6" w:rsidRDefault="002F000D" w:rsidP="002F000D">
      <w:pPr>
        <w:widowControl w:val="0"/>
        <w:numPr>
          <w:ilvl w:val="0"/>
          <w:numId w:val="39"/>
        </w:numPr>
        <w:snapToGrid w:val="0"/>
        <w:spacing w:after="0"/>
      </w:pPr>
      <w:r w:rsidRPr="005A2DC6">
        <w:t>A restricted configuration (gNB-configured via higher-layer signaling) where N=N</w:t>
      </w:r>
      <w:r w:rsidRPr="005A2DC6">
        <w:rPr>
          <w:vertAlign w:val="subscript"/>
        </w:rPr>
        <w:t>TRP</w:t>
      </w:r>
      <w:r w:rsidRPr="005A2DC6">
        <w:t xml:space="preserve"> is supported</w:t>
      </w:r>
    </w:p>
    <w:p w14:paraId="7CAF568A" w14:textId="77777777" w:rsidR="002F000D" w:rsidRPr="005A2DC6" w:rsidRDefault="002F000D" w:rsidP="002F000D">
      <w:pPr>
        <w:pStyle w:val="a7"/>
        <w:widowControl w:val="0"/>
        <w:numPr>
          <w:ilvl w:val="1"/>
          <w:numId w:val="39"/>
        </w:numPr>
        <w:suppressAutoHyphens/>
        <w:snapToGrid w:val="0"/>
        <w:spacing w:after="0"/>
        <w:contextualSpacing w:val="0"/>
      </w:pPr>
      <w:r w:rsidRPr="005A2DC6">
        <w:t>N</w:t>
      </w:r>
      <w:r w:rsidRPr="005A2DC6">
        <w:rPr>
          <w:vertAlign w:val="subscript"/>
        </w:rPr>
        <w:t>TRP</w:t>
      </w:r>
      <w:r w:rsidRPr="005A2DC6">
        <w:t>-bit bitmap is not reported when the restriction is configured</w:t>
      </w:r>
    </w:p>
    <w:p w14:paraId="6D97EBF5" w14:textId="77777777" w:rsidR="002F000D" w:rsidRPr="005A2DC6" w:rsidRDefault="002F000D" w:rsidP="002F000D">
      <w:pPr>
        <w:pStyle w:val="a7"/>
        <w:widowControl w:val="0"/>
        <w:numPr>
          <w:ilvl w:val="1"/>
          <w:numId w:val="39"/>
        </w:numPr>
        <w:suppressAutoHyphens/>
        <w:snapToGrid w:val="0"/>
        <w:spacing w:after="0"/>
        <w:contextualSpacing w:val="0"/>
      </w:pPr>
      <w:r w:rsidRPr="005A2DC6">
        <w:t>FFS: Whether other RRC-configured TRP selection restriction including configuring the value of N is supported</w:t>
      </w:r>
    </w:p>
    <w:p w14:paraId="784411B5" w14:textId="77777777" w:rsidR="002F000D" w:rsidRPr="005A2DC6" w:rsidRDefault="002F000D" w:rsidP="002F000D">
      <w:pPr>
        <w:widowControl w:val="0"/>
        <w:numPr>
          <w:ilvl w:val="0"/>
          <w:numId w:val="39"/>
        </w:numPr>
        <w:snapToGrid w:val="0"/>
        <w:spacing w:after="0"/>
        <w:jc w:val="both"/>
      </w:pPr>
      <w:r w:rsidRPr="005A2DC6">
        <w:t xml:space="preserve">This feature is UE optional </w:t>
      </w:r>
    </w:p>
    <w:p w14:paraId="666848C2" w14:textId="77777777" w:rsidR="002F000D" w:rsidRPr="005A2DC6" w:rsidRDefault="002F000D" w:rsidP="002F000D">
      <w:pPr>
        <w:widowControl w:val="0"/>
        <w:snapToGrid w:val="0"/>
        <w:spacing w:after="0"/>
      </w:pPr>
      <w:r w:rsidRPr="005A2DC6">
        <w:t>Note: This agreement does not impact the decision on Ln being configured by gNB or selected by UE</w:t>
      </w:r>
    </w:p>
    <w:p w14:paraId="49BC2BFE" w14:textId="77777777" w:rsidR="002F000D" w:rsidRPr="005A2DC6" w:rsidRDefault="002F000D" w:rsidP="002F000D">
      <w:pPr>
        <w:widowControl w:val="0"/>
        <w:snapToGrid w:val="0"/>
        <w:spacing w:after="0"/>
        <w:jc w:val="both"/>
      </w:pPr>
      <w:r w:rsidRPr="005A2DC6">
        <w:t>Note: per WID and previous agreement, the candidate values for N</w:t>
      </w:r>
      <w:r w:rsidRPr="005A2DC6">
        <w:rPr>
          <w:vertAlign w:val="subscript"/>
        </w:rPr>
        <w:t>TRP</w:t>
      </w:r>
      <w:r w:rsidRPr="005A2DC6">
        <w:t xml:space="preserve"> of are 1, 2, 3, and 4.</w:t>
      </w:r>
    </w:p>
    <w:p w14:paraId="52F0903B" w14:textId="77777777" w:rsidR="002F000D" w:rsidRPr="005A2DC6" w:rsidRDefault="002F000D" w:rsidP="002F000D">
      <w:pPr>
        <w:widowControl w:val="0"/>
        <w:snapToGrid w:val="0"/>
        <w:spacing w:after="0"/>
        <w:jc w:val="both"/>
      </w:pPr>
      <w:r w:rsidRPr="005A2DC6">
        <w:t>Note: only one transmission hypothesis is reported. UE is not mandated to calculate CSI for multiple transmission hypotheses.</w:t>
      </w:r>
    </w:p>
    <w:p w14:paraId="249124B9" w14:textId="3DED843A" w:rsidR="005042C6" w:rsidRPr="00CE13B8" w:rsidRDefault="0071010E"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this paper, we provided our views on CSI enhancements for CJT</w:t>
      </w:r>
      <w:r w:rsidR="00B801E7">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high/medium velocities</w:t>
      </w:r>
      <w:r w:rsidR="00B801E7">
        <w:rPr>
          <w:rFonts w:eastAsiaTheme="minorEastAsia"/>
          <w:color w:val="000000" w:themeColor="text1"/>
          <w:sz w:val="22"/>
          <w:szCs w:val="22"/>
          <w:lang w:val="en-US" w:eastAsia="zh-CN"/>
        </w:rPr>
        <w:t xml:space="preserve"> and TDCP reporting</w:t>
      </w:r>
      <w:r>
        <w:rPr>
          <w:rFonts w:eastAsiaTheme="minor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2C3A73D8" w14:textId="77777777" w:rsidR="00B1407E" w:rsidRPr="004C05CE" w:rsidRDefault="00B1407E" w:rsidP="00B1407E">
      <w:pPr>
        <w:pStyle w:val="1"/>
        <w:keepLines w:val="0"/>
        <w:numPr>
          <w:ilvl w:val="1"/>
          <w:numId w:val="1"/>
        </w:numPr>
        <w:spacing w:before="240" w:after="60"/>
        <w:jc w:val="both"/>
        <w:rPr>
          <w:rFonts w:ascii="Times New Roman" w:eastAsia="宋体" w:hAnsi="Times New Roman" w:cs="Times New Roman"/>
          <w:bCs w:val="0"/>
          <w:color w:val="auto"/>
          <w:kern w:val="32"/>
          <w:sz w:val="24"/>
          <w:lang w:val="en-US" w:eastAsia="zh-CN"/>
        </w:rPr>
      </w:pPr>
      <w:r>
        <w:rPr>
          <w:rFonts w:ascii="Times New Roman" w:eastAsia="宋体" w:hAnsi="Times New Roman" w:cs="Times New Roman"/>
          <w:bCs w:val="0"/>
          <w:color w:val="auto"/>
          <w:kern w:val="32"/>
          <w:sz w:val="24"/>
          <w:lang w:val="en-US" w:eastAsia="zh-CN"/>
        </w:rPr>
        <w:t>CSI enhancements for CJT</w:t>
      </w:r>
    </w:p>
    <w:p w14:paraId="5C0CC14E" w14:textId="5ED64CC0" w:rsidR="00346585" w:rsidRDefault="00346585" w:rsidP="00C87ACF">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One issue to be confirmed is the working assumption on relative amplitude coefficient across TRPs, we think the relative amplitude coefficients can be beneficial to provide finer granularity for amplitude without much overhead increasing, and either one can be determined as basic feature. </w:t>
      </w:r>
    </w:p>
    <w:p w14:paraId="49131E75" w14:textId="539CD824" w:rsidR="005B1B05" w:rsidRDefault="005B1B05" w:rsidP="005B1B0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842995">
        <w:rPr>
          <w:rFonts w:eastAsiaTheme="minorEastAsia"/>
          <w:b/>
          <w:i/>
          <w:sz w:val="22"/>
          <w:szCs w:val="22"/>
          <w:lang w:val="en-US" w:eastAsia="zh-CN"/>
        </w:rPr>
        <w:t>1</w:t>
      </w:r>
      <w:r>
        <w:rPr>
          <w:rFonts w:eastAsiaTheme="minorEastAsia"/>
          <w:b/>
          <w:i/>
          <w:sz w:val="22"/>
          <w:szCs w:val="22"/>
          <w:lang w:val="en-US" w:eastAsia="zh-CN"/>
        </w:rPr>
        <w:t xml:space="preserve">: </w:t>
      </w:r>
      <w:r w:rsidR="00346585">
        <w:rPr>
          <w:rFonts w:eastAsiaTheme="minorEastAsia"/>
          <w:b/>
          <w:i/>
          <w:sz w:val="22"/>
          <w:szCs w:val="22"/>
          <w:lang w:val="en-US" w:eastAsia="zh-CN"/>
        </w:rPr>
        <w:t xml:space="preserve">Confirm the WA to support </w:t>
      </w:r>
      <w:r w:rsidR="00346585" w:rsidRPr="00346585">
        <w:rPr>
          <w:rFonts w:eastAsiaTheme="minorEastAsia"/>
          <w:b/>
          <w:i/>
          <w:sz w:val="22"/>
          <w:szCs w:val="22"/>
          <w:lang w:val="en-US" w:eastAsia="zh-CN"/>
        </w:rPr>
        <w:t>(2N–1) amplitude groups</w:t>
      </w:r>
      <w:r w:rsidR="00346585">
        <w:rPr>
          <w:rFonts w:eastAsiaTheme="minorEastAsia"/>
          <w:b/>
          <w:i/>
          <w:sz w:val="22"/>
          <w:szCs w:val="22"/>
          <w:lang w:val="en-US" w:eastAsia="zh-CN"/>
        </w:rPr>
        <w:t xml:space="preserve"> for CJT (i.e. Alt 3) </w:t>
      </w:r>
      <w:r>
        <w:rPr>
          <w:rFonts w:eastAsiaTheme="minorEastAsia"/>
          <w:b/>
          <w:i/>
          <w:sz w:val="22"/>
          <w:szCs w:val="22"/>
          <w:lang w:val="en-US" w:eastAsia="zh-CN"/>
        </w:rPr>
        <w:t>.</w:t>
      </w:r>
    </w:p>
    <w:p w14:paraId="53D7B831" w14:textId="2E3CD5C2" w:rsidR="004D49D9" w:rsidRDefault="004D49D9" w:rsidP="00F51453">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And in the offline discussion, additional parameter values (e.g. smaller values for </w:t>
      </w:r>
      <w:r>
        <w:rPr>
          <w:i/>
          <w:iCs/>
        </w:rPr>
        <w:t>p</w:t>
      </w:r>
      <w:r>
        <w:rPr>
          <w:i/>
          <w:iCs/>
          <w:vertAlign w:val="subscript"/>
        </w:rPr>
        <w:t>v</w:t>
      </w:r>
      <w:r>
        <w:rPr>
          <w:rFonts w:eastAsiaTheme="minorEastAsia"/>
          <w:color w:val="000000" w:themeColor="text1"/>
          <w:sz w:val="22"/>
          <w:szCs w:val="22"/>
          <w:lang w:val="en-US" w:eastAsia="zh-CN"/>
        </w:rPr>
        <w:t xml:space="preserve"> and </w:t>
      </w:r>
      <w:r>
        <w:rPr>
          <w:rFonts w:ascii="Symbol" w:hAnsi="Symbol"/>
          <w:i/>
          <w:iCs/>
        </w:rPr>
        <w:t></w:t>
      </w:r>
      <w:r>
        <w:rPr>
          <w:rFonts w:eastAsiaTheme="minorEastAsia"/>
          <w:color w:val="000000" w:themeColor="text1"/>
          <w:sz w:val="22"/>
          <w:szCs w:val="22"/>
          <w:lang w:val="en-US" w:eastAsia="zh-CN"/>
        </w:rPr>
        <w:t xml:space="preserve">) were proposed for CJT based on multi-TRP, the key target is to reduce the CSI overhead. As we agreed that number of TRPs can be selected and reported by the UE, it’s possible that single-TRP hypothesis is selected (actually legacy codebook is applied), even the configuration is based on multi-TRP hypothesis, and in this case, the smaller values are not suitable at least for single-TRP hypothesis, which will lead to worse performance than legacy. So we think the configuration of parameter values should be further studied. </w:t>
      </w:r>
    </w:p>
    <w:p w14:paraId="01F47C73" w14:textId="1760ED5E" w:rsidR="00F51453" w:rsidRDefault="00F51453" w:rsidP="00F5145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w:t>
      </w:r>
      <w:r w:rsidR="004D49D9">
        <w:rPr>
          <w:rFonts w:eastAsiaTheme="minorEastAsia"/>
          <w:b/>
          <w:i/>
          <w:sz w:val="22"/>
          <w:szCs w:val="22"/>
          <w:lang w:val="en-US" w:eastAsia="zh-CN"/>
        </w:rPr>
        <w:t>At least single-TRP hypothesis and multi-TRP hypothesis should be considered for configuration of the parameters (</w:t>
      </w:r>
      <w:r w:rsidR="004D49D9" w:rsidRPr="004D49D9">
        <w:rPr>
          <w:rFonts w:eastAsiaTheme="minorEastAsia"/>
          <w:b/>
          <w:color w:val="000000" w:themeColor="text1"/>
          <w:sz w:val="22"/>
          <w:szCs w:val="22"/>
          <w:lang w:val="en-US" w:eastAsia="zh-CN"/>
        </w:rPr>
        <w:t xml:space="preserve">e.g. </w:t>
      </w:r>
      <w:r w:rsidR="004D49D9" w:rsidRPr="004D49D9">
        <w:rPr>
          <w:b/>
          <w:i/>
          <w:iCs/>
        </w:rPr>
        <w:t>p</w:t>
      </w:r>
      <w:r w:rsidR="004D49D9" w:rsidRPr="004D49D9">
        <w:rPr>
          <w:b/>
          <w:i/>
          <w:iCs/>
          <w:vertAlign w:val="subscript"/>
        </w:rPr>
        <w:t>v</w:t>
      </w:r>
      <w:r w:rsidR="004D49D9" w:rsidRPr="004D49D9">
        <w:rPr>
          <w:rFonts w:eastAsiaTheme="minorEastAsia"/>
          <w:b/>
          <w:color w:val="000000" w:themeColor="text1"/>
          <w:sz w:val="22"/>
          <w:szCs w:val="22"/>
          <w:lang w:val="en-US" w:eastAsia="zh-CN"/>
        </w:rPr>
        <w:t xml:space="preserve"> and </w:t>
      </w:r>
      <w:r w:rsidR="004D49D9" w:rsidRPr="004D49D9">
        <w:rPr>
          <w:rFonts w:ascii="Symbol" w:hAnsi="Symbol"/>
          <w:b/>
          <w:i/>
          <w:iCs/>
        </w:rPr>
        <w:t></w:t>
      </w:r>
      <w:r w:rsidR="004D49D9">
        <w:rPr>
          <w:rFonts w:eastAsiaTheme="minorEastAsia"/>
          <w:b/>
          <w:i/>
          <w:sz w:val="22"/>
          <w:szCs w:val="22"/>
          <w:lang w:val="en-US" w:eastAsia="zh-CN"/>
        </w:rPr>
        <w:t xml:space="preserve">) </w:t>
      </w:r>
      <w:r>
        <w:rPr>
          <w:rFonts w:eastAsiaTheme="minorEastAsia"/>
          <w:b/>
          <w:i/>
          <w:sz w:val="22"/>
          <w:szCs w:val="22"/>
          <w:lang w:val="en-US" w:eastAsia="zh-CN"/>
        </w:rPr>
        <w:t xml:space="preserve">. </w:t>
      </w:r>
      <w:r w:rsidR="004D49D9">
        <w:rPr>
          <w:rFonts w:eastAsiaTheme="minorEastAsia"/>
          <w:b/>
          <w:i/>
          <w:sz w:val="22"/>
          <w:szCs w:val="22"/>
          <w:lang w:val="en-US" w:eastAsia="zh-CN"/>
        </w:rPr>
        <w:t>For example, the additional introduced smaller values are applied for multi-TRP hypothesis.</w:t>
      </w:r>
    </w:p>
    <w:p w14:paraId="54B94EA3" w14:textId="38A98CE9" w:rsidR="00557306" w:rsidRDefault="00715872" w:rsidP="00D62B8D">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lastRenderedPageBreak/>
        <w:t>F</w:t>
      </w:r>
      <w:r>
        <w:rPr>
          <w:rFonts w:eastAsiaTheme="minorEastAsia"/>
          <w:color w:val="000000" w:themeColor="text1"/>
          <w:sz w:val="22"/>
          <w:szCs w:val="22"/>
          <w:lang w:val="en-US" w:eastAsia="zh-CN"/>
        </w:rPr>
        <w:t xml:space="preserve">urthermore, as more than one TRPs are involved for the enhanced codebook, CSI payload is increased, and consequently, the priority rules should be updated, at least after the codebook structure is fixed. For example, further considering the priority between codebook indicators among TRPs. </w:t>
      </w:r>
    </w:p>
    <w:p w14:paraId="5B8F8D3A" w14:textId="71768817" w:rsidR="00C311D6" w:rsidRPr="00557306" w:rsidRDefault="00C311D6" w:rsidP="00D62B8D">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w:t>
      </w:r>
      <w:r w:rsidR="001D7ADF">
        <w:rPr>
          <w:rFonts w:eastAsiaTheme="minorEastAsia"/>
          <w:b/>
          <w:i/>
          <w:sz w:val="22"/>
          <w:szCs w:val="22"/>
          <w:lang w:val="en-US" w:eastAsia="zh-CN"/>
        </w:rPr>
        <w:t>3</w:t>
      </w:r>
      <w:r>
        <w:rPr>
          <w:rFonts w:eastAsiaTheme="minorEastAsia"/>
          <w:b/>
          <w:i/>
          <w:sz w:val="22"/>
          <w:szCs w:val="22"/>
          <w:lang w:val="en-US" w:eastAsia="zh-CN"/>
        </w:rPr>
        <w:t>: CSI payload partitioning and priorities should be further discussed.</w:t>
      </w:r>
    </w:p>
    <w:p w14:paraId="1C5EB632" w14:textId="2783B42C" w:rsidR="00715872" w:rsidRPr="004C05CE" w:rsidRDefault="00715872" w:rsidP="00715872">
      <w:pPr>
        <w:pStyle w:val="1"/>
        <w:keepLines w:val="0"/>
        <w:numPr>
          <w:ilvl w:val="1"/>
          <w:numId w:val="1"/>
        </w:numPr>
        <w:spacing w:before="240" w:after="60"/>
        <w:jc w:val="both"/>
        <w:rPr>
          <w:rFonts w:ascii="Times New Roman" w:eastAsia="宋体" w:hAnsi="Times New Roman" w:cs="Times New Roman"/>
          <w:bCs w:val="0"/>
          <w:color w:val="auto"/>
          <w:kern w:val="32"/>
          <w:sz w:val="24"/>
          <w:lang w:val="en-US" w:eastAsia="zh-CN"/>
        </w:rPr>
      </w:pPr>
      <w:r>
        <w:rPr>
          <w:rFonts w:ascii="Times New Roman" w:eastAsia="宋体" w:hAnsi="Times New Roman" w:cs="Times New Roman"/>
          <w:bCs w:val="0"/>
          <w:color w:val="auto"/>
          <w:kern w:val="32"/>
          <w:sz w:val="24"/>
          <w:lang w:val="en-US" w:eastAsia="zh-CN"/>
        </w:rPr>
        <w:t>CSI enhancements for high/medium velocities</w:t>
      </w:r>
    </w:p>
    <w:p w14:paraId="541865ED" w14:textId="0A6B96EF" w:rsidR="00715872" w:rsidRDefault="00891E19" w:rsidP="00D62B8D">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B</w:t>
      </w:r>
      <w:r w:rsidR="00C52ABF">
        <w:rPr>
          <w:rFonts w:eastAsiaTheme="minorEastAsia"/>
          <w:color w:val="000000" w:themeColor="text1"/>
          <w:sz w:val="22"/>
          <w:szCs w:val="22"/>
          <w:lang w:val="en-US" w:eastAsia="zh-CN"/>
        </w:rPr>
        <w:t xml:space="preserve">ased on the enhanced CSI, multiple </w:t>
      </w:r>
      <w:r w:rsidR="00C80A62">
        <w:rPr>
          <w:rFonts w:eastAsiaTheme="minorEastAsia"/>
          <w:color w:val="000000" w:themeColor="text1"/>
          <w:sz w:val="22"/>
          <w:szCs w:val="22"/>
          <w:lang w:val="en-US" w:eastAsia="zh-CN"/>
        </w:rPr>
        <w:t>PMIs</w:t>
      </w:r>
      <w:r w:rsidR="00C52ABF">
        <w:rPr>
          <w:rFonts w:eastAsiaTheme="minorEastAsia"/>
          <w:color w:val="000000" w:themeColor="text1"/>
          <w:sz w:val="22"/>
          <w:szCs w:val="22"/>
          <w:lang w:val="en-US" w:eastAsia="zh-CN"/>
        </w:rPr>
        <w:t xml:space="preserve"> corresponding to different time </w:t>
      </w:r>
      <w:r>
        <w:rPr>
          <w:rFonts w:eastAsiaTheme="minorEastAsia"/>
          <w:color w:val="000000" w:themeColor="text1"/>
          <w:sz w:val="22"/>
          <w:szCs w:val="22"/>
          <w:lang w:val="en-US" w:eastAsia="zh-CN"/>
        </w:rPr>
        <w:t>instances</w:t>
      </w:r>
      <w:r w:rsidR="00C52ABF">
        <w:rPr>
          <w:rFonts w:eastAsiaTheme="minorEastAsia"/>
          <w:color w:val="000000" w:themeColor="text1"/>
          <w:sz w:val="22"/>
          <w:szCs w:val="22"/>
          <w:lang w:val="en-US" w:eastAsia="zh-CN"/>
        </w:rPr>
        <w:t xml:space="preserve"> can be obtained, </w:t>
      </w:r>
      <w:r w:rsidR="00C80A62">
        <w:rPr>
          <w:rFonts w:eastAsiaTheme="minorEastAsia"/>
          <w:color w:val="000000" w:themeColor="text1"/>
          <w:sz w:val="22"/>
          <w:szCs w:val="22"/>
          <w:lang w:val="en-US" w:eastAsia="zh-CN"/>
        </w:rPr>
        <w:t xml:space="preserve">while </w:t>
      </w:r>
      <w:r w:rsidR="00C52ABF">
        <w:rPr>
          <w:rFonts w:eastAsiaTheme="minorEastAsia"/>
          <w:color w:val="000000" w:themeColor="text1"/>
          <w:sz w:val="22"/>
          <w:szCs w:val="22"/>
          <w:lang w:val="en-US" w:eastAsia="zh-CN"/>
        </w:rPr>
        <w:t xml:space="preserve">legacy CQI is calculated conditioned on one </w:t>
      </w:r>
      <w:r w:rsidR="00C80A62">
        <w:rPr>
          <w:rFonts w:eastAsiaTheme="minorEastAsia"/>
          <w:color w:val="000000" w:themeColor="text1"/>
          <w:sz w:val="22"/>
          <w:szCs w:val="22"/>
          <w:lang w:val="en-US" w:eastAsia="zh-CN"/>
        </w:rPr>
        <w:t>PMI</w:t>
      </w:r>
      <w:r w:rsidR="00C52ABF">
        <w:rPr>
          <w:rFonts w:eastAsiaTheme="minorEastAsia"/>
          <w:color w:val="000000" w:themeColor="text1"/>
          <w:sz w:val="22"/>
          <w:szCs w:val="22"/>
          <w:lang w:val="en-US" w:eastAsia="zh-CN"/>
        </w:rPr>
        <w:t xml:space="preserve"> correspo</w:t>
      </w:r>
      <w:r w:rsidR="00C80A62">
        <w:rPr>
          <w:rFonts w:eastAsiaTheme="minorEastAsia"/>
          <w:color w:val="000000" w:themeColor="text1"/>
          <w:sz w:val="22"/>
          <w:szCs w:val="22"/>
          <w:lang w:val="en-US" w:eastAsia="zh-CN"/>
        </w:rPr>
        <w:t xml:space="preserve">nding to a single time </w:t>
      </w:r>
      <w:r>
        <w:rPr>
          <w:rFonts w:eastAsiaTheme="minorEastAsia"/>
          <w:color w:val="000000" w:themeColor="text1"/>
          <w:sz w:val="22"/>
          <w:szCs w:val="22"/>
          <w:lang w:val="en-US" w:eastAsia="zh-CN"/>
        </w:rPr>
        <w:t>instance</w:t>
      </w:r>
      <w:r w:rsidR="00C80A62">
        <w:rPr>
          <w:rFonts w:eastAsiaTheme="minorEastAsia"/>
          <w:color w:val="000000" w:themeColor="text1"/>
          <w:sz w:val="22"/>
          <w:szCs w:val="22"/>
          <w:lang w:val="en-US" w:eastAsia="zh-CN"/>
        </w:rPr>
        <w:t xml:space="preserve">, so we think more than one CQI conditioned on PMIs corresponding to different time </w:t>
      </w:r>
      <w:r>
        <w:rPr>
          <w:rFonts w:eastAsiaTheme="minorEastAsia"/>
          <w:color w:val="000000" w:themeColor="text1"/>
          <w:sz w:val="22"/>
          <w:szCs w:val="22"/>
          <w:lang w:val="en-US" w:eastAsia="zh-CN"/>
        </w:rPr>
        <w:t xml:space="preserve">instances </w:t>
      </w:r>
      <w:r w:rsidR="00C80A62">
        <w:rPr>
          <w:rFonts w:eastAsiaTheme="minorEastAsia"/>
          <w:color w:val="000000" w:themeColor="text1"/>
          <w:sz w:val="22"/>
          <w:szCs w:val="22"/>
          <w:lang w:val="en-US" w:eastAsia="zh-CN"/>
        </w:rPr>
        <w:t>should be studied.</w:t>
      </w:r>
    </w:p>
    <w:p w14:paraId="09FAED26" w14:textId="04C918E9" w:rsidR="00C80A62" w:rsidRDefault="00C80A62" w:rsidP="00C80A62">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891E19">
        <w:rPr>
          <w:rFonts w:eastAsiaTheme="minorEastAsia"/>
          <w:b/>
          <w:i/>
          <w:sz w:val="22"/>
          <w:szCs w:val="22"/>
          <w:lang w:val="en-US" w:eastAsia="zh-CN"/>
        </w:rPr>
        <w:t>4</w:t>
      </w:r>
      <w:r>
        <w:rPr>
          <w:rFonts w:eastAsiaTheme="minorEastAsia"/>
          <w:b/>
          <w:i/>
          <w:sz w:val="22"/>
          <w:szCs w:val="22"/>
          <w:lang w:val="en-US" w:eastAsia="zh-CN"/>
        </w:rPr>
        <w:t>: Support more than one CQI</w:t>
      </w:r>
      <w:r w:rsidR="00FF10FF">
        <w:rPr>
          <w:rFonts w:eastAsiaTheme="minorEastAsia"/>
          <w:b/>
          <w:i/>
          <w:sz w:val="22"/>
          <w:szCs w:val="22"/>
          <w:lang w:val="en-US" w:eastAsia="zh-CN"/>
        </w:rPr>
        <w:t xml:space="preserve"> </w:t>
      </w:r>
      <w:r>
        <w:rPr>
          <w:rFonts w:eastAsiaTheme="minorEastAsia"/>
          <w:b/>
          <w:i/>
          <w:sz w:val="22"/>
          <w:szCs w:val="22"/>
          <w:lang w:val="en-US" w:eastAsia="zh-CN"/>
        </w:rPr>
        <w:t xml:space="preserve">conditioned on different PMIs corresponding to different time </w:t>
      </w:r>
      <w:r w:rsidR="00891E19" w:rsidRPr="00891E19">
        <w:rPr>
          <w:rFonts w:eastAsiaTheme="minorEastAsia"/>
          <w:b/>
          <w:i/>
          <w:sz w:val="22"/>
          <w:szCs w:val="22"/>
          <w:lang w:val="en-US" w:eastAsia="zh-CN"/>
        </w:rPr>
        <w:t>instances</w:t>
      </w:r>
      <w:r>
        <w:rPr>
          <w:rFonts w:eastAsiaTheme="minorEastAsia"/>
          <w:b/>
          <w:i/>
          <w:sz w:val="22"/>
          <w:szCs w:val="22"/>
          <w:lang w:val="en-US" w:eastAsia="zh-CN"/>
        </w:rPr>
        <w:t>.</w:t>
      </w:r>
    </w:p>
    <w:p w14:paraId="4A0B8E48" w14:textId="78899701" w:rsidR="009A646B" w:rsidRPr="004C05CE" w:rsidRDefault="009A646B" w:rsidP="009A646B">
      <w:pPr>
        <w:pStyle w:val="1"/>
        <w:keepLines w:val="0"/>
        <w:numPr>
          <w:ilvl w:val="1"/>
          <w:numId w:val="1"/>
        </w:numPr>
        <w:spacing w:before="240" w:after="60"/>
        <w:jc w:val="both"/>
        <w:rPr>
          <w:rFonts w:ascii="Times New Roman" w:eastAsia="宋体" w:hAnsi="Times New Roman" w:cs="Times New Roman"/>
          <w:bCs w:val="0"/>
          <w:color w:val="auto"/>
          <w:kern w:val="32"/>
          <w:sz w:val="24"/>
          <w:lang w:val="en-US" w:eastAsia="zh-CN"/>
        </w:rPr>
      </w:pPr>
      <w:r>
        <w:rPr>
          <w:rFonts w:ascii="Times New Roman" w:eastAsia="宋体" w:hAnsi="Times New Roman" w:cs="Times New Roman"/>
          <w:bCs w:val="0"/>
          <w:color w:val="auto"/>
          <w:kern w:val="32"/>
          <w:sz w:val="24"/>
          <w:lang w:val="en-US" w:eastAsia="zh-CN"/>
        </w:rPr>
        <w:t>CSI enhancements for TDCP</w:t>
      </w:r>
    </w:p>
    <w:p w14:paraId="3AE27284" w14:textId="1BF93279" w:rsidR="000A0452" w:rsidRDefault="003A1A6E" w:rsidP="000A0452">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Considering the complexity, time-domain correlation profile is preferred for TDCP reporting, and </w:t>
      </w:r>
      <w:r w:rsidR="000A0452">
        <w:rPr>
          <w:rFonts w:eastAsiaTheme="minorEastAsia"/>
          <w:color w:val="000000" w:themeColor="text1"/>
          <w:sz w:val="22"/>
          <w:szCs w:val="22"/>
          <w:lang w:val="en-US" w:eastAsia="zh-CN"/>
        </w:rPr>
        <w:t>the TRS resource overhead for TDCP measurement should be considered. For ex</w:t>
      </w:r>
      <w:r>
        <w:rPr>
          <w:rFonts w:eastAsiaTheme="minorEastAsia"/>
          <w:color w:val="000000" w:themeColor="text1"/>
          <w:sz w:val="22"/>
          <w:szCs w:val="22"/>
          <w:lang w:val="en-US" w:eastAsia="zh-CN"/>
        </w:rPr>
        <w:t>ample, current TRS design is int</w:t>
      </w:r>
      <w:r w:rsidR="000A0452">
        <w:rPr>
          <w:rFonts w:eastAsiaTheme="minorEastAsia"/>
          <w:color w:val="000000" w:themeColor="text1"/>
          <w:sz w:val="22"/>
          <w:szCs w:val="22"/>
          <w:lang w:val="en-US" w:eastAsia="zh-CN"/>
        </w:rPr>
        <w:t>en</w:t>
      </w:r>
      <w:r>
        <w:rPr>
          <w:rFonts w:eastAsiaTheme="minorEastAsia"/>
          <w:color w:val="000000" w:themeColor="text1"/>
          <w:sz w:val="22"/>
          <w:szCs w:val="22"/>
          <w:lang w:val="en-US" w:eastAsia="zh-CN"/>
        </w:rPr>
        <w:t>d</w:t>
      </w:r>
      <w:r w:rsidR="000A0452">
        <w:rPr>
          <w:rFonts w:eastAsiaTheme="minorEastAsia"/>
          <w:color w:val="000000" w:themeColor="text1"/>
          <w:sz w:val="22"/>
          <w:szCs w:val="22"/>
          <w:lang w:val="en-US" w:eastAsia="zh-CN"/>
        </w:rPr>
        <w:t>ed for fine time/frequency tracking, and TDCP reporting seems not require so tense resources.</w:t>
      </w:r>
    </w:p>
    <w:p w14:paraId="7D021FFA" w14:textId="2E1C382F" w:rsidR="00D62B8D" w:rsidRDefault="00D62B8D" w:rsidP="00D62B8D">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3A1A6E">
        <w:rPr>
          <w:rFonts w:eastAsiaTheme="minorEastAsia"/>
          <w:b/>
          <w:i/>
          <w:sz w:val="22"/>
          <w:szCs w:val="22"/>
          <w:lang w:val="en-US" w:eastAsia="zh-CN"/>
        </w:rPr>
        <w:t>5</w:t>
      </w:r>
      <w:r>
        <w:rPr>
          <w:rFonts w:eastAsiaTheme="minorEastAsia"/>
          <w:b/>
          <w:i/>
          <w:sz w:val="22"/>
          <w:szCs w:val="22"/>
          <w:lang w:val="en-US" w:eastAsia="zh-CN"/>
        </w:rPr>
        <w:t xml:space="preserve">: For </w:t>
      </w:r>
      <w:r w:rsidR="009A646B">
        <w:rPr>
          <w:rFonts w:eastAsiaTheme="minorEastAsia"/>
          <w:b/>
          <w:i/>
          <w:sz w:val="22"/>
          <w:szCs w:val="22"/>
          <w:lang w:val="en-US" w:eastAsia="zh-CN"/>
        </w:rPr>
        <w:t xml:space="preserve">TRS based TDCP, </w:t>
      </w:r>
      <w:r w:rsidR="000A0452">
        <w:rPr>
          <w:rFonts w:eastAsiaTheme="minorEastAsia"/>
          <w:b/>
          <w:i/>
          <w:sz w:val="22"/>
          <w:szCs w:val="22"/>
          <w:lang w:val="en-US" w:eastAsia="zh-CN"/>
        </w:rPr>
        <w:t>Alt B (time-domain correlation profile) is slightly preferred</w:t>
      </w:r>
      <w:r w:rsidR="009A646B">
        <w:rPr>
          <w:rFonts w:eastAsiaTheme="minorEastAsia"/>
          <w:b/>
          <w:i/>
          <w:sz w:val="22"/>
          <w:szCs w:val="22"/>
          <w:lang w:val="en-US" w:eastAsia="zh-CN"/>
        </w:rPr>
        <w:t>.</w:t>
      </w:r>
      <w:r w:rsidR="00064D19">
        <w:rPr>
          <w:rFonts w:eastAsiaTheme="minorEastAsia"/>
          <w:b/>
          <w:i/>
          <w:sz w:val="22"/>
          <w:szCs w:val="22"/>
          <w:lang w:val="en-US" w:eastAsia="zh-CN"/>
        </w:rPr>
        <w:t xml:space="preserve"> And TRS resource overhead should be considered.</w:t>
      </w:r>
    </w:p>
    <w:bookmarkEnd w:id="7"/>
    <w:bookmarkEnd w:id="8"/>
    <w:p w14:paraId="1CB98FC1" w14:textId="57CDCDC3"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575CC4FF"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3A19CD">
        <w:rPr>
          <w:rFonts w:eastAsiaTheme="minorEastAsia"/>
          <w:color w:val="000000" w:themeColor="text1"/>
          <w:sz w:val="22"/>
          <w:szCs w:val="22"/>
          <w:lang w:val="en-US" w:eastAsia="zh-CN"/>
        </w:rPr>
        <w:t>CSI enhancement for CJT</w:t>
      </w:r>
      <w:r w:rsidR="00E21BEF">
        <w:rPr>
          <w:rFonts w:eastAsiaTheme="minorEastAsia"/>
          <w:color w:val="000000" w:themeColor="text1"/>
          <w:sz w:val="22"/>
          <w:szCs w:val="22"/>
          <w:lang w:val="en-US" w:eastAsia="zh-CN"/>
        </w:rPr>
        <w:t xml:space="preserve"> and high/medium velocities</w:t>
      </w:r>
      <w:r>
        <w:rPr>
          <w:rFonts w:eastAsia="宋体" w:hint="eastAsia"/>
          <w:color w:val="000000" w:themeColor="text1"/>
          <w:sz w:val="22"/>
          <w:szCs w:val="22"/>
          <w:lang w:eastAsia="zh-CN"/>
        </w:rPr>
        <w:t xml:space="preserve">, and we </w:t>
      </w:r>
      <w:r w:rsidR="003A19CD">
        <w:rPr>
          <w:rFonts w:eastAsia="宋体"/>
          <w:color w:val="000000" w:themeColor="text1"/>
          <w:sz w:val="22"/>
          <w:szCs w:val="22"/>
          <w:lang w:eastAsia="zh-CN"/>
        </w:rPr>
        <w:t>propose</w:t>
      </w:r>
      <w:r>
        <w:rPr>
          <w:rFonts w:eastAsia="宋体" w:hint="eastAsia"/>
          <w:color w:val="000000" w:themeColor="text1"/>
          <w:sz w:val="22"/>
          <w:szCs w:val="22"/>
          <w:lang w:eastAsia="zh-CN"/>
        </w:rPr>
        <w:t>:</w:t>
      </w:r>
    </w:p>
    <w:p w14:paraId="3FAB3811" w14:textId="77777777" w:rsidR="003A1A6E" w:rsidRDefault="003A1A6E" w:rsidP="003A1A6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Confirm the WA to support </w:t>
      </w:r>
      <w:r w:rsidRPr="00346585">
        <w:rPr>
          <w:rFonts w:eastAsiaTheme="minorEastAsia"/>
          <w:b/>
          <w:i/>
          <w:sz w:val="22"/>
          <w:szCs w:val="22"/>
          <w:lang w:val="en-US" w:eastAsia="zh-CN"/>
        </w:rPr>
        <w:t>(2N–1) amplitude groups</w:t>
      </w:r>
      <w:r>
        <w:rPr>
          <w:rFonts w:eastAsiaTheme="minorEastAsia"/>
          <w:b/>
          <w:i/>
          <w:sz w:val="22"/>
          <w:szCs w:val="22"/>
          <w:lang w:val="en-US" w:eastAsia="zh-CN"/>
        </w:rPr>
        <w:t xml:space="preserve"> for CJT (i.e. Alt 3) .</w:t>
      </w:r>
    </w:p>
    <w:p w14:paraId="6714CF97" w14:textId="77777777" w:rsidR="003A1A6E" w:rsidRDefault="003A1A6E" w:rsidP="003A1A6E">
      <w:pPr>
        <w:spacing w:after="120"/>
        <w:jc w:val="both"/>
        <w:rPr>
          <w:rFonts w:eastAsiaTheme="minorEastAsia"/>
          <w:b/>
          <w:i/>
          <w:sz w:val="22"/>
          <w:szCs w:val="22"/>
          <w:lang w:val="en-US" w:eastAsia="zh-CN"/>
        </w:rPr>
      </w:pPr>
      <w:r>
        <w:rPr>
          <w:rFonts w:eastAsiaTheme="minorEastAsia"/>
          <w:b/>
          <w:i/>
          <w:sz w:val="22"/>
          <w:szCs w:val="22"/>
          <w:lang w:val="en-US" w:eastAsia="zh-CN"/>
        </w:rPr>
        <w:t>Proposal 2: At least single-TRP hypothesis and multi-TRP hypothesis should be considered for configuration of the parameters (</w:t>
      </w:r>
      <w:r w:rsidRPr="004D49D9">
        <w:rPr>
          <w:rFonts w:eastAsiaTheme="minorEastAsia"/>
          <w:b/>
          <w:color w:val="000000" w:themeColor="text1"/>
          <w:sz w:val="22"/>
          <w:szCs w:val="22"/>
          <w:lang w:val="en-US" w:eastAsia="zh-CN"/>
        </w:rPr>
        <w:t xml:space="preserve">e.g. </w:t>
      </w:r>
      <w:r w:rsidRPr="004D49D9">
        <w:rPr>
          <w:b/>
          <w:i/>
          <w:iCs/>
        </w:rPr>
        <w:t>p</w:t>
      </w:r>
      <w:r w:rsidRPr="004D49D9">
        <w:rPr>
          <w:b/>
          <w:i/>
          <w:iCs/>
          <w:vertAlign w:val="subscript"/>
        </w:rPr>
        <w:t>v</w:t>
      </w:r>
      <w:r w:rsidRPr="004D49D9">
        <w:rPr>
          <w:rFonts w:eastAsiaTheme="minorEastAsia"/>
          <w:b/>
          <w:color w:val="000000" w:themeColor="text1"/>
          <w:sz w:val="22"/>
          <w:szCs w:val="22"/>
          <w:lang w:val="en-US" w:eastAsia="zh-CN"/>
        </w:rPr>
        <w:t xml:space="preserve"> and </w:t>
      </w:r>
      <w:r w:rsidRPr="004D49D9">
        <w:rPr>
          <w:rFonts w:ascii="Symbol" w:hAnsi="Symbol"/>
          <w:b/>
          <w:i/>
          <w:iCs/>
        </w:rPr>
        <w:t></w:t>
      </w:r>
      <w:r>
        <w:rPr>
          <w:rFonts w:eastAsiaTheme="minorEastAsia"/>
          <w:b/>
          <w:i/>
          <w:sz w:val="22"/>
          <w:szCs w:val="22"/>
          <w:lang w:val="en-US" w:eastAsia="zh-CN"/>
        </w:rPr>
        <w:t>) . For example, the additional introduced smaller values are applied for multi-TRP hypothesis.</w:t>
      </w:r>
    </w:p>
    <w:p w14:paraId="53E4A76D" w14:textId="77777777" w:rsidR="003A1A6E" w:rsidRPr="00557306" w:rsidRDefault="003A1A6E" w:rsidP="003A1A6E">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 3: CSI payload partitioning and priorities should be further discussed.</w:t>
      </w:r>
    </w:p>
    <w:p w14:paraId="258EAFF4" w14:textId="77777777" w:rsidR="003A1A6E" w:rsidRDefault="003A1A6E" w:rsidP="003A1A6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4: Support more than one CQI conditioned on different PMIs corresponding to different time </w:t>
      </w:r>
      <w:r w:rsidRPr="00891E19">
        <w:rPr>
          <w:rFonts w:eastAsiaTheme="minorEastAsia"/>
          <w:b/>
          <w:i/>
          <w:sz w:val="22"/>
          <w:szCs w:val="22"/>
          <w:lang w:val="en-US" w:eastAsia="zh-CN"/>
        </w:rPr>
        <w:t>instances</w:t>
      </w:r>
      <w:r>
        <w:rPr>
          <w:rFonts w:eastAsiaTheme="minorEastAsia"/>
          <w:b/>
          <w:i/>
          <w:sz w:val="22"/>
          <w:szCs w:val="22"/>
          <w:lang w:val="en-US" w:eastAsia="zh-CN"/>
        </w:rPr>
        <w:t>.</w:t>
      </w:r>
    </w:p>
    <w:p w14:paraId="33D25F83" w14:textId="77777777" w:rsidR="003A1A6E" w:rsidRDefault="003A1A6E" w:rsidP="003A1A6E">
      <w:pPr>
        <w:spacing w:after="120"/>
        <w:jc w:val="both"/>
        <w:rPr>
          <w:rFonts w:eastAsiaTheme="minorEastAsia"/>
          <w:b/>
          <w:i/>
          <w:sz w:val="22"/>
          <w:szCs w:val="22"/>
          <w:lang w:val="en-US" w:eastAsia="zh-CN"/>
        </w:rPr>
      </w:pPr>
      <w:r>
        <w:rPr>
          <w:rFonts w:eastAsiaTheme="minorEastAsia"/>
          <w:b/>
          <w:i/>
          <w:sz w:val="22"/>
          <w:szCs w:val="22"/>
          <w:lang w:val="en-US" w:eastAsia="zh-CN"/>
        </w:rPr>
        <w:t>Proposal 5: For TRS based TDCP, Alt B (time-domain correlation profile) is slightly preferred. And TRS resource overhead should be considered.</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23AA03A0" w14:textId="1A9394D3" w:rsidR="00463FAD" w:rsidRPr="00535CAF" w:rsidRDefault="00B1048D" w:rsidP="00463FAD">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RAN1#110bis-e,</w:t>
      </w:r>
      <w:r w:rsidRPr="00436777">
        <w:rPr>
          <w:rFonts w:eastAsia="宋体"/>
          <w:color w:val="000000"/>
          <w:lang w:eastAsia="zh-CN"/>
        </w:rPr>
        <w:t xml:space="preserve"> 10th – 19th October, 2022</w:t>
      </w:r>
      <w:r w:rsidR="00463FAD">
        <w:rPr>
          <w:rFonts w:eastAsia="宋体"/>
          <w:color w:val="000000"/>
          <w:lang w:eastAsia="zh-CN"/>
        </w:rPr>
        <w:t xml:space="preserve"> </w:t>
      </w:r>
    </w:p>
    <w:sectPr w:rsidR="00463FAD" w:rsidRPr="00535CAF"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9A703" w14:textId="77777777" w:rsidR="003B6BEC" w:rsidRPr="00D733E0" w:rsidRDefault="003B6BEC" w:rsidP="00D400AF">
      <w:pPr>
        <w:spacing w:after="0"/>
        <w:rPr>
          <w:rFonts w:ascii="Arial" w:eastAsia="宋体" w:hAnsi="Arial" w:cs="Arial"/>
          <w:color w:val="0000FF"/>
          <w:kern w:val="2"/>
          <w:lang w:val="en-US" w:eastAsia="zh-CN"/>
        </w:rPr>
      </w:pPr>
      <w:r>
        <w:separator/>
      </w:r>
    </w:p>
  </w:endnote>
  <w:endnote w:type="continuationSeparator" w:id="0">
    <w:p w14:paraId="1852D8EE" w14:textId="77777777" w:rsidR="003B6BEC" w:rsidRPr="00D733E0" w:rsidRDefault="003B6BEC"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0CF5F13C" w:rsidR="00F51453" w:rsidRPr="007A56A3" w:rsidRDefault="00F51453">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D344EB" w:rsidRPr="00D344EB">
          <w:rPr>
            <w:noProof/>
            <w:sz w:val="21"/>
            <w:lang w:val="zh-CN" w:eastAsia="zh-CN"/>
          </w:rPr>
          <w:t>3</w:t>
        </w:r>
        <w:r w:rsidRPr="007A56A3">
          <w:rPr>
            <w:sz w:val="21"/>
          </w:rPr>
          <w:fldChar w:fldCharType="end"/>
        </w:r>
      </w:p>
    </w:sdtContent>
  </w:sdt>
  <w:p w14:paraId="55D08AE3" w14:textId="77777777" w:rsidR="00F51453" w:rsidRDefault="00F51453"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5E323" w14:textId="77777777" w:rsidR="003B6BEC" w:rsidRPr="00D733E0" w:rsidRDefault="003B6BEC" w:rsidP="00D400AF">
      <w:pPr>
        <w:spacing w:after="0"/>
        <w:rPr>
          <w:rFonts w:ascii="Arial" w:eastAsia="宋体" w:hAnsi="Arial" w:cs="Arial"/>
          <w:color w:val="0000FF"/>
          <w:kern w:val="2"/>
          <w:lang w:val="en-US" w:eastAsia="zh-CN"/>
        </w:rPr>
      </w:pPr>
      <w:r>
        <w:separator/>
      </w:r>
    </w:p>
  </w:footnote>
  <w:footnote w:type="continuationSeparator" w:id="0">
    <w:p w14:paraId="58D31049" w14:textId="77777777" w:rsidR="003B6BEC" w:rsidRPr="00D733E0" w:rsidRDefault="003B6BEC"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DFB6D41"/>
    <w:multiLevelType w:val="hybridMultilevel"/>
    <w:tmpl w:val="C99E3CAC"/>
    <w:lvl w:ilvl="0" w:tplc="DD9E9514">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
  </w:num>
  <w:num w:numId="2">
    <w:abstractNumId w:val="9"/>
  </w:num>
  <w:num w:numId="3">
    <w:abstractNumId w:val="5"/>
  </w:num>
  <w:num w:numId="4">
    <w:abstractNumId w:val="3"/>
  </w:num>
  <w:num w:numId="5">
    <w:abstractNumId w:val="45"/>
  </w:num>
  <w:num w:numId="6">
    <w:abstractNumId w:val="3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3"/>
  </w:num>
  <w:num w:numId="9">
    <w:abstractNumId w:val="14"/>
  </w:num>
  <w:num w:numId="10">
    <w:abstractNumId w:val="35"/>
  </w:num>
  <w:num w:numId="11">
    <w:abstractNumId w:val="40"/>
  </w:num>
  <w:num w:numId="12">
    <w:abstractNumId w:val="39"/>
  </w:num>
  <w:num w:numId="13">
    <w:abstractNumId w:val="23"/>
  </w:num>
  <w:num w:numId="14">
    <w:abstractNumId w:val="6"/>
  </w:num>
  <w:num w:numId="15">
    <w:abstractNumId w:val="37"/>
  </w:num>
  <w:num w:numId="16">
    <w:abstractNumId w:val="28"/>
  </w:num>
  <w:num w:numId="17">
    <w:abstractNumId w:val="7"/>
  </w:num>
  <w:num w:numId="18">
    <w:abstractNumId w:val="1"/>
  </w:num>
  <w:num w:numId="19">
    <w:abstractNumId w:val="13"/>
  </w:num>
  <w:num w:numId="20">
    <w:abstractNumId w:val="26"/>
  </w:num>
  <w:num w:numId="21">
    <w:abstractNumId w:val="48"/>
  </w:num>
  <w:num w:numId="22">
    <w:abstractNumId w:val="42"/>
  </w:num>
  <w:num w:numId="23">
    <w:abstractNumId w:val="36"/>
  </w:num>
  <w:num w:numId="24">
    <w:abstractNumId w:val="4"/>
  </w:num>
  <w:num w:numId="25">
    <w:abstractNumId w:val="16"/>
  </w:num>
  <w:num w:numId="26">
    <w:abstractNumId w:val="41"/>
  </w:num>
  <w:num w:numId="27">
    <w:abstractNumId w:val="46"/>
  </w:num>
  <w:num w:numId="28">
    <w:abstractNumId w:val="10"/>
  </w:num>
  <w:num w:numId="29">
    <w:abstractNumId w:val="19"/>
  </w:num>
  <w:num w:numId="30">
    <w:abstractNumId w:val="12"/>
  </w:num>
  <w:num w:numId="31">
    <w:abstractNumId w:val="24"/>
  </w:num>
  <w:num w:numId="32">
    <w:abstractNumId w:val="34"/>
  </w:num>
  <w:num w:numId="33">
    <w:abstractNumId w:val="30"/>
  </w:num>
  <w:num w:numId="34">
    <w:abstractNumId w:val="44"/>
  </w:num>
  <w:num w:numId="35">
    <w:abstractNumId w:val="29"/>
  </w:num>
  <w:num w:numId="36">
    <w:abstractNumId w:val="15"/>
  </w:num>
  <w:num w:numId="37">
    <w:abstractNumId w:val="47"/>
  </w:num>
  <w:num w:numId="38">
    <w:abstractNumId w:val="25"/>
  </w:num>
  <w:num w:numId="39">
    <w:abstractNumId w:val="20"/>
  </w:num>
  <w:num w:numId="40">
    <w:abstractNumId w:val="27"/>
  </w:num>
  <w:num w:numId="41">
    <w:abstractNumId w:val="17"/>
  </w:num>
  <w:num w:numId="42">
    <w:abstractNumId w:val="38"/>
  </w:num>
  <w:num w:numId="43">
    <w:abstractNumId w:val="22"/>
  </w:num>
  <w:num w:numId="44">
    <w:abstractNumId w:val="8"/>
  </w:num>
  <w:num w:numId="45">
    <w:abstractNumId w:val="21"/>
  </w:num>
  <w:num w:numId="46">
    <w:abstractNumId w:val="11"/>
  </w:num>
  <w:num w:numId="47">
    <w:abstractNumId w:val="18"/>
  </w:num>
  <w:num w:numId="48">
    <w:abstractNumId w:val="33"/>
  </w:num>
  <w:num w:numId="49">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0CB9"/>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5930"/>
    <w:rsid w:val="00056D07"/>
    <w:rsid w:val="0005775A"/>
    <w:rsid w:val="000605C5"/>
    <w:rsid w:val="000609E1"/>
    <w:rsid w:val="00060A98"/>
    <w:rsid w:val="00061D32"/>
    <w:rsid w:val="000626F7"/>
    <w:rsid w:val="00062A5B"/>
    <w:rsid w:val="000634E2"/>
    <w:rsid w:val="00064D19"/>
    <w:rsid w:val="000655EB"/>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0452"/>
    <w:rsid w:val="000A148E"/>
    <w:rsid w:val="000A37D9"/>
    <w:rsid w:val="000A4CFC"/>
    <w:rsid w:val="000A55A4"/>
    <w:rsid w:val="000A7A48"/>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07A"/>
    <w:rsid w:val="001243DF"/>
    <w:rsid w:val="00124B2D"/>
    <w:rsid w:val="00126822"/>
    <w:rsid w:val="001306E5"/>
    <w:rsid w:val="00130C59"/>
    <w:rsid w:val="00131E6B"/>
    <w:rsid w:val="001324BE"/>
    <w:rsid w:val="0013484A"/>
    <w:rsid w:val="00134E40"/>
    <w:rsid w:val="001370F7"/>
    <w:rsid w:val="00137C5E"/>
    <w:rsid w:val="00137D73"/>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D7ADF"/>
    <w:rsid w:val="001E1C35"/>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4728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5F85"/>
    <w:rsid w:val="002C03F6"/>
    <w:rsid w:val="002C0F7D"/>
    <w:rsid w:val="002C1AC1"/>
    <w:rsid w:val="002C24F0"/>
    <w:rsid w:val="002C38D2"/>
    <w:rsid w:val="002C419A"/>
    <w:rsid w:val="002C4747"/>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585"/>
    <w:rsid w:val="00346F79"/>
    <w:rsid w:val="00350F97"/>
    <w:rsid w:val="00351A36"/>
    <w:rsid w:val="00352CAA"/>
    <w:rsid w:val="00353288"/>
    <w:rsid w:val="00354E6A"/>
    <w:rsid w:val="003559A5"/>
    <w:rsid w:val="00355F7B"/>
    <w:rsid w:val="0035756A"/>
    <w:rsid w:val="00357D4B"/>
    <w:rsid w:val="00357EE2"/>
    <w:rsid w:val="003604E5"/>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8DF"/>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A20"/>
    <w:rsid w:val="003A0E8A"/>
    <w:rsid w:val="003A13EF"/>
    <w:rsid w:val="003A19CD"/>
    <w:rsid w:val="003A1A6E"/>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BEC"/>
    <w:rsid w:val="003B6D26"/>
    <w:rsid w:val="003B73D8"/>
    <w:rsid w:val="003B7A10"/>
    <w:rsid w:val="003B7FF4"/>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4F1"/>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2E3E"/>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75F"/>
    <w:rsid w:val="0043397C"/>
    <w:rsid w:val="00433CAA"/>
    <w:rsid w:val="004340CC"/>
    <w:rsid w:val="004350D6"/>
    <w:rsid w:val="00435C08"/>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3FAD"/>
    <w:rsid w:val="00464174"/>
    <w:rsid w:val="00464854"/>
    <w:rsid w:val="004673DA"/>
    <w:rsid w:val="004703FF"/>
    <w:rsid w:val="00471187"/>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78D4"/>
    <w:rsid w:val="004A1714"/>
    <w:rsid w:val="004A175B"/>
    <w:rsid w:val="004A34B8"/>
    <w:rsid w:val="004A3B42"/>
    <w:rsid w:val="004A5710"/>
    <w:rsid w:val="004A61AC"/>
    <w:rsid w:val="004A6D45"/>
    <w:rsid w:val="004B1C66"/>
    <w:rsid w:val="004B2191"/>
    <w:rsid w:val="004B4BA8"/>
    <w:rsid w:val="004B5C09"/>
    <w:rsid w:val="004B62BE"/>
    <w:rsid w:val="004B725C"/>
    <w:rsid w:val="004C05CE"/>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9D9"/>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F42"/>
    <w:rsid w:val="005053FB"/>
    <w:rsid w:val="00505856"/>
    <w:rsid w:val="0050680A"/>
    <w:rsid w:val="005075E2"/>
    <w:rsid w:val="005077FE"/>
    <w:rsid w:val="00510E10"/>
    <w:rsid w:val="005122EA"/>
    <w:rsid w:val="0051388E"/>
    <w:rsid w:val="005154A5"/>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4AB3"/>
    <w:rsid w:val="0054571C"/>
    <w:rsid w:val="005469BE"/>
    <w:rsid w:val="00546DC0"/>
    <w:rsid w:val="00552683"/>
    <w:rsid w:val="00553629"/>
    <w:rsid w:val="00553AC1"/>
    <w:rsid w:val="00554F8A"/>
    <w:rsid w:val="00555B34"/>
    <w:rsid w:val="00557306"/>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B05"/>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5041"/>
    <w:rsid w:val="00646D41"/>
    <w:rsid w:val="006474E3"/>
    <w:rsid w:val="00647E95"/>
    <w:rsid w:val="00652723"/>
    <w:rsid w:val="006530AA"/>
    <w:rsid w:val="006534D6"/>
    <w:rsid w:val="00654BB6"/>
    <w:rsid w:val="00655ED2"/>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6BC"/>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5971"/>
    <w:rsid w:val="006F6431"/>
    <w:rsid w:val="006F6E83"/>
    <w:rsid w:val="00700D0B"/>
    <w:rsid w:val="00703E33"/>
    <w:rsid w:val="00703FFB"/>
    <w:rsid w:val="0070445C"/>
    <w:rsid w:val="00707451"/>
    <w:rsid w:val="0071010E"/>
    <w:rsid w:val="0071117E"/>
    <w:rsid w:val="007111CF"/>
    <w:rsid w:val="0071141D"/>
    <w:rsid w:val="00711BE5"/>
    <w:rsid w:val="00712139"/>
    <w:rsid w:val="00712B8B"/>
    <w:rsid w:val="00712EA8"/>
    <w:rsid w:val="00715872"/>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674F"/>
    <w:rsid w:val="00746950"/>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0D2E"/>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0BDC"/>
    <w:rsid w:val="00833A27"/>
    <w:rsid w:val="00834134"/>
    <w:rsid w:val="00834869"/>
    <w:rsid w:val="008353EE"/>
    <w:rsid w:val="00836330"/>
    <w:rsid w:val="008368FC"/>
    <w:rsid w:val="008373AD"/>
    <w:rsid w:val="00841173"/>
    <w:rsid w:val="0084179F"/>
    <w:rsid w:val="00841A1E"/>
    <w:rsid w:val="00841ED1"/>
    <w:rsid w:val="00842995"/>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1E19"/>
    <w:rsid w:val="00892257"/>
    <w:rsid w:val="008925C8"/>
    <w:rsid w:val="0089523B"/>
    <w:rsid w:val="008952D9"/>
    <w:rsid w:val="00895BD6"/>
    <w:rsid w:val="00895EC3"/>
    <w:rsid w:val="0089696F"/>
    <w:rsid w:val="0089742C"/>
    <w:rsid w:val="008A0E7D"/>
    <w:rsid w:val="008A12F3"/>
    <w:rsid w:val="008A2AE0"/>
    <w:rsid w:val="008A3BA3"/>
    <w:rsid w:val="008A51E2"/>
    <w:rsid w:val="008A5AD6"/>
    <w:rsid w:val="008A7442"/>
    <w:rsid w:val="008B12EE"/>
    <w:rsid w:val="008B275D"/>
    <w:rsid w:val="008B2B54"/>
    <w:rsid w:val="008B2FB1"/>
    <w:rsid w:val="008B32B3"/>
    <w:rsid w:val="008B3D8C"/>
    <w:rsid w:val="008C00C4"/>
    <w:rsid w:val="008C011F"/>
    <w:rsid w:val="008C095A"/>
    <w:rsid w:val="008C1A06"/>
    <w:rsid w:val="008C3657"/>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594"/>
    <w:rsid w:val="008F0F89"/>
    <w:rsid w:val="008F259F"/>
    <w:rsid w:val="008F28CE"/>
    <w:rsid w:val="008F3633"/>
    <w:rsid w:val="008F541E"/>
    <w:rsid w:val="008F6A87"/>
    <w:rsid w:val="008F6BA9"/>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13A"/>
    <w:rsid w:val="00945CCA"/>
    <w:rsid w:val="009460D5"/>
    <w:rsid w:val="009476A8"/>
    <w:rsid w:val="00950006"/>
    <w:rsid w:val="00950E5F"/>
    <w:rsid w:val="009519D2"/>
    <w:rsid w:val="0095278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07B6"/>
    <w:rsid w:val="009A0A92"/>
    <w:rsid w:val="009A1131"/>
    <w:rsid w:val="009A2741"/>
    <w:rsid w:val="009A31FD"/>
    <w:rsid w:val="009A5E76"/>
    <w:rsid w:val="009A646B"/>
    <w:rsid w:val="009A71AA"/>
    <w:rsid w:val="009B1473"/>
    <w:rsid w:val="009B192E"/>
    <w:rsid w:val="009B2E9D"/>
    <w:rsid w:val="009B3327"/>
    <w:rsid w:val="009B3CF9"/>
    <w:rsid w:val="009B6DA4"/>
    <w:rsid w:val="009C0A6D"/>
    <w:rsid w:val="009C15BC"/>
    <w:rsid w:val="009C2433"/>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3B5F"/>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3FAC"/>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A95"/>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1048D"/>
    <w:rsid w:val="00B11EF3"/>
    <w:rsid w:val="00B12577"/>
    <w:rsid w:val="00B12811"/>
    <w:rsid w:val="00B1407E"/>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3CBE"/>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01E7"/>
    <w:rsid w:val="00B8158F"/>
    <w:rsid w:val="00B830CE"/>
    <w:rsid w:val="00B83206"/>
    <w:rsid w:val="00B8379F"/>
    <w:rsid w:val="00B85686"/>
    <w:rsid w:val="00B85B67"/>
    <w:rsid w:val="00B86322"/>
    <w:rsid w:val="00B865C8"/>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4791"/>
    <w:rsid w:val="00BA5CE4"/>
    <w:rsid w:val="00BA7F5D"/>
    <w:rsid w:val="00BB3F45"/>
    <w:rsid w:val="00BB53CC"/>
    <w:rsid w:val="00BB5596"/>
    <w:rsid w:val="00BB6006"/>
    <w:rsid w:val="00BB607E"/>
    <w:rsid w:val="00BB6494"/>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319D"/>
    <w:rsid w:val="00C0379A"/>
    <w:rsid w:val="00C039EF"/>
    <w:rsid w:val="00C03AE2"/>
    <w:rsid w:val="00C03FE8"/>
    <w:rsid w:val="00C041C1"/>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182"/>
    <w:rsid w:val="00C25A2A"/>
    <w:rsid w:val="00C2607F"/>
    <w:rsid w:val="00C26959"/>
    <w:rsid w:val="00C30FB4"/>
    <w:rsid w:val="00C311D6"/>
    <w:rsid w:val="00C316A4"/>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7178"/>
    <w:rsid w:val="00C47947"/>
    <w:rsid w:val="00C47992"/>
    <w:rsid w:val="00C47B77"/>
    <w:rsid w:val="00C501AA"/>
    <w:rsid w:val="00C50DAD"/>
    <w:rsid w:val="00C52ABF"/>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3A01"/>
    <w:rsid w:val="00C7602E"/>
    <w:rsid w:val="00C76CAD"/>
    <w:rsid w:val="00C807F2"/>
    <w:rsid w:val="00C80A6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1FA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ACB"/>
    <w:rsid w:val="00D31D71"/>
    <w:rsid w:val="00D33F87"/>
    <w:rsid w:val="00D344EB"/>
    <w:rsid w:val="00D351DF"/>
    <w:rsid w:val="00D354FB"/>
    <w:rsid w:val="00D35B7B"/>
    <w:rsid w:val="00D361C0"/>
    <w:rsid w:val="00D373F8"/>
    <w:rsid w:val="00D400AF"/>
    <w:rsid w:val="00D405A2"/>
    <w:rsid w:val="00D4074E"/>
    <w:rsid w:val="00D40A60"/>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2B8D"/>
    <w:rsid w:val="00D66BF6"/>
    <w:rsid w:val="00D70975"/>
    <w:rsid w:val="00D716C9"/>
    <w:rsid w:val="00D75FEE"/>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C7F1C"/>
    <w:rsid w:val="00DD089A"/>
    <w:rsid w:val="00DD28D3"/>
    <w:rsid w:val="00DD5479"/>
    <w:rsid w:val="00DD6562"/>
    <w:rsid w:val="00DD69F4"/>
    <w:rsid w:val="00DE05DB"/>
    <w:rsid w:val="00DE22E4"/>
    <w:rsid w:val="00DE3706"/>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37C6B"/>
    <w:rsid w:val="00E40F1B"/>
    <w:rsid w:val="00E440A4"/>
    <w:rsid w:val="00E44D6B"/>
    <w:rsid w:val="00E4620B"/>
    <w:rsid w:val="00E46489"/>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50BC"/>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A643D"/>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37EC8"/>
    <w:rsid w:val="00F40025"/>
    <w:rsid w:val="00F40C68"/>
    <w:rsid w:val="00F41186"/>
    <w:rsid w:val="00F4326E"/>
    <w:rsid w:val="00F437FC"/>
    <w:rsid w:val="00F46109"/>
    <w:rsid w:val="00F468BE"/>
    <w:rsid w:val="00F469A2"/>
    <w:rsid w:val="00F46B5E"/>
    <w:rsid w:val="00F47E30"/>
    <w:rsid w:val="00F47FF4"/>
    <w:rsid w:val="00F5058B"/>
    <w:rsid w:val="00F51453"/>
    <w:rsid w:val="00F518C8"/>
    <w:rsid w:val="00F558B4"/>
    <w:rsid w:val="00F56E29"/>
    <w:rsid w:val="00F570EC"/>
    <w:rsid w:val="00F574BA"/>
    <w:rsid w:val="00F578DD"/>
    <w:rsid w:val="00F60EA5"/>
    <w:rsid w:val="00F6458B"/>
    <w:rsid w:val="00F65748"/>
    <w:rsid w:val="00F672CF"/>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D64FC"/>
    <w:rsid w:val="00FE0FCC"/>
    <w:rsid w:val="00FE0FE4"/>
    <w:rsid w:val="00FE25DE"/>
    <w:rsid w:val="00FE2E88"/>
    <w:rsid w:val="00FE3647"/>
    <w:rsid w:val="00FE5A4A"/>
    <w:rsid w:val="00FE6A04"/>
    <w:rsid w:val="00FE7664"/>
    <w:rsid w:val="00FF02CE"/>
    <w:rsid w:val="00FF10FF"/>
    <w:rsid w:val="00FF1708"/>
    <w:rsid w:val="00FF1719"/>
    <w:rsid w:val="00FF1901"/>
    <w:rsid w:val="00FF1B46"/>
    <w:rsid w:val="00FF3008"/>
    <w:rsid w:val="00FF308F"/>
    <w:rsid w:val="00FF40C4"/>
    <w:rsid w:val="00FF45B0"/>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94983636">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45370-B703-465C-92A0-4649EE807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3</Pages>
  <Words>1417</Words>
  <Characters>8081</Characters>
  <Application>Microsoft Office Word</Application>
  <DocSecurity>0</DocSecurity>
  <Lines>67</Lines>
  <Paragraphs>18</Paragraphs>
  <ScaleCrop>false</ScaleCrop>
  <Company/>
  <LinksUpToDate>false</LinksUpToDate>
  <CharactersWithSpaces>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83</cp:revision>
  <cp:lastPrinted>2021-09-29T23:28:00Z</cp:lastPrinted>
  <dcterms:created xsi:type="dcterms:W3CDTF">2022-04-21T23:12:00Z</dcterms:created>
  <dcterms:modified xsi:type="dcterms:W3CDTF">2022-11-07T01:47:00Z</dcterms:modified>
</cp:coreProperties>
</file>