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425C" w:rsidRPr="00310722" w:rsidRDefault="00F3458E" w:rsidP="0060654D">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w:t>
      </w:r>
      <w:r w:rsidR="00E94ECD">
        <w:rPr>
          <w:b/>
          <w:kern w:val="2"/>
          <w:lang w:eastAsia="zh-CN"/>
        </w:rPr>
        <w:t>N WG1 Meeting #111</w:t>
      </w:r>
      <w:r w:rsidR="003B21B4">
        <w:rPr>
          <w:b/>
          <w:kern w:val="2"/>
          <w:lang w:eastAsia="zh-CN"/>
        </w:rPr>
        <w:tab/>
      </w:r>
      <w:r w:rsidR="0060654D">
        <w:rPr>
          <w:b/>
          <w:kern w:val="2"/>
          <w:lang w:eastAsia="zh-CN"/>
        </w:rPr>
        <w:t xml:space="preserve">                                   </w:t>
      </w:r>
      <w:r w:rsidR="001B2D0A">
        <w:rPr>
          <w:b/>
          <w:kern w:val="2"/>
          <w:lang w:eastAsia="zh-CN"/>
        </w:rPr>
        <w:t xml:space="preserve">                         </w:t>
      </w:r>
      <w:r w:rsidR="00034DF1">
        <w:rPr>
          <w:b/>
          <w:kern w:val="2"/>
          <w:lang w:eastAsia="zh-CN"/>
        </w:rPr>
        <w:t xml:space="preserve">     </w:t>
      </w:r>
      <w:r w:rsidR="0060654D">
        <w:rPr>
          <w:b/>
          <w:kern w:val="2"/>
          <w:lang w:eastAsia="zh-CN"/>
        </w:rPr>
        <w:t xml:space="preserve">  </w:t>
      </w:r>
      <w:r w:rsidR="00034DF1" w:rsidRPr="00034DF1">
        <w:rPr>
          <w:b/>
          <w:kern w:val="2"/>
          <w:lang w:eastAsia="zh-CN"/>
        </w:rPr>
        <w:t>R1</w:t>
      </w:r>
      <w:r w:rsidR="00034DF1">
        <w:rPr>
          <w:b/>
          <w:kern w:val="2"/>
          <w:lang w:eastAsia="zh-CN"/>
        </w:rPr>
        <w:t>-</w:t>
      </w:r>
      <w:r w:rsidR="00034DF1" w:rsidRPr="00034DF1">
        <w:rPr>
          <w:b/>
          <w:kern w:val="2"/>
          <w:lang w:eastAsia="zh-CN"/>
        </w:rPr>
        <w:t>2211065</w:t>
      </w:r>
    </w:p>
    <w:p w:rsidR="00FF425C" w:rsidRDefault="00FC08C8">
      <w:pPr>
        <w:jc w:val="left"/>
        <w:rPr>
          <w:b/>
          <w:kern w:val="2"/>
          <w:lang w:eastAsia="zh-CN"/>
        </w:rPr>
      </w:pPr>
      <w:r>
        <w:rPr>
          <w:b/>
          <w:kern w:val="2"/>
          <w:lang w:eastAsia="zh-CN"/>
        </w:rPr>
        <w:t>Toulouse, France Nov</w:t>
      </w:r>
      <w:r w:rsidR="002F5937">
        <w:rPr>
          <w:b/>
          <w:kern w:val="2"/>
          <w:lang w:eastAsia="zh-CN"/>
        </w:rPr>
        <w:t xml:space="preserve"> </w:t>
      </w:r>
      <w:r>
        <w:rPr>
          <w:b/>
          <w:kern w:val="2"/>
          <w:lang w:eastAsia="zh-CN"/>
        </w:rPr>
        <w:t>14</w:t>
      </w:r>
      <w:r w:rsidR="001B2D0A" w:rsidRPr="001B2D0A">
        <w:rPr>
          <w:b/>
          <w:kern w:val="2"/>
          <w:vertAlign w:val="superscript"/>
          <w:lang w:eastAsia="zh-CN"/>
        </w:rPr>
        <w:t>th</w:t>
      </w:r>
      <w:r w:rsidR="002F5937">
        <w:rPr>
          <w:b/>
          <w:kern w:val="2"/>
          <w:lang w:eastAsia="zh-CN"/>
        </w:rPr>
        <w:t xml:space="preserve"> </w:t>
      </w:r>
      <w:r w:rsidR="00A95265">
        <w:rPr>
          <w:b/>
          <w:kern w:val="2"/>
          <w:lang w:eastAsia="zh-CN"/>
        </w:rPr>
        <w:t>– Nov</w:t>
      </w:r>
      <w:r w:rsidR="001B2D0A">
        <w:rPr>
          <w:b/>
          <w:kern w:val="2"/>
          <w:lang w:eastAsia="zh-CN"/>
        </w:rPr>
        <w:t xml:space="preserve"> 1</w:t>
      </w:r>
      <w:r>
        <w:rPr>
          <w:b/>
          <w:kern w:val="2"/>
          <w:lang w:eastAsia="zh-CN"/>
        </w:rPr>
        <w:t>8</w:t>
      </w:r>
      <w:r w:rsidR="002F5937" w:rsidRPr="002F5937">
        <w:rPr>
          <w:b/>
          <w:kern w:val="2"/>
          <w:vertAlign w:val="superscript"/>
          <w:lang w:eastAsia="zh-CN"/>
        </w:rPr>
        <w:t>th</w:t>
      </w:r>
      <w:r w:rsidR="00F3458E">
        <w:rPr>
          <w:b/>
          <w:kern w:val="2"/>
          <w:lang w:eastAsia="zh-CN"/>
        </w:rPr>
        <w:t>, 2022</w:t>
      </w:r>
    </w:p>
    <w:p w:rsidR="00FF425C" w:rsidRDefault="00FF425C">
      <w:pPr>
        <w:pBdr>
          <w:top w:val="single" w:sz="4" w:space="1" w:color="auto"/>
        </w:pBdr>
        <w:spacing w:after="0"/>
        <w:jc w:val="left"/>
        <w:rPr>
          <w:b/>
          <w:kern w:val="2"/>
          <w:sz w:val="16"/>
          <w:szCs w:val="16"/>
          <w:lang w:eastAsia="zh-CN"/>
        </w:rPr>
      </w:pPr>
    </w:p>
    <w:p w:rsidR="00FF425C" w:rsidRDefault="003B21B4">
      <w:pPr>
        <w:spacing w:after="60"/>
        <w:ind w:left="1555" w:hanging="1555"/>
        <w:jc w:val="left"/>
        <w:rPr>
          <w:b/>
          <w:kern w:val="2"/>
          <w:lang w:eastAsia="zh-CN"/>
        </w:rPr>
      </w:pPr>
      <w:r>
        <w:rPr>
          <w:b/>
          <w:kern w:val="2"/>
          <w:lang w:eastAsia="zh-CN"/>
        </w:rPr>
        <w:t>Agenda Item:</w:t>
      </w:r>
      <w:r>
        <w:rPr>
          <w:b/>
          <w:kern w:val="2"/>
          <w:lang w:eastAsia="zh-CN"/>
        </w:rPr>
        <w:tab/>
        <w:t>9.3.2</w:t>
      </w:r>
    </w:p>
    <w:p w:rsidR="00FF425C" w:rsidRDefault="00F3458E">
      <w:pPr>
        <w:spacing w:after="60"/>
        <w:ind w:left="1555" w:hanging="1555"/>
        <w:jc w:val="left"/>
        <w:rPr>
          <w:b/>
          <w:kern w:val="2"/>
          <w:lang w:eastAsia="zh-CN"/>
        </w:rPr>
      </w:pPr>
      <w:r>
        <w:rPr>
          <w:b/>
          <w:kern w:val="2"/>
          <w:lang w:eastAsia="zh-CN"/>
        </w:rPr>
        <w:t>Source:</w:t>
      </w:r>
      <w:r>
        <w:rPr>
          <w:b/>
          <w:kern w:val="2"/>
          <w:lang w:eastAsia="zh-CN"/>
        </w:rPr>
        <w:tab/>
        <w:t xml:space="preserve">TCL </w:t>
      </w:r>
    </w:p>
    <w:p w:rsidR="00FF425C" w:rsidRDefault="00CB5978">
      <w:pPr>
        <w:spacing w:after="60"/>
        <w:ind w:left="1555" w:hanging="1555"/>
        <w:jc w:val="left"/>
        <w:rPr>
          <w:b/>
          <w:kern w:val="2"/>
          <w:lang w:eastAsia="zh-CN"/>
        </w:rPr>
      </w:pPr>
      <w:r>
        <w:rPr>
          <w:b/>
          <w:kern w:val="2"/>
          <w:lang w:eastAsia="zh-CN"/>
        </w:rPr>
        <w:t>Title:</w:t>
      </w:r>
      <w:r>
        <w:rPr>
          <w:b/>
          <w:kern w:val="2"/>
          <w:lang w:eastAsia="zh-CN"/>
        </w:rPr>
        <w:tab/>
        <w:t>Discussion on subband non-overlapping full duplex</w:t>
      </w:r>
    </w:p>
    <w:p w:rsidR="00FF425C" w:rsidRDefault="00F3458E">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FF425C" w:rsidRDefault="00FF425C">
      <w:pPr>
        <w:pBdr>
          <w:bottom w:val="single" w:sz="4" w:space="1" w:color="auto"/>
        </w:pBdr>
        <w:spacing w:after="0"/>
        <w:jc w:val="left"/>
        <w:rPr>
          <w:b/>
          <w:kern w:val="2"/>
          <w:sz w:val="16"/>
          <w:szCs w:val="16"/>
          <w:lang w:eastAsia="zh-CN"/>
        </w:rPr>
      </w:pPr>
    </w:p>
    <w:p w:rsidR="00FF425C" w:rsidRDefault="00F3458E">
      <w:pPr>
        <w:pStyle w:val="Heading1"/>
      </w:pPr>
      <w:bookmarkStart w:id="0" w:name="_Ref129681862"/>
      <w:bookmarkStart w:id="1" w:name="_Ref124589705"/>
      <w:r>
        <w:t>Introduction</w:t>
      </w:r>
      <w:bookmarkEnd w:id="0"/>
      <w:bookmarkEnd w:id="1"/>
    </w:p>
    <w:p w:rsidR="00FF425C" w:rsidRPr="009103C5" w:rsidRDefault="001B2D0A" w:rsidP="003570AA">
      <w:pPr>
        <w:spacing w:afterLines="50"/>
        <w:rPr>
          <w:lang w:eastAsia="zh-CN"/>
        </w:rPr>
      </w:pPr>
      <w:r w:rsidRPr="001B73F9">
        <w:rPr>
          <w:lang w:eastAsia="zh-CN"/>
        </w:rPr>
        <w:t>In 3GPP TSG RAN1 # 110</w:t>
      </w:r>
      <w:r w:rsidR="00EC349E" w:rsidRPr="001B73F9">
        <w:rPr>
          <w:lang w:eastAsia="zh-CN"/>
        </w:rPr>
        <w:t>bis</w:t>
      </w:r>
      <w:r w:rsidR="003B21B4" w:rsidRPr="001B73F9">
        <w:rPr>
          <w:lang w:eastAsia="zh-CN"/>
        </w:rPr>
        <w:t xml:space="preserve">-e meeting, </w:t>
      </w:r>
      <w:r w:rsidR="00EC349E" w:rsidRPr="001B73F9">
        <w:rPr>
          <w:lang w:eastAsia="zh-CN"/>
        </w:rPr>
        <w:t xml:space="preserve">several </w:t>
      </w:r>
      <w:r w:rsidR="0036097C" w:rsidRPr="001B73F9">
        <w:rPr>
          <w:lang w:eastAsia="zh-CN"/>
        </w:rPr>
        <w:t>issues</w:t>
      </w:r>
      <w:r w:rsidR="002F570D">
        <w:rPr>
          <w:lang w:eastAsia="zh-CN"/>
        </w:rPr>
        <w:t xml:space="preserve"> regarding</w:t>
      </w:r>
      <w:r w:rsidR="002F570D" w:rsidRPr="002F570D">
        <w:rPr>
          <w:lang w:eastAsia="ko-KR"/>
        </w:rPr>
        <w:t xml:space="preserve"> </w:t>
      </w:r>
      <w:r w:rsidR="002F570D" w:rsidRPr="001B73F9">
        <w:rPr>
          <w:lang w:eastAsia="ko-KR"/>
        </w:rPr>
        <w:t>SBFD operation</w:t>
      </w:r>
      <w:r w:rsidR="0036097C" w:rsidRPr="001B73F9">
        <w:rPr>
          <w:lang w:eastAsia="zh-CN"/>
        </w:rPr>
        <w:t xml:space="preserve"> such as </w:t>
      </w:r>
      <w:r w:rsidR="003B21B4" w:rsidRPr="001B73F9">
        <w:rPr>
          <w:lang w:eastAsia="zh-CN"/>
        </w:rPr>
        <w:t>the</w:t>
      </w:r>
      <w:r w:rsidR="00104D14" w:rsidRPr="001B73F9">
        <w:rPr>
          <w:lang w:eastAsia="zh-CN"/>
        </w:rPr>
        <w:t xml:space="preserve"> semi static configuration of subband</w:t>
      </w:r>
      <w:r w:rsidR="00613A98" w:rsidRPr="001B73F9">
        <w:rPr>
          <w:lang w:eastAsia="zh-CN"/>
        </w:rPr>
        <w:t>s</w:t>
      </w:r>
      <w:r w:rsidR="00104D14" w:rsidRPr="001B73F9">
        <w:rPr>
          <w:lang w:eastAsia="zh-CN"/>
        </w:rPr>
        <w:t xml:space="preserve"> location</w:t>
      </w:r>
      <w:r w:rsidR="004F748E" w:rsidRPr="001B73F9">
        <w:rPr>
          <w:lang w:eastAsia="zh-CN"/>
        </w:rPr>
        <w:t>,</w:t>
      </w:r>
      <w:r w:rsidR="00104D14" w:rsidRPr="001B73F9">
        <w:rPr>
          <w:lang w:eastAsia="zh-CN"/>
        </w:rPr>
        <w:t xml:space="preserve"> </w:t>
      </w:r>
      <w:r w:rsidR="003570AA" w:rsidRPr="001B73F9">
        <w:rPr>
          <w:lang w:eastAsia="zh-CN"/>
        </w:rPr>
        <w:t xml:space="preserve">and </w:t>
      </w:r>
      <w:r w:rsidR="009103C5" w:rsidRPr="001B73F9">
        <w:rPr>
          <w:lang w:eastAsia="zh-CN"/>
        </w:rPr>
        <w:t xml:space="preserve">the </w:t>
      </w:r>
      <w:r w:rsidR="00104D14" w:rsidRPr="001B73F9">
        <w:rPr>
          <w:lang w:eastAsia="zh-CN"/>
        </w:rPr>
        <w:t>same frequency resource</w:t>
      </w:r>
      <w:r w:rsidR="003570AA" w:rsidRPr="001B73F9">
        <w:rPr>
          <w:lang w:eastAsia="zh-CN"/>
        </w:rPr>
        <w:t>s across different SBFD symbols were agreed [</w:t>
      </w:r>
      <w:r w:rsidR="003B21B4" w:rsidRPr="001B73F9">
        <w:rPr>
          <w:lang w:eastAsia="zh-CN"/>
        </w:rPr>
        <w:t xml:space="preserve">1]. </w:t>
      </w:r>
      <w:r w:rsidR="00F3458E" w:rsidRPr="001B73F9">
        <w:t>In this contribution</w:t>
      </w:r>
      <w:r w:rsidR="003B21B4" w:rsidRPr="001B73F9">
        <w:t xml:space="preserve">, we provide our </w:t>
      </w:r>
      <w:r w:rsidR="009F657C" w:rsidRPr="001B73F9">
        <w:t>views</w:t>
      </w:r>
      <w:r w:rsidR="003B21B4" w:rsidRPr="001B73F9">
        <w:t xml:space="preserve"> </w:t>
      </w:r>
      <w:r w:rsidR="00CC7C88" w:rsidRPr="001B73F9">
        <w:t>on the</w:t>
      </w:r>
      <w:r w:rsidR="00CC7C88" w:rsidRPr="001B73F9">
        <w:rPr>
          <w:lang w:eastAsia="ko-KR"/>
        </w:rPr>
        <w:t xml:space="preserve"> remaining issue</w:t>
      </w:r>
      <w:r w:rsidR="00870C98" w:rsidRPr="001B73F9">
        <w:rPr>
          <w:lang w:eastAsia="ko-KR"/>
        </w:rPr>
        <w:t>s</w:t>
      </w:r>
      <w:r w:rsidR="00CC7C88" w:rsidRPr="001B73F9">
        <w:rPr>
          <w:lang w:eastAsia="ko-KR"/>
        </w:rPr>
        <w:t xml:space="preserve"> of SBFD operation</w:t>
      </w:r>
      <w:r w:rsidR="00735504" w:rsidRPr="001B73F9">
        <w:rPr>
          <w:lang w:eastAsia="ko-KR"/>
        </w:rPr>
        <w:t xml:space="preserve">, </w:t>
      </w:r>
      <w:r w:rsidR="00870C98" w:rsidRPr="001B73F9">
        <w:rPr>
          <w:lang w:eastAsia="ko-KR"/>
        </w:rPr>
        <w:t>i.e</w:t>
      </w:r>
      <w:r w:rsidR="00613A98" w:rsidRPr="001B73F9">
        <w:rPr>
          <w:lang w:eastAsia="ko-KR"/>
        </w:rPr>
        <w:t>.</w:t>
      </w:r>
      <w:r w:rsidR="009103C5" w:rsidRPr="001B73F9">
        <w:rPr>
          <w:lang w:eastAsia="ko-KR"/>
        </w:rPr>
        <w:t xml:space="preserve"> the</w:t>
      </w:r>
      <w:r w:rsidR="001B73F9" w:rsidRPr="001B73F9">
        <w:rPr>
          <w:lang w:eastAsia="ko-KR"/>
        </w:rPr>
        <w:t xml:space="preserve"> semi static configuration of</w:t>
      </w:r>
      <w:r w:rsidR="009103C5" w:rsidRPr="001B73F9">
        <w:rPr>
          <w:lang w:eastAsia="ko-KR"/>
        </w:rPr>
        <w:t xml:space="preserve"> time/frequency</w:t>
      </w:r>
      <w:r w:rsidR="001B73F9" w:rsidRPr="001B73F9">
        <w:rPr>
          <w:lang w:eastAsia="ko-KR"/>
        </w:rPr>
        <w:t xml:space="preserve"> location of other subbands</w:t>
      </w:r>
      <w:r w:rsidR="00F049C2">
        <w:rPr>
          <w:lang w:eastAsia="ko-KR"/>
        </w:rPr>
        <w:t xml:space="preserve"> (DL subbands)</w:t>
      </w:r>
      <w:r w:rsidR="009103C5" w:rsidRPr="001B73F9">
        <w:rPr>
          <w:lang w:eastAsia="ko-KR"/>
        </w:rPr>
        <w:t xml:space="preserve"> </w:t>
      </w:r>
      <w:r w:rsidR="00735504" w:rsidRPr="001B73F9">
        <w:rPr>
          <w:lang w:eastAsia="ko-KR"/>
        </w:rPr>
        <w:t>to the UE,</w:t>
      </w:r>
      <w:r w:rsidR="009103C5" w:rsidRPr="001B73F9">
        <w:rPr>
          <w:lang w:eastAsia="ko-KR"/>
        </w:rPr>
        <w:t xml:space="preserve"> the </w:t>
      </w:r>
      <w:r w:rsidR="001B73F9" w:rsidRPr="001B73F9">
        <w:rPr>
          <w:lang w:eastAsia="ko-KR"/>
        </w:rPr>
        <w:t>dynamic indication of time/frequency loca</w:t>
      </w:r>
      <w:r w:rsidR="0026666D">
        <w:rPr>
          <w:lang w:eastAsia="ko-KR"/>
        </w:rPr>
        <w:t>tion of sub</w:t>
      </w:r>
      <w:r w:rsidR="002F570D">
        <w:rPr>
          <w:lang w:eastAsia="ko-KR"/>
        </w:rPr>
        <w:t>-</w:t>
      </w:r>
      <w:r w:rsidR="0026666D">
        <w:rPr>
          <w:lang w:eastAsia="ko-KR"/>
        </w:rPr>
        <w:t xml:space="preserve">bands to the UE, and </w:t>
      </w:r>
      <w:r w:rsidR="00870C98" w:rsidRPr="001B73F9">
        <w:rPr>
          <w:lang w:eastAsia="ko-KR"/>
        </w:rPr>
        <w:t>the</w:t>
      </w:r>
      <w:r w:rsidR="001B73F9" w:rsidRPr="001B73F9">
        <w:rPr>
          <w:lang w:eastAsia="ko-KR"/>
        </w:rPr>
        <w:t xml:space="preserve"> management of co-channel intra subband interference in SBFD operation</w:t>
      </w:r>
      <w:r w:rsidR="00735504" w:rsidRPr="001B73F9">
        <w:rPr>
          <w:lang w:eastAsia="ko-KR"/>
        </w:rPr>
        <w:t>.</w:t>
      </w:r>
      <w:r w:rsidR="00735504" w:rsidRPr="009103C5">
        <w:rPr>
          <w:lang w:eastAsia="ko-KR"/>
        </w:rPr>
        <w:t xml:space="preserve"> </w:t>
      </w:r>
      <w:r w:rsidR="00CC7C88" w:rsidRPr="009103C5">
        <w:rPr>
          <w:lang w:eastAsia="ko-KR"/>
        </w:rPr>
        <w:t xml:space="preserve"> </w:t>
      </w:r>
    </w:p>
    <w:p w:rsidR="00613A98" w:rsidRDefault="00613A98" w:rsidP="00613A98">
      <w:pPr>
        <w:pStyle w:val="Heading1"/>
        <w:rPr>
          <w:lang w:eastAsia="zh-CN"/>
        </w:rPr>
      </w:pPr>
      <w:r>
        <w:rPr>
          <w:lang w:eastAsia="zh-CN"/>
        </w:rPr>
        <w:t xml:space="preserve">Sub-bands location Indication </w:t>
      </w:r>
    </w:p>
    <w:p w:rsidR="00DD2A2C" w:rsidRDefault="00CF6E82" w:rsidP="00DD2A2C">
      <w:pPr>
        <w:pStyle w:val="Heading2"/>
        <w:rPr>
          <w:lang w:eastAsia="zh-CN"/>
        </w:rPr>
      </w:pPr>
      <w:r>
        <w:rPr>
          <w:lang w:eastAsia="zh-CN"/>
        </w:rPr>
        <w:t xml:space="preserve">Semi static </w:t>
      </w:r>
      <w:r w:rsidR="003139AD">
        <w:rPr>
          <w:lang w:eastAsia="zh-CN"/>
        </w:rPr>
        <w:t xml:space="preserve">Configuration </w:t>
      </w:r>
      <w:r w:rsidR="00DD2A2C">
        <w:rPr>
          <w:lang w:eastAsia="zh-CN"/>
        </w:rPr>
        <w:t xml:space="preserve"> </w:t>
      </w:r>
    </w:p>
    <w:p w:rsidR="00DD2A2C" w:rsidRPr="00E56515" w:rsidRDefault="0026666D" w:rsidP="00E56515">
      <w:pPr>
        <w:rPr>
          <w:lang w:eastAsia="zh-CN"/>
        </w:rPr>
      </w:pPr>
      <w:r>
        <w:rPr>
          <w:shd w:val="clear" w:color="auto" w:fill="FFFFFF"/>
        </w:rPr>
        <w:t>For</w:t>
      </w:r>
      <w:r w:rsidR="00DD2A2C">
        <w:rPr>
          <w:shd w:val="clear" w:color="auto" w:fill="FFFFFF"/>
        </w:rPr>
        <w:t xml:space="preserve"> semi static </w:t>
      </w:r>
      <w:r w:rsidR="003139AD">
        <w:rPr>
          <w:shd w:val="clear" w:color="auto" w:fill="FFFFFF"/>
        </w:rPr>
        <w:t>configuration</w:t>
      </w:r>
      <w:r w:rsidR="00F4099B">
        <w:rPr>
          <w:shd w:val="clear" w:color="auto" w:fill="FFFFFF"/>
        </w:rPr>
        <w:t xml:space="preserve"> of subbands</w:t>
      </w:r>
      <w:r w:rsidR="00B1000C">
        <w:rPr>
          <w:shd w:val="clear" w:color="auto" w:fill="FFFFFF"/>
        </w:rPr>
        <w:t>, the explicit indication of frequency</w:t>
      </w:r>
      <w:r>
        <w:rPr>
          <w:shd w:val="clear" w:color="auto" w:fill="FFFFFF"/>
        </w:rPr>
        <w:t xml:space="preserve"> location </w:t>
      </w:r>
      <w:r w:rsidR="00B1000C">
        <w:rPr>
          <w:shd w:val="clear" w:color="auto" w:fill="FFFFFF"/>
        </w:rPr>
        <w:t>of UL subband was agreed</w:t>
      </w:r>
      <w:r w:rsidR="00DD2A2C">
        <w:rPr>
          <w:shd w:val="clear" w:color="auto" w:fill="FFFFFF"/>
        </w:rPr>
        <w:t xml:space="preserve"> in </w:t>
      </w:r>
      <w:r w:rsidR="006A63D1">
        <w:rPr>
          <w:shd w:val="clear" w:color="auto" w:fill="FFFFFF"/>
        </w:rPr>
        <w:t>3GPP RAN1</w:t>
      </w:r>
      <w:r w:rsidR="00AB1FFA">
        <w:rPr>
          <w:shd w:val="clear" w:color="auto" w:fill="FFFFFF"/>
        </w:rPr>
        <w:t>#110</w:t>
      </w:r>
      <w:r w:rsidR="00B1000C">
        <w:rPr>
          <w:shd w:val="clear" w:color="auto" w:fill="FFFFFF"/>
        </w:rPr>
        <w:t>bis</w:t>
      </w:r>
      <w:r w:rsidR="003F231F">
        <w:rPr>
          <w:shd w:val="clear" w:color="auto" w:fill="FFFFFF"/>
        </w:rPr>
        <w:t>-e</w:t>
      </w:r>
      <w:r w:rsidR="00AB1FFA">
        <w:rPr>
          <w:shd w:val="clear" w:color="auto" w:fill="FFFFFF"/>
        </w:rPr>
        <w:t xml:space="preserve"> meeting</w:t>
      </w:r>
      <w:r w:rsidR="00B1000C">
        <w:rPr>
          <w:shd w:val="clear" w:color="auto" w:fill="FFFFFF"/>
        </w:rPr>
        <w:t xml:space="preserve"> as given below</w:t>
      </w:r>
      <w:r w:rsidR="00AB1FFA">
        <w:rPr>
          <w:shd w:val="clear" w:color="auto" w:fill="FFFFFF"/>
        </w:rPr>
        <w:t xml:space="preserve">. </w:t>
      </w:r>
    </w:p>
    <w:tbl>
      <w:tblPr>
        <w:tblStyle w:val="TableGrid"/>
        <w:tblW w:w="0" w:type="auto"/>
        <w:tblLook w:val="04A0" w:firstRow="1" w:lastRow="0" w:firstColumn="1" w:lastColumn="0" w:noHBand="0" w:noVBand="1"/>
      </w:tblPr>
      <w:tblGrid>
        <w:gridCol w:w="9307"/>
      </w:tblGrid>
      <w:tr w:rsidR="00DD2A2C" w:rsidTr="00DD2A2C">
        <w:tc>
          <w:tcPr>
            <w:tcW w:w="9307" w:type="dxa"/>
          </w:tcPr>
          <w:p w:rsidR="00CF6E82" w:rsidRPr="00C30DAF" w:rsidRDefault="00CF6E82" w:rsidP="00CF6E82">
            <w:pPr>
              <w:rPr>
                <w:rFonts w:eastAsia="Malgun Gothic"/>
                <w:b/>
                <w:szCs w:val="20"/>
                <w:highlight w:val="green"/>
                <w:lang w:eastAsia="zh-CN"/>
              </w:rPr>
            </w:pPr>
            <w:r w:rsidRPr="00C30DAF">
              <w:rPr>
                <w:rFonts w:eastAsia="Malgun Gothic"/>
                <w:b/>
                <w:szCs w:val="20"/>
                <w:highlight w:val="green"/>
                <w:lang w:eastAsia="zh-CN"/>
              </w:rPr>
              <w:t>Agreement</w:t>
            </w:r>
          </w:p>
          <w:p w:rsidR="00CF6E82" w:rsidRPr="00C30DAF" w:rsidRDefault="00CF6E82" w:rsidP="00CF6E82">
            <w:pPr>
              <w:rPr>
                <w:rFonts w:eastAsia="Malgun Gothic"/>
                <w:szCs w:val="20"/>
                <w:lang w:eastAsia="zh-CN"/>
              </w:rPr>
            </w:pPr>
            <w:r w:rsidRPr="00C30DAF">
              <w:rPr>
                <w:rFonts w:eastAsia="Malgun Gothic"/>
                <w:szCs w:val="20"/>
                <w:lang w:eastAsia="zh-CN"/>
              </w:rPr>
              <w:t>For semi-static configuration of subband frequency locations for SBFD operation, at least explicit indication of frequency location of UL subband is required.</w:t>
            </w:r>
          </w:p>
          <w:p w:rsidR="00DD2A2C" w:rsidRPr="003F231F" w:rsidRDefault="00CF6E82" w:rsidP="00DD2A2C">
            <w:pPr>
              <w:pStyle w:val="ListParagraph"/>
              <w:numPr>
                <w:ilvl w:val="0"/>
                <w:numId w:val="32"/>
              </w:numPr>
              <w:tabs>
                <w:tab w:val="left" w:pos="720"/>
              </w:tabs>
              <w:jc w:val="both"/>
              <w:rPr>
                <w:rFonts w:ascii="Times New Roman" w:eastAsia="Malgun Gothic" w:hAnsi="Times New Roman"/>
                <w:sz w:val="22"/>
                <w:szCs w:val="20"/>
                <w:lang w:eastAsia="zh-CN"/>
              </w:rPr>
            </w:pPr>
            <w:r w:rsidRPr="00CF6E82">
              <w:rPr>
                <w:rFonts w:ascii="Times New Roman" w:eastAsia="Malgun Gothic" w:hAnsi="Times New Roman"/>
                <w:sz w:val="22"/>
                <w:szCs w:val="20"/>
                <w:lang w:eastAsia="zh-CN"/>
              </w:rPr>
              <w:t>FFS: Whether frequency location of other subbands types is explicitly indicated or implicitly determined.</w:t>
            </w:r>
            <w:bookmarkStart w:id="2" w:name="_GoBack"/>
            <w:bookmarkEnd w:id="2"/>
          </w:p>
        </w:tc>
      </w:tr>
    </w:tbl>
    <w:p w:rsidR="00E532EE" w:rsidRDefault="00E532EE" w:rsidP="00AB1FFA">
      <w:pPr>
        <w:rPr>
          <w:lang w:eastAsia="zh-CN"/>
        </w:rPr>
      </w:pPr>
    </w:p>
    <w:p w:rsidR="00B1000C" w:rsidRDefault="00077052" w:rsidP="00AB1FFA">
      <w:pPr>
        <w:rPr>
          <w:b/>
          <w:bCs/>
          <w:szCs w:val="28"/>
        </w:rPr>
      </w:pPr>
      <w:r>
        <w:rPr>
          <w:lang w:eastAsia="zh-CN"/>
        </w:rPr>
        <w:t>However, the discussion for the frequency location</w:t>
      </w:r>
      <w:r w:rsidR="00E532EE">
        <w:rPr>
          <w:lang w:eastAsia="zh-CN"/>
        </w:rPr>
        <w:t>s</w:t>
      </w:r>
      <w:r>
        <w:rPr>
          <w:lang w:eastAsia="zh-CN"/>
        </w:rPr>
        <w:t xml:space="preserve"> of other subbands types</w:t>
      </w:r>
      <w:r w:rsidR="00E532EE">
        <w:rPr>
          <w:lang w:eastAsia="zh-CN"/>
        </w:rPr>
        <w:t xml:space="preserve"> i.e. DL subbands</w:t>
      </w:r>
      <w:r>
        <w:rPr>
          <w:lang w:eastAsia="zh-CN"/>
        </w:rPr>
        <w:t xml:space="preserve"> </w:t>
      </w:r>
      <w:r w:rsidR="00E532EE">
        <w:rPr>
          <w:lang w:eastAsia="zh-CN"/>
        </w:rPr>
        <w:t>were</w:t>
      </w:r>
      <w:r>
        <w:rPr>
          <w:lang w:eastAsia="zh-CN"/>
        </w:rPr>
        <w:t xml:space="preserve"> not concluded.  In this section</w:t>
      </w:r>
      <w:r w:rsidR="002F570D">
        <w:rPr>
          <w:lang w:eastAsia="zh-CN"/>
        </w:rPr>
        <w:t>,</w:t>
      </w:r>
      <w:r>
        <w:rPr>
          <w:lang w:eastAsia="zh-CN"/>
        </w:rPr>
        <w:t xml:space="preserve"> we provide our views on the indication of frequency location </w:t>
      </w:r>
      <w:r w:rsidR="00E532EE">
        <w:rPr>
          <w:lang w:eastAsia="zh-CN"/>
        </w:rPr>
        <w:t xml:space="preserve">and time location </w:t>
      </w:r>
      <w:r>
        <w:rPr>
          <w:lang w:eastAsia="zh-CN"/>
        </w:rPr>
        <w:t>of other subband</w:t>
      </w:r>
      <w:r w:rsidR="00E532EE">
        <w:rPr>
          <w:lang w:eastAsia="zh-CN"/>
        </w:rPr>
        <w:t>s to the</w:t>
      </w:r>
      <w:r w:rsidR="00CA2EB3">
        <w:rPr>
          <w:lang w:eastAsia="zh-CN"/>
        </w:rPr>
        <w:t xml:space="preserve"> SBFD</w:t>
      </w:r>
      <w:r w:rsidR="00E532EE">
        <w:rPr>
          <w:lang w:eastAsia="zh-CN"/>
        </w:rPr>
        <w:t xml:space="preserve"> UE</w:t>
      </w:r>
      <w:r w:rsidR="00CA2EB3">
        <w:rPr>
          <w:lang w:eastAsia="zh-CN"/>
        </w:rPr>
        <w:t>s</w:t>
      </w:r>
      <w:r w:rsidR="00E532EE">
        <w:rPr>
          <w:lang w:eastAsia="zh-CN"/>
        </w:rPr>
        <w:t xml:space="preserve">. </w:t>
      </w:r>
    </w:p>
    <w:p w:rsidR="00077052" w:rsidRPr="00E532EE" w:rsidRDefault="00CA2EB3" w:rsidP="00E532EE">
      <w:pPr>
        <w:pStyle w:val="ListParagraph"/>
        <w:numPr>
          <w:ilvl w:val="0"/>
          <w:numId w:val="32"/>
        </w:numPr>
        <w:rPr>
          <w:rFonts w:ascii="Times New Roman" w:hAnsi="Times New Roman"/>
          <w:b/>
          <w:bCs/>
          <w:sz w:val="22"/>
          <w:szCs w:val="28"/>
        </w:rPr>
      </w:pPr>
      <w:r>
        <w:rPr>
          <w:rFonts w:ascii="Times New Roman" w:hAnsi="Times New Roman"/>
          <w:b/>
          <w:bCs/>
          <w:sz w:val="22"/>
          <w:szCs w:val="28"/>
        </w:rPr>
        <w:t xml:space="preserve">Indication of </w:t>
      </w:r>
      <w:r w:rsidR="00077052" w:rsidRPr="00E532EE">
        <w:rPr>
          <w:rFonts w:ascii="Times New Roman" w:hAnsi="Times New Roman"/>
          <w:b/>
          <w:bCs/>
          <w:sz w:val="22"/>
          <w:szCs w:val="28"/>
        </w:rPr>
        <w:t>Frequency location</w:t>
      </w:r>
      <w:r w:rsidR="00097210">
        <w:rPr>
          <w:rFonts w:ascii="Times New Roman" w:hAnsi="Times New Roman"/>
          <w:b/>
          <w:bCs/>
          <w:sz w:val="22"/>
          <w:szCs w:val="28"/>
        </w:rPr>
        <w:t>s</w:t>
      </w:r>
      <w:r w:rsidR="00077052" w:rsidRPr="00E532EE">
        <w:rPr>
          <w:rFonts w:ascii="Times New Roman" w:hAnsi="Times New Roman"/>
          <w:b/>
          <w:bCs/>
          <w:sz w:val="22"/>
          <w:szCs w:val="28"/>
        </w:rPr>
        <w:t xml:space="preserve"> of </w:t>
      </w:r>
      <w:r>
        <w:rPr>
          <w:rFonts w:ascii="Times New Roman" w:hAnsi="Times New Roman"/>
          <w:b/>
          <w:bCs/>
          <w:sz w:val="22"/>
          <w:szCs w:val="28"/>
        </w:rPr>
        <w:t>DL subbands</w:t>
      </w:r>
    </w:p>
    <w:p w:rsidR="00CA2EB3" w:rsidRDefault="00F4099B" w:rsidP="00CA2EB3">
      <w:pPr>
        <w:rPr>
          <w:bCs/>
          <w:szCs w:val="28"/>
        </w:rPr>
      </w:pPr>
      <w:r>
        <w:rPr>
          <w:bCs/>
          <w:szCs w:val="28"/>
        </w:rPr>
        <w:t xml:space="preserve">The explicit indication of </w:t>
      </w:r>
      <w:r w:rsidR="00B1000C" w:rsidRPr="003E5487">
        <w:rPr>
          <w:bCs/>
          <w:szCs w:val="28"/>
        </w:rPr>
        <w:t>freq</w:t>
      </w:r>
      <w:r>
        <w:rPr>
          <w:bCs/>
          <w:szCs w:val="28"/>
        </w:rPr>
        <w:t>uency location of other subbands types</w:t>
      </w:r>
      <w:r w:rsidR="00E532EE">
        <w:rPr>
          <w:bCs/>
          <w:szCs w:val="28"/>
        </w:rPr>
        <w:t xml:space="preserve"> i.e. the DL subbands</w:t>
      </w:r>
      <w:r w:rsidR="00B1000C" w:rsidRPr="003E5487">
        <w:rPr>
          <w:bCs/>
          <w:szCs w:val="28"/>
        </w:rPr>
        <w:t xml:space="preserve"> </w:t>
      </w:r>
      <w:r>
        <w:rPr>
          <w:bCs/>
          <w:szCs w:val="28"/>
        </w:rPr>
        <w:t xml:space="preserve">will allow </w:t>
      </w:r>
      <w:r w:rsidR="0095055E">
        <w:rPr>
          <w:bCs/>
          <w:szCs w:val="28"/>
        </w:rPr>
        <w:t xml:space="preserve">the </w:t>
      </w:r>
      <w:r>
        <w:rPr>
          <w:bCs/>
          <w:szCs w:val="28"/>
        </w:rPr>
        <w:t>UEs to implicitly derive the guard bands between the DL</w:t>
      </w:r>
      <w:r w:rsidR="0095055E">
        <w:rPr>
          <w:bCs/>
          <w:szCs w:val="28"/>
        </w:rPr>
        <w:t xml:space="preserve"> and UL subbands. In addition, </w:t>
      </w:r>
      <w:r>
        <w:rPr>
          <w:bCs/>
          <w:szCs w:val="28"/>
        </w:rPr>
        <w:t xml:space="preserve">explicit indication of each subband to the UE </w:t>
      </w:r>
      <w:r w:rsidR="00E532EE">
        <w:rPr>
          <w:bCs/>
          <w:szCs w:val="28"/>
        </w:rPr>
        <w:t xml:space="preserve">can </w:t>
      </w:r>
      <w:r>
        <w:rPr>
          <w:bCs/>
          <w:szCs w:val="28"/>
        </w:rPr>
        <w:t xml:space="preserve">reduce the DL and UL transmission collision </w:t>
      </w:r>
      <w:r w:rsidR="00E532EE">
        <w:rPr>
          <w:bCs/>
          <w:szCs w:val="28"/>
        </w:rPr>
        <w:t xml:space="preserve">at the </w:t>
      </w:r>
      <w:r>
        <w:rPr>
          <w:bCs/>
          <w:szCs w:val="28"/>
        </w:rPr>
        <w:t>UE</w:t>
      </w:r>
      <w:r w:rsidR="00E532EE">
        <w:rPr>
          <w:bCs/>
          <w:szCs w:val="28"/>
        </w:rPr>
        <w:t xml:space="preserve"> side</w:t>
      </w:r>
      <w:r w:rsidR="00CA2EB3">
        <w:rPr>
          <w:bCs/>
          <w:szCs w:val="28"/>
        </w:rPr>
        <w:t>, due to</w:t>
      </w:r>
      <w:r>
        <w:rPr>
          <w:bCs/>
          <w:szCs w:val="28"/>
        </w:rPr>
        <w:t xml:space="preserve"> the </w:t>
      </w:r>
      <w:r w:rsidR="00CA2EB3">
        <w:rPr>
          <w:bCs/>
          <w:szCs w:val="28"/>
        </w:rPr>
        <w:t xml:space="preserve">UE awareness </w:t>
      </w:r>
      <w:r>
        <w:rPr>
          <w:bCs/>
          <w:szCs w:val="28"/>
        </w:rPr>
        <w:t>of the frequency location</w:t>
      </w:r>
      <w:r w:rsidR="00CA2EB3">
        <w:rPr>
          <w:bCs/>
          <w:szCs w:val="28"/>
        </w:rPr>
        <w:t>s</w:t>
      </w:r>
      <w:r>
        <w:rPr>
          <w:bCs/>
          <w:szCs w:val="28"/>
        </w:rPr>
        <w:t xml:space="preserve"> of</w:t>
      </w:r>
      <w:r w:rsidR="0095055E">
        <w:rPr>
          <w:bCs/>
          <w:szCs w:val="28"/>
        </w:rPr>
        <w:t xml:space="preserve"> each subband</w:t>
      </w:r>
      <w:r>
        <w:rPr>
          <w:bCs/>
          <w:szCs w:val="28"/>
        </w:rPr>
        <w:t xml:space="preserve">.  In case, </w:t>
      </w:r>
      <w:r w:rsidR="00BC6F50">
        <w:rPr>
          <w:bCs/>
          <w:szCs w:val="28"/>
        </w:rPr>
        <w:t xml:space="preserve">the UE is </w:t>
      </w:r>
      <w:r w:rsidR="00E532EE">
        <w:rPr>
          <w:bCs/>
          <w:szCs w:val="28"/>
        </w:rPr>
        <w:t xml:space="preserve">not </w:t>
      </w:r>
      <w:r w:rsidR="00BC6F50">
        <w:rPr>
          <w:bCs/>
          <w:szCs w:val="28"/>
        </w:rPr>
        <w:t>explicitly indicated the</w:t>
      </w:r>
      <w:r w:rsidR="00E532EE">
        <w:rPr>
          <w:bCs/>
          <w:szCs w:val="28"/>
        </w:rPr>
        <w:t xml:space="preserve"> other subband</w:t>
      </w:r>
      <w:r w:rsidR="0095055E">
        <w:rPr>
          <w:bCs/>
          <w:szCs w:val="28"/>
        </w:rPr>
        <w:t>s</w:t>
      </w:r>
      <w:r w:rsidR="00E532EE">
        <w:rPr>
          <w:bCs/>
          <w:szCs w:val="28"/>
        </w:rPr>
        <w:t xml:space="preserve"> type</w:t>
      </w:r>
      <w:r w:rsidR="0095055E">
        <w:rPr>
          <w:bCs/>
          <w:szCs w:val="28"/>
        </w:rPr>
        <w:t>s</w:t>
      </w:r>
      <w:r w:rsidR="00E532EE">
        <w:rPr>
          <w:bCs/>
          <w:szCs w:val="28"/>
        </w:rPr>
        <w:t xml:space="preserve"> (DL subband</w:t>
      </w:r>
      <w:r w:rsidR="0095055E">
        <w:rPr>
          <w:bCs/>
          <w:szCs w:val="28"/>
        </w:rPr>
        <w:t>s</w:t>
      </w:r>
      <w:r w:rsidR="00E532EE">
        <w:rPr>
          <w:bCs/>
          <w:szCs w:val="28"/>
        </w:rPr>
        <w:t>), and let the UE to determine the other subbands types (DL subbands)</w:t>
      </w:r>
      <w:r w:rsidR="00CA2EB3">
        <w:rPr>
          <w:bCs/>
          <w:szCs w:val="28"/>
        </w:rPr>
        <w:t xml:space="preserve"> implicitly</w:t>
      </w:r>
      <w:r>
        <w:rPr>
          <w:bCs/>
          <w:szCs w:val="28"/>
        </w:rPr>
        <w:t>,</w:t>
      </w:r>
      <w:r w:rsidR="00E532EE">
        <w:rPr>
          <w:bCs/>
          <w:szCs w:val="28"/>
        </w:rPr>
        <w:t xml:space="preserve"> the UE </w:t>
      </w:r>
      <w:r w:rsidR="00F049C2">
        <w:rPr>
          <w:bCs/>
          <w:szCs w:val="28"/>
        </w:rPr>
        <w:t xml:space="preserve">cannot </w:t>
      </w:r>
      <w:r w:rsidR="00E532EE">
        <w:rPr>
          <w:bCs/>
          <w:szCs w:val="28"/>
        </w:rPr>
        <w:t>determine the guard bands between the DL and UL subbands. In this case, the</w:t>
      </w:r>
      <w:r>
        <w:rPr>
          <w:bCs/>
          <w:szCs w:val="28"/>
        </w:rPr>
        <w:t xml:space="preserve"> network </w:t>
      </w:r>
      <w:r w:rsidR="00E532EE">
        <w:rPr>
          <w:bCs/>
          <w:szCs w:val="28"/>
        </w:rPr>
        <w:t xml:space="preserve">is required to </w:t>
      </w:r>
      <w:r>
        <w:rPr>
          <w:bCs/>
          <w:szCs w:val="28"/>
        </w:rPr>
        <w:t>indicate the frequency resources of guard band</w:t>
      </w:r>
      <w:r w:rsidR="00E532EE">
        <w:rPr>
          <w:bCs/>
          <w:szCs w:val="28"/>
        </w:rPr>
        <w:t>s</w:t>
      </w:r>
      <w:r>
        <w:rPr>
          <w:bCs/>
          <w:szCs w:val="28"/>
        </w:rPr>
        <w:t xml:space="preserve"> between the DL and UL subbands. </w:t>
      </w:r>
      <w:r w:rsidR="00E532EE">
        <w:rPr>
          <w:bCs/>
          <w:szCs w:val="28"/>
        </w:rPr>
        <w:t xml:space="preserve">Therefore, </w:t>
      </w:r>
      <w:r w:rsidR="00F049C2">
        <w:rPr>
          <w:bCs/>
          <w:szCs w:val="28"/>
        </w:rPr>
        <w:t>consider an explicit indication of</w:t>
      </w:r>
      <w:r w:rsidR="00E532EE">
        <w:rPr>
          <w:bCs/>
          <w:szCs w:val="28"/>
        </w:rPr>
        <w:t xml:space="preserve"> all subbands types to the UE</w:t>
      </w:r>
      <w:r w:rsidR="00CA2EB3">
        <w:rPr>
          <w:bCs/>
          <w:szCs w:val="28"/>
        </w:rPr>
        <w:t>.</w:t>
      </w:r>
    </w:p>
    <w:p w:rsidR="00077052" w:rsidRPr="00CA2EB3" w:rsidRDefault="00CA2EB3" w:rsidP="00CA2EB3">
      <w:pPr>
        <w:pStyle w:val="ListParagraph"/>
        <w:numPr>
          <w:ilvl w:val="0"/>
          <w:numId w:val="32"/>
        </w:numPr>
        <w:rPr>
          <w:rFonts w:ascii="Times New Roman" w:hAnsi="Times New Roman"/>
          <w:b/>
          <w:bCs/>
          <w:sz w:val="22"/>
          <w:szCs w:val="28"/>
        </w:rPr>
      </w:pPr>
      <w:r w:rsidRPr="00CA2EB3">
        <w:rPr>
          <w:rFonts w:ascii="Times New Roman" w:hAnsi="Times New Roman"/>
          <w:b/>
          <w:bCs/>
          <w:sz w:val="22"/>
          <w:szCs w:val="28"/>
        </w:rPr>
        <w:t xml:space="preserve">Indication of </w:t>
      </w:r>
      <w:r w:rsidR="00077052" w:rsidRPr="00CA2EB3">
        <w:rPr>
          <w:rFonts w:ascii="Times New Roman" w:hAnsi="Times New Roman"/>
          <w:b/>
          <w:bCs/>
          <w:sz w:val="22"/>
          <w:szCs w:val="28"/>
        </w:rPr>
        <w:t>Time location</w:t>
      </w:r>
      <w:r w:rsidR="00097210" w:rsidRPr="00CA2EB3">
        <w:rPr>
          <w:rFonts w:ascii="Times New Roman" w:hAnsi="Times New Roman"/>
          <w:b/>
          <w:bCs/>
          <w:sz w:val="22"/>
          <w:szCs w:val="28"/>
        </w:rPr>
        <w:t>s</w:t>
      </w:r>
      <w:r w:rsidR="00077052" w:rsidRPr="00CA2EB3">
        <w:rPr>
          <w:rFonts w:ascii="Times New Roman" w:hAnsi="Times New Roman"/>
          <w:b/>
          <w:bCs/>
          <w:sz w:val="22"/>
          <w:szCs w:val="28"/>
        </w:rPr>
        <w:t xml:space="preserve"> of subbands </w:t>
      </w:r>
    </w:p>
    <w:p w:rsidR="00CE09CA" w:rsidRPr="00197951" w:rsidRDefault="003E5487" w:rsidP="00197951">
      <w:pPr>
        <w:rPr>
          <w:bCs/>
          <w:szCs w:val="28"/>
        </w:rPr>
      </w:pPr>
      <w:r>
        <w:rPr>
          <w:bCs/>
          <w:szCs w:val="28"/>
        </w:rPr>
        <w:t xml:space="preserve">Regarding </w:t>
      </w:r>
      <w:r w:rsidR="00B1000C" w:rsidRPr="003E5487">
        <w:rPr>
          <w:bCs/>
          <w:szCs w:val="28"/>
        </w:rPr>
        <w:t xml:space="preserve">the time location </w:t>
      </w:r>
      <w:r w:rsidR="00CA2EB3">
        <w:rPr>
          <w:bCs/>
          <w:szCs w:val="28"/>
        </w:rPr>
        <w:t xml:space="preserve">indication </w:t>
      </w:r>
      <w:r w:rsidR="00B1000C" w:rsidRPr="003E5487">
        <w:rPr>
          <w:bCs/>
          <w:szCs w:val="28"/>
        </w:rPr>
        <w:t>of subbands</w:t>
      </w:r>
      <w:r>
        <w:rPr>
          <w:bCs/>
          <w:szCs w:val="28"/>
        </w:rPr>
        <w:t xml:space="preserve">, </w:t>
      </w:r>
      <w:r w:rsidR="00BC6F50">
        <w:rPr>
          <w:bCs/>
          <w:szCs w:val="28"/>
        </w:rPr>
        <w:t xml:space="preserve">an explicit indication of time location of subbands may </w:t>
      </w:r>
      <w:r w:rsidR="00BC2E9A">
        <w:rPr>
          <w:bCs/>
          <w:szCs w:val="28"/>
        </w:rPr>
        <w:t>require</w:t>
      </w:r>
      <w:r w:rsidR="00097210">
        <w:rPr>
          <w:bCs/>
          <w:szCs w:val="28"/>
        </w:rPr>
        <w:t>s</w:t>
      </w:r>
      <w:r w:rsidR="00BC6F50">
        <w:rPr>
          <w:bCs/>
          <w:szCs w:val="28"/>
        </w:rPr>
        <w:t xml:space="preserve"> to indicate</w:t>
      </w:r>
      <w:r w:rsidR="00BC2E9A">
        <w:rPr>
          <w:bCs/>
          <w:szCs w:val="28"/>
        </w:rPr>
        <w:t xml:space="preserve"> the time slots/symbols of SBFD operation to the UE</w:t>
      </w:r>
      <w:r>
        <w:rPr>
          <w:bCs/>
          <w:szCs w:val="28"/>
        </w:rPr>
        <w:t xml:space="preserve">. In addition, </w:t>
      </w:r>
      <w:r w:rsidR="00BC6F50">
        <w:rPr>
          <w:bCs/>
          <w:szCs w:val="28"/>
        </w:rPr>
        <w:t xml:space="preserve">in </w:t>
      </w:r>
      <w:r w:rsidR="00B1000C" w:rsidRPr="003E5487">
        <w:rPr>
          <w:bCs/>
          <w:szCs w:val="28"/>
        </w:rPr>
        <w:t xml:space="preserve">3GPP RAN1#110bis </w:t>
      </w:r>
      <w:r w:rsidR="00B1000C" w:rsidRPr="00CA2EB3">
        <w:rPr>
          <w:bCs/>
          <w:szCs w:val="28"/>
        </w:rPr>
        <w:t>meeting</w:t>
      </w:r>
      <w:r w:rsidR="00BC6F50" w:rsidRPr="00CA2EB3">
        <w:rPr>
          <w:bCs/>
          <w:szCs w:val="28"/>
        </w:rPr>
        <w:t xml:space="preserve"> </w:t>
      </w:r>
      <w:r w:rsidR="00CA2EB3" w:rsidRPr="00CA2EB3">
        <w:rPr>
          <w:bCs/>
          <w:szCs w:val="28"/>
        </w:rPr>
        <w:t>few</w:t>
      </w:r>
      <w:r w:rsidR="00BC6F50" w:rsidRPr="00CA2EB3">
        <w:rPr>
          <w:bCs/>
          <w:szCs w:val="28"/>
        </w:rPr>
        <w:t xml:space="preserve"> companies</w:t>
      </w:r>
      <w:r>
        <w:rPr>
          <w:bCs/>
          <w:szCs w:val="28"/>
        </w:rPr>
        <w:t xml:space="preserve"> propose</w:t>
      </w:r>
      <w:r w:rsidR="00BC6F50">
        <w:rPr>
          <w:bCs/>
          <w:szCs w:val="28"/>
        </w:rPr>
        <w:t>d</w:t>
      </w:r>
      <w:r>
        <w:rPr>
          <w:bCs/>
          <w:szCs w:val="28"/>
        </w:rPr>
        <w:t xml:space="preserve"> a time </w:t>
      </w:r>
      <w:r w:rsidR="00CA2EB3">
        <w:rPr>
          <w:bCs/>
          <w:szCs w:val="28"/>
        </w:rPr>
        <w:t xml:space="preserve">domain </w:t>
      </w:r>
      <w:r>
        <w:rPr>
          <w:bCs/>
          <w:szCs w:val="28"/>
        </w:rPr>
        <w:t xml:space="preserve">window based solution </w:t>
      </w:r>
      <w:r w:rsidR="00456FBE">
        <w:rPr>
          <w:bCs/>
          <w:szCs w:val="28"/>
        </w:rPr>
        <w:t>to indicate the time slots/symbols of SBFD o</w:t>
      </w:r>
      <w:r w:rsidR="00CA2EB3">
        <w:rPr>
          <w:bCs/>
          <w:szCs w:val="28"/>
        </w:rPr>
        <w:t>peration</w:t>
      </w:r>
      <w:r w:rsidR="00D35205">
        <w:rPr>
          <w:bCs/>
          <w:szCs w:val="28"/>
        </w:rPr>
        <w:t xml:space="preserve"> and legacy TDD operation to the UEs</w:t>
      </w:r>
      <w:r w:rsidR="00CA2EB3">
        <w:rPr>
          <w:bCs/>
          <w:szCs w:val="28"/>
        </w:rPr>
        <w:t>. In our view, the time window</w:t>
      </w:r>
      <w:r w:rsidR="00D35205">
        <w:rPr>
          <w:bCs/>
          <w:szCs w:val="28"/>
        </w:rPr>
        <w:t xml:space="preserve"> based </w:t>
      </w:r>
      <w:r w:rsidR="009657C4">
        <w:rPr>
          <w:bCs/>
          <w:szCs w:val="28"/>
        </w:rPr>
        <w:t xml:space="preserve">solution </w:t>
      </w:r>
      <w:r w:rsidR="00CA2EB3">
        <w:rPr>
          <w:bCs/>
          <w:szCs w:val="28"/>
        </w:rPr>
        <w:t>to distinguish the time slots/symbols assigned to</w:t>
      </w:r>
      <w:r>
        <w:rPr>
          <w:bCs/>
          <w:szCs w:val="28"/>
        </w:rPr>
        <w:t xml:space="preserve"> SBFD operation and </w:t>
      </w:r>
      <w:r w:rsidR="00CA2EB3">
        <w:rPr>
          <w:bCs/>
          <w:szCs w:val="28"/>
        </w:rPr>
        <w:t xml:space="preserve">legacy </w:t>
      </w:r>
      <w:r>
        <w:rPr>
          <w:bCs/>
          <w:szCs w:val="28"/>
        </w:rPr>
        <w:t>TDD operation</w:t>
      </w:r>
      <w:r w:rsidR="00D35205">
        <w:rPr>
          <w:bCs/>
          <w:szCs w:val="28"/>
        </w:rPr>
        <w:t xml:space="preserve"> is benefic</w:t>
      </w:r>
      <w:r w:rsidR="009657C4">
        <w:rPr>
          <w:bCs/>
          <w:szCs w:val="28"/>
        </w:rPr>
        <w:t xml:space="preserve">ial </w:t>
      </w:r>
      <w:r w:rsidR="00511EA0">
        <w:rPr>
          <w:bCs/>
          <w:szCs w:val="28"/>
        </w:rPr>
        <w:t xml:space="preserve">for interference management </w:t>
      </w:r>
      <w:r w:rsidR="009657C4">
        <w:rPr>
          <w:bCs/>
          <w:szCs w:val="28"/>
        </w:rPr>
        <w:t>during the simultaneous existence of SBFD operation and legacy TDD operation</w:t>
      </w:r>
      <w:r w:rsidR="00BC6F50">
        <w:rPr>
          <w:bCs/>
          <w:szCs w:val="28"/>
        </w:rPr>
        <w:t>.</w:t>
      </w:r>
      <w:r w:rsidR="009657C4">
        <w:rPr>
          <w:bCs/>
          <w:szCs w:val="28"/>
        </w:rPr>
        <w:t xml:space="preserve"> In </w:t>
      </w:r>
      <w:r w:rsidR="000A70FA">
        <w:rPr>
          <w:bCs/>
          <w:szCs w:val="28"/>
        </w:rPr>
        <w:t>addition,</w:t>
      </w:r>
      <w:r w:rsidR="009657C4">
        <w:rPr>
          <w:bCs/>
          <w:szCs w:val="28"/>
        </w:rPr>
        <w:t xml:space="preserve"> for indication of time slot/symbols in time window based solution for SBFD operation and legacy TDD operation, an extension </w:t>
      </w:r>
      <w:r w:rsidR="00F049C2">
        <w:rPr>
          <w:bCs/>
          <w:szCs w:val="28"/>
        </w:rPr>
        <w:t xml:space="preserve">may be requires in </w:t>
      </w:r>
      <w:r w:rsidR="0077479B" w:rsidRPr="0077479B">
        <w:rPr>
          <w:bCs/>
          <w:i/>
          <w:szCs w:val="28"/>
        </w:rPr>
        <w:t>TDD-UL-DL-ConfigCommon</w:t>
      </w:r>
      <w:r w:rsidR="0077479B">
        <w:rPr>
          <w:bCs/>
          <w:szCs w:val="28"/>
        </w:rPr>
        <w:t xml:space="preserve"> </w:t>
      </w:r>
      <w:r w:rsidR="009657C4">
        <w:rPr>
          <w:bCs/>
          <w:szCs w:val="28"/>
        </w:rPr>
        <w:t xml:space="preserve">to explicitly indicate the </w:t>
      </w:r>
      <w:r w:rsidR="0077479B">
        <w:rPr>
          <w:bCs/>
          <w:szCs w:val="28"/>
        </w:rPr>
        <w:t xml:space="preserve">time slot/symbols </w:t>
      </w:r>
      <w:r w:rsidR="009657C4">
        <w:rPr>
          <w:bCs/>
          <w:szCs w:val="28"/>
        </w:rPr>
        <w:t xml:space="preserve">window </w:t>
      </w:r>
      <w:r w:rsidR="0077479B">
        <w:rPr>
          <w:bCs/>
          <w:szCs w:val="28"/>
        </w:rPr>
        <w:t>to all</w:t>
      </w:r>
      <w:r w:rsidR="009657C4">
        <w:rPr>
          <w:bCs/>
          <w:szCs w:val="28"/>
        </w:rPr>
        <w:t xml:space="preserve"> the</w:t>
      </w:r>
      <w:r w:rsidR="0077479B">
        <w:rPr>
          <w:bCs/>
          <w:szCs w:val="28"/>
        </w:rPr>
        <w:t xml:space="preserve"> UEs including the SBFD capable UE and legacy </w:t>
      </w:r>
      <w:r w:rsidR="0077479B">
        <w:rPr>
          <w:bCs/>
          <w:szCs w:val="28"/>
        </w:rPr>
        <w:lastRenderedPageBreak/>
        <w:t xml:space="preserve">UE. </w:t>
      </w:r>
      <w:r w:rsidR="000A70FA">
        <w:rPr>
          <w:bCs/>
          <w:szCs w:val="28"/>
        </w:rPr>
        <w:t xml:space="preserve">Moreover, </w:t>
      </w:r>
      <w:r w:rsidR="0077479B">
        <w:rPr>
          <w:bCs/>
          <w:szCs w:val="28"/>
        </w:rPr>
        <w:t xml:space="preserve">cell specific or UE specific configuration </w:t>
      </w:r>
      <w:r w:rsidR="009657C4">
        <w:rPr>
          <w:bCs/>
          <w:szCs w:val="28"/>
        </w:rPr>
        <w:t xml:space="preserve">such </w:t>
      </w:r>
      <w:r w:rsidR="009657C4" w:rsidRPr="009657C4">
        <w:rPr>
          <w:bCs/>
          <w:i/>
          <w:szCs w:val="28"/>
        </w:rPr>
        <w:t>TDD-UL-DLConfigDedicated</w:t>
      </w:r>
      <w:r w:rsidR="009657C4">
        <w:rPr>
          <w:bCs/>
          <w:szCs w:val="28"/>
        </w:rPr>
        <w:t xml:space="preserve"> of the current specification may also requires an extension to include an explicit indication of time slots/symbols to the </w:t>
      </w:r>
      <w:r w:rsidR="00F049C2">
        <w:rPr>
          <w:bCs/>
          <w:szCs w:val="28"/>
        </w:rPr>
        <w:t xml:space="preserve">UE. </w:t>
      </w:r>
    </w:p>
    <w:p w:rsidR="00077052" w:rsidRDefault="00077052" w:rsidP="00AB1FFA"/>
    <w:p w:rsidR="00077052" w:rsidRDefault="00AB1FFA" w:rsidP="00AB1FFA">
      <w:pPr>
        <w:rPr>
          <w:b/>
          <w:i/>
        </w:rPr>
      </w:pPr>
      <w:r w:rsidRPr="002B0799">
        <w:rPr>
          <w:b/>
          <w:i/>
        </w:rPr>
        <w:t>Observation</w:t>
      </w:r>
      <w:r w:rsidR="00E56515">
        <w:rPr>
          <w:b/>
          <w:i/>
        </w:rPr>
        <w:t xml:space="preserve"> 1</w:t>
      </w:r>
      <w:r w:rsidRPr="002B0799">
        <w:rPr>
          <w:b/>
          <w:i/>
        </w:rPr>
        <w:t xml:space="preserve">: </w:t>
      </w:r>
      <w:r w:rsidR="009657C4">
        <w:rPr>
          <w:b/>
          <w:i/>
        </w:rPr>
        <w:t xml:space="preserve">An </w:t>
      </w:r>
      <w:r w:rsidR="00077052">
        <w:rPr>
          <w:b/>
          <w:i/>
        </w:rPr>
        <w:t>explicit indication of frequency location of other subbands type</w:t>
      </w:r>
      <w:r w:rsidR="009657C4">
        <w:rPr>
          <w:b/>
          <w:i/>
        </w:rPr>
        <w:t>s (DL Subbands),</w:t>
      </w:r>
      <w:r w:rsidR="00077052">
        <w:rPr>
          <w:b/>
          <w:i/>
        </w:rPr>
        <w:t xml:space="preserve"> </w:t>
      </w:r>
      <w:r w:rsidR="00F049C2">
        <w:rPr>
          <w:b/>
          <w:i/>
        </w:rPr>
        <w:t>may let</w:t>
      </w:r>
      <w:r w:rsidR="00077052">
        <w:rPr>
          <w:b/>
          <w:i/>
        </w:rPr>
        <w:t xml:space="preserve"> </w:t>
      </w:r>
      <w:r w:rsidR="009657C4">
        <w:rPr>
          <w:b/>
          <w:i/>
        </w:rPr>
        <w:t xml:space="preserve">the </w:t>
      </w:r>
      <w:r w:rsidR="00077052">
        <w:rPr>
          <w:b/>
          <w:i/>
        </w:rPr>
        <w:t>UEs to implicitly</w:t>
      </w:r>
      <w:r w:rsidR="00197951">
        <w:rPr>
          <w:b/>
          <w:i/>
        </w:rPr>
        <w:t xml:space="preserve"> determine</w:t>
      </w:r>
      <w:r w:rsidR="00077052">
        <w:rPr>
          <w:b/>
          <w:i/>
        </w:rPr>
        <w:t xml:space="preserve"> the guard bands between the DL and UL subbands. </w:t>
      </w:r>
    </w:p>
    <w:p w:rsidR="009657C4" w:rsidRDefault="00F120B1" w:rsidP="00077052">
      <w:pPr>
        <w:rPr>
          <w:b/>
          <w:i/>
        </w:rPr>
      </w:pPr>
      <w:r>
        <w:rPr>
          <w:b/>
          <w:i/>
        </w:rPr>
        <w:t>Observation 2</w:t>
      </w:r>
      <w:r w:rsidR="00077052">
        <w:rPr>
          <w:b/>
          <w:i/>
        </w:rPr>
        <w:t xml:space="preserve">: </w:t>
      </w:r>
      <w:r w:rsidR="001B73F9">
        <w:rPr>
          <w:b/>
          <w:i/>
        </w:rPr>
        <w:t xml:space="preserve">Time window based </w:t>
      </w:r>
      <w:r w:rsidR="009657C4">
        <w:rPr>
          <w:b/>
          <w:i/>
        </w:rPr>
        <w:t xml:space="preserve">solution to indicate x number of time slots/symbols to the UEs for SBFD operation and legacy TDD operation may provide assistance in interference management between SBFD operation and legacy TDD operation </w:t>
      </w:r>
      <w:r w:rsidR="00A95265">
        <w:rPr>
          <w:b/>
          <w:i/>
        </w:rPr>
        <w:t>in the neighbor cells</w:t>
      </w:r>
      <w:r w:rsidR="009657C4">
        <w:rPr>
          <w:b/>
          <w:i/>
        </w:rPr>
        <w:t xml:space="preserve">. </w:t>
      </w:r>
    </w:p>
    <w:p w:rsidR="009657C4" w:rsidRDefault="00F120B1" w:rsidP="009657C4">
      <w:pPr>
        <w:rPr>
          <w:b/>
          <w:i/>
        </w:rPr>
      </w:pPr>
      <w:r>
        <w:rPr>
          <w:b/>
          <w:i/>
        </w:rPr>
        <w:t>Observation 3</w:t>
      </w:r>
      <w:r w:rsidR="009657C4">
        <w:rPr>
          <w:b/>
          <w:i/>
        </w:rPr>
        <w:t>:</w:t>
      </w:r>
      <w:r w:rsidR="00A95265">
        <w:rPr>
          <w:b/>
          <w:i/>
        </w:rPr>
        <w:t xml:space="preserve"> Indication of time location of subbands to UE may requires an extension of TDD-UL-DL-ConfigCommon and TDD-UL-DL-ConfigDedicated to include an indication of the slots/symbols which is used for SBFD operation. </w:t>
      </w:r>
    </w:p>
    <w:p w:rsidR="009657C4" w:rsidRDefault="009657C4" w:rsidP="00077052">
      <w:pPr>
        <w:rPr>
          <w:b/>
          <w:i/>
        </w:rPr>
      </w:pPr>
    </w:p>
    <w:p w:rsidR="00077052" w:rsidRPr="003F231F" w:rsidRDefault="00077052" w:rsidP="00077052">
      <w:pPr>
        <w:rPr>
          <w:b/>
        </w:rPr>
      </w:pPr>
      <w:r w:rsidRPr="003F231F">
        <w:rPr>
          <w:b/>
        </w:rPr>
        <w:t xml:space="preserve">Proposal 1: Support an explicit indication of the </w:t>
      </w:r>
      <w:r w:rsidR="00A95265">
        <w:rPr>
          <w:b/>
        </w:rPr>
        <w:t>frequency location</w:t>
      </w:r>
      <w:r w:rsidR="00F24BFA">
        <w:rPr>
          <w:b/>
        </w:rPr>
        <w:t>s</w:t>
      </w:r>
      <w:r w:rsidR="00A95265">
        <w:rPr>
          <w:b/>
        </w:rPr>
        <w:t xml:space="preserve"> of all subbands (DL and UL) </w:t>
      </w:r>
      <w:r w:rsidRPr="003F231F">
        <w:rPr>
          <w:b/>
        </w:rPr>
        <w:t xml:space="preserve">within a TDD band to the UE. </w:t>
      </w:r>
    </w:p>
    <w:p w:rsidR="003139AD" w:rsidRPr="003F231F" w:rsidRDefault="00CD4F58" w:rsidP="003F231F">
      <w:pPr>
        <w:rPr>
          <w:b/>
        </w:rPr>
      </w:pPr>
      <w:r w:rsidRPr="003F231F">
        <w:rPr>
          <w:b/>
        </w:rPr>
        <w:t>Proposal 2: Study a tim</w:t>
      </w:r>
      <w:r w:rsidR="00CA2EB3">
        <w:rPr>
          <w:b/>
        </w:rPr>
        <w:t xml:space="preserve">e domain window based solution to </w:t>
      </w:r>
      <w:r w:rsidR="00F24BFA">
        <w:rPr>
          <w:b/>
        </w:rPr>
        <w:t>indicate the time slots/symbols of</w:t>
      </w:r>
      <w:r w:rsidR="00CA2EB3">
        <w:rPr>
          <w:b/>
        </w:rPr>
        <w:t xml:space="preserve"> SBFD operation and legacy TDD operation</w:t>
      </w:r>
      <w:r w:rsidR="00F24BFA">
        <w:rPr>
          <w:b/>
        </w:rPr>
        <w:t xml:space="preserve"> to the SBFD UEs and legacy operation UEs respectively</w:t>
      </w:r>
      <w:r w:rsidR="00CA2EB3">
        <w:rPr>
          <w:b/>
        </w:rPr>
        <w:t>.</w:t>
      </w:r>
    </w:p>
    <w:p w:rsidR="00077052" w:rsidRPr="00077052" w:rsidRDefault="00077052" w:rsidP="00077052">
      <w:pPr>
        <w:rPr>
          <w:b/>
          <w:i/>
        </w:rPr>
      </w:pPr>
    </w:p>
    <w:p w:rsidR="00C035A9" w:rsidRDefault="00C035A9" w:rsidP="004B5649">
      <w:pPr>
        <w:pStyle w:val="Heading2"/>
      </w:pPr>
      <w:r>
        <w:t xml:space="preserve">Dynamic </w:t>
      </w:r>
      <w:r w:rsidR="00097210">
        <w:t>Indication of S</w:t>
      </w:r>
      <w:r>
        <w:t>ubband</w:t>
      </w:r>
      <w:r w:rsidR="00097210">
        <w:t>s</w:t>
      </w:r>
      <w:r>
        <w:t xml:space="preserve"> location </w:t>
      </w:r>
    </w:p>
    <w:p w:rsidR="004B5649" w:rsidRPr="004B5649" w:rsidRDefault="004B5649" w:rsidP="004B5649">
      <w:r>
        <w:t xml:space="preserve">The purpose of dynamic </w:t>
      </w:r>
      <w:r w:rsidR="001B73F9">
        <w:t xml:space="preserve">indication of time/frequency </w:t>
      </w:r>
      <w:r>
        <w:t>location</w:t>
      </w:r>
      <w:r w:rsidR="00F24BFA">
        <w:t xml:space="preserve"> of subbands</w:t>
      </w:r>
      <w:r>
        <w:t xml:space="preserve"> is to provide </w:t>
      </w:r>
      <w:r w:rsidR="00E67B9E">
        <w:t xml:space="preserve">the </w:t>
      </w:r>
      <w:r>
        <w:t xml:space="preserve">flexibility to both gNB and UE to perform </w:t>
      </w:r>
      <w:r w:rsidR="007B78DE">
        <w:t>adaptation</w:t>
      </w:r>
      <w:r>
        <w:t xml:space="preserve"> according the DL and UL traffic as well as to handle </w:t>
      </w:r>
      <w:r w:rsidR="00E67B9E">
        <w:t xml:space="preserve">the DL and UL </w:t>
      </w:r>
      <w:r>
        <w:t>collision</w:t>
      </w:r>
      <w:r w:rsidR="00F24BFA">
        <w:t xml:space="preserve"> as explained below</w:t>
      </w:r>
      <w:r>
        <w:t xml:space="preserve">. </w:t>
      </w:r>
    </w:p>
    <w:p w:rsidR="00C035A9" w:rsidRDefault="00381AD2" w:rsidP="00C035A9">
      <w:pPr>
        <w:rPr>
          <w:b/>
        </w:rPr>
      </w:pPr>
      <w:r>
        <w:rPr>
          <w:b/>
        </w:rPr>
        <w:t xml:space="preserve">2.2.1 </w:t>
      </w:r>
      <w:r w:rsidR="00C035A9" w:rsidRPr="00381AD2">
        <w:rPr>
          <w:b/>
        </w:rPr>
        <w:t xml:space="preserve">Dynamic Indication of frequency location of subbands </w:t>
      </w:r>
    </w:p>
    <w:p w:rsidR="00E67B9E" w:rsidRPr="00EA565C" w:rsidRDefault="004B5649" w:rsidP="00E67B9E">
      <w:r>
        <w:rPr>
          <w:shd w:val="clear" w:color="auto" w:fill="FFFFFF"/>
        </w:rPr>
        <w:t>In</w:t>
      </w:r>
      <w:r w:rsidR="000A70FA">
        <w:rPr>
          <w:shd w:val="clear" w:color="auto" w:fill="FFFFFF"/>
        </w:rPr>
        <w:t xml:space="preserve"> case of</w:t>
      </w:r>
      <w:r>
        <w:rPr>
          <w:shd w:val="clear" w:color="auto" w:fill="FFFFFF"/>
        </w:rPr>
        <w:t xml:space="preserve"> dynamic indication of </w:t>
      </w:r>
      <w:r w:rsidR="007B78DE">
        <w:rPr>
          <w:shd w:val="clear" w:color="auto" w:fill="FFFFFF"/>
        </w:rPr>
        <w:t>frequency</w:t>
      </w:r>
      <w:r>
        <w:rPr>
          <w:shd w:val="clear" w:color="auto" w:fill="FFFFFF"/>
        </w:rPr>
        <w:t xml:space="preserve"> location of subbands </w:t>
      </w:r>
      <w:r>
        <w:rPr>
          <w:lang w:val="fi-FI"/>
        </w:rPr>
        <w:t xml:space="preserve">the network can configure multiple subband sizes within a given </w:t>
      </w:r>
      <w:r w:rsidR="00F24BFA">
        <w:rPr>
          <w:lang w:val="fi-FI"/>
        </w:rPr>
        <w:t xml:space="preserve">TDD band </w:t>
      </w:r>
      <w:r>
        <w:rPr>
          <w:lang w:val="fi-FI"/>
        </w:rPr>
        <w:t xml:space="preserve">and dynamically indicate an applicable subband size to adapt to the varying DL and UL traffic </w:t>
      </w:r>
      <w:r w:rsidR="000A70FA">
        <w:rPr>
          <w:lang w:val="fi-FI"/>
        </w:rPr>
        <w:t xml:space="preserve">and </w:t>
      </w:r>
      <w:r>
        <w:rPr>
          <w:lang w:val="fi-FI"/>
        </w:rPr>
        <w:t>to handle</w:t>
      </w:r>
      <w:r w:rsidR="00F24BFA">
        <w:rPr>
          <w:lang w:val="fi-FI"/>
        </w:rPr>
        <w:t xml:space="preserve"> the</w:t>
      </w:r>
      <w:r>
        <w:rPr>
          <w:lang w:val="fi-FI"/>
        </w:rPr>
        <w:t xml:space="preserve"> DL and UL</w:t>
      </w:r>
      <w:r w:rsidR="007B78DE">
        <w:rPr>
          <w:lang w:val="fi-FI"/>
        </w:rPr>
        <w:t xml:space="preserve"> collision</w:t>
      </w:r>
      <w:r w:rsidR="00381AD2">
        <w:rPr>
          <w:lang w:val="fi-FI"/>
        </w:rPr>
        <w:t xml:space="preserve">. </w:t>
      </w:r>
      <w:r w:rsidR="000A70FA">
        <w:rPr>
          <w:lang w:val="fi-FI"/>
        </w:rPr>
        <w:t xml:space="preserve">For </w:t>
      </w:r>
      <w:r w:rsidR="00381AD2">
        <w:rPr>
          <w:lang w:val="fi-FI"/>
        </w:rPr>
        <w:t xml:space="preserve">this </w:t>
      </w:r>
      <w:r w:rsidR="000A70FA">
        <w:rPr>
          <w:lang w:val="fi-FI"/>
        </w:rPr>
        <w:t>case</w:t>
      </w:r>
      <w:r w:rsidR="00381AD2">
        <w:rPr>
          <w:lang w:val="fi-FI"/>
        </w:rPr>
        <w:t>, the</w:t>
      </w:r>
      <w:r w:rsidR="00381AD2" w:rsidRPr="00585F8C">
        <w:rPr>
          <w:lang w:val="fi-FI"/>
        </w:rPr>
        <w:t xml:space="preserve"> </w:t>
      </w:r>
      <w:r w:rsidR="00381AD2">
        <w:rPr>
          <w:lang w:val="fi-FI"/>
        </w:rPr>
        <w:t xml:space="preserve">network/gNB would use higher </w:t>
      </w:r>
      <w:r w:rsidR="00381AD2" w:rsidRPr="00585F8C">
        <w:rPr>
          <w:lang w:val="fi-FI"/>
        </w:rPr>
        <w:t>layer</w:t>
      </w:r>
      <w:r w:rsidR="00381AD2">
        <w:rPr>
          <w:lang w:val="fi-FI"/>
        </w:rPr>
        <w:t xml:space="preserve"> RRC </w:t>
      </w:r>
      <w:r w:rsidR="00E67B9E">
        <w:rPr>
          <w:lang w:val="fi-FI"/>
        </w:rPr>
        <w:t>si</w:t>
      </w:r>
      <w:r w:rsidR="00F24BFA">
        <w:rPr>
          <w:lang w:val="fi-FI"/>
        </w:rPr>
        <w:t>gnaling</w:t>
      </w:r>
      <w:r w:rsidR="00E67B9E">
        <w:rPr>
          <w:lang w:val="fi-FI"/>
        </w:rPr>
        <w:t xml:space="preserve"> </w:t>
      </w:r>
      <w:r w:rsidR="00381AD2">
        <w:rPr>
          <w:lang w:val="fi-FI"/>
        </w:rPr>
        <w:t xml:space="preserve">to configure the </w:t>
      </w:r>
      <w:r w:rsidR="00AC74ED">
        <w:rPr>
          <w:lang w:val="fi-FI"/>
        </w:rPr>
        <w:t xml:space="preserve">suband size </w:t>
      </w:r>
      <w:r w:rsidR="00381AD2">
        <w:rPr>
          <w:lang w:val="fi-FI"/>
        </w:rPr>
        <w:t xml:space="preserve">or numbers of </w:t>
      </w:r>
      <w:r w:rsidR="00381AD2" w:rsidRPr="00585F8C">
        <w:rPr>
          <w:lang w:val="fi-FI"/>
        </w:rPr>
        <w:t>sub-band</w:t>
      </w:r>
      <w:r w:rsidR="00381AD2">
        <w:rPr>
          <w:lang w:val="fi-FI"/>
        </w:rPr>
        <w:t>s</w:t>
      </w:r>
      <w:r w:rsidR="00381AD2" w:rsidRPr="00585F8C">
        <w:rPr>
          <w:lang w:val="fi-FI"/>
        </w:rPr>
        <w:t xml:space="preserve"> </w:t>
      </w:r>
      <w:r w:rsidR="00381AD2">
        <w:rPr>
          <w:lang w:val="fi-FI"/>
        </w:rPr>
        <w:t xml:space="preserve">to all SBFD </w:t>
      </w:r>
      <w:r w:rsidR="00E67B9E">
        <w:rPr>
          <w:lang w:val="fi-FI"/>
        </w:rPr>
        <w:t xml:space="preserve">operating </w:t>
      </w:r>
      <w:r w:rsidR="00381AD2">
        <w:rPr>
          <w:lang w:val="fi-FI"/>
        </w:rPr>
        <w:t xml:space="preserve">UEs in a cell, and the network/gNB </w:t>
      </w:r>
      <w:r w:rsidR="000A70FA">
        <w:rPr>
          <w:lang w:val="fi-FI"/>
        </w:rPr>
        <w:t>c</w:t>
      </w:r>
      <w:r w:rsidR="00381AD2">
        <w:rPr>
          <w:lang w:val="fi-FI"/>
        </w:rPr>
        <w:t>ould further use phsycial layer signaling i.e. DCI or MAC layer signaling i.e. MAC CE to indicate the DL/UL sub-bands, and</w:t>
      </w:r>
      <w:r w:rsidR="00F24BFA">
        <w:rPr>
          <w:lang w:val="fi-FI"/>
        </w:rPr>
        <w:t>/or</w:t>
      </w:r>
      <w:r w:rsidR="00381AD2">
        <w:rPr>
          <w:lang w:val="fi-FI"/>
        </w:rPr>
        <w:t xml:space="preserve"> activate/de-activate the DL/</w:t>
      </w:r>
      <w:r w:rsidR="00381AD2" w:rsidRPr="002F6300">
        <w:rPr>
          <w:lang w:val="fi-FI"/>
        </w:rPr>
        <w:t>UL sub-bands to one or more UEs in a cell.</w:t>
      </w:r>
      <w:r w:rsidR="00AC74ED">
        <w:rPr>
          <w:lang w:val="fi-FI"/>
        </w:rPr>
        <w:t xml:space="preserve"> </w:t>
      </w:r>
      <w:r w:rsidR="000A70FA">
        <w:rPr>
          <w:lang w:val="fi-FI"/>
        </w:rPr>
        <w:t xml:space="preserve">In addtion,  for </w:t>
      </w:r>
      <w:r w:rsidR="00F24BFA">
        <w:rPr>
          <w:lang w:val="fi-FI"/>
        </w:rPr>
        <w:t>dynamic indication</w:t>
      </w:r>
      <w:r w:rsidR="00AC74ED">
        <w:rPr>
          <w:lang w:val="fi-FI"/>
        </w:rPr>
        <w:t xml:space="preserve">, </w:t>
      </w:r>
      <w:r w:rsidR="00AC74ED">
        <w:t xml:space="preserve">the DL and UL sub-bands are not restricted to a specific sub-band, and it can be indicated and activated/de-activated </w:t>
      </w:r>
      <w:r w:rsidR="00F24BFA">
        <w:t>according to the DL and UL traffic</w:t>
      </w:r>
      <w:r w:rsidR="00AC74ED">
        <w:t>.</w:t>
      </w:r>
      <w:r w:rsidR="00381AD2" w:rsidRPr="002F6300">
        <w:rPr>
          <w:lang w:val="fi-FI"/>
        </w:rPr>
        <w:t xml:space="preserve"> </w:t>
      </w:r>
      <w:r w:rsidR="00F24BFA">
        <w:rPr>
          <w:lang w:val="fi-FI"/>
        </w:rPr>
        <w:t>The main advantage of</w:t>
      </w:r>
      <w:r w:rsidR="00E67B9E">
        <w:rPr>
          <w:lang w:val="fi-FI"/>
        </w:rPr>
        <w:t xml:space="preserve"> dynamic indication of frequency location </w:t>
      </w:r>
      <w:r w:rsidR="0083389B">
        <w:rPr>
          <w:lang w:val="fi-FI"/>
        </w:rPr>
        <w:t>is</w:t>
      </w:r>
      <w:r w:rsidR="00E67B9E">
        <w:rPr>
          <w:lang w:val="fi-FI"/>
        </w:rPr>
        <w:t xml:space="preserve"> to handle the DL and UL collision. </w:t>
      </w:r>
      <w:r w:rsidR="00E67B9E">
        <w:t xml:space="preserve">For instance, if the SSB is configured in </w:t>
      </w:r>
      <w:r w:rsidR="0083389B">
        <w:t xml:space="preserve">frequency </w:t>
      </w:r>
      <w:r w:rsidR="00E67B9E">
        <w:t>location of sub-band#0, the gNB can indicate sub-band#1 or sub-band#2 as UL sub-band to the UE using DCI based indication or MAC CE based</w:t>
      </w:r>
      <w:r w:rsidR="0083389B">
        <w:t xml:space="preserve"> indication to avoid the SSB and UL collision as shown in Figure 1</w:t>
      </w:r>
      <w:r w:rsidR="00E67B9E">
        <w:t xml:space="preserve">. </w:t>
      </w:r>
      <w:r w:rsidR="0083053E">
        <w:t>In the same way, when the</w:t>
      </w:r>
      <w:r w:rsidR="0083053E" w:rsidRPr="002F6300">
        <w:t xml:space="preserve"> PRACH is configured in the </w:t>
      </w:r>
      <w:r w:rsidR="0083389B">
        <w:t xml:space="preserve">frequency </w:t>
      </w:r>
      <w:r w:rsidR="0083053E">
        <w:t>location of sub-band#0</w:t>
      </w:r>
      <w:r w:rsidR="0083053E" w:rsidRPr="002F6300">
        <w:t>, the gNB can</w:t>
      </w:r>
      <w:r w:rsidR="0083053E">
        <w:t xml:space="preserve"> dynamically indicate sub-band#1</w:t>
      </w:r>
      <w:r w:rsidR="0083053E" w:rsidRPr="002F6300">
        <w:t xml:space="preserve"> and/or sub-band#2 as DL sub-band to the UE using DCI or MAC CE </w:t>
      </w:r>
      <w:r w:rsidR="0083053E">
        <w:t xml:space="preserve">to avoid the PRACH and DL collision </w:t>
      </w:r>
      <w:r w:rsidR="0083053E" w:rsidRPr="002F6300">
        <w:t>as shown in</w:t>
      </w:r>
      <w:r w:rsidR="0083389B">
        <w:t xml:space="preserve"> Figure 2</w:t>
      </w:r>
      <w:r w:rsidR="0083053E" w:rsidRPr="002F6300">
        <w:t>.</w:t>
      </w:r>
      <w:r w:rsidR="0083053E">
        <w:t xml:space="preserve"> </w:t>
      </w:r>
    </w:p>
    <w:p w:rsidR="0083389B" w:rsidRDefault="0083389B" w:rsidP="0083389B">
      <w:pPr>
        <w:keepNext/>
        <w:ind w:left="425"/>
        <w:jc w:val="left"/>
        <w:sectPr w:rsidR="0083389B">
          <w:footerReference w:type="default" r:id="rId9"/>
          <w:pgSz w:w="11909" w:h="16834"/>
          <w:pgMar w:top="1440" w:right="1152" w:bottom="1440" w:left="1440" w:header="720" w:footer="720" w:gutter="0"/>
          <w:cols w:space="720"/>
        </w:sectPr>
      </w:pPr>
    </w:p>
    <w:p w:rsidR="0083389B" w:rsidRDefault="005227FD" w:rsidP="0083389B">
      <w:pPr>
        <w:keepNext/>
        <w:ind w:left="425"/>
        <w:jc w:val="center"/>
      </w:pPr>
      <w:r>
        <w:object w:dxaOrig="5750" w:dyaOrig="3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pt;height:131.5pt" o:ole="">
            <v:imagedata r:id="rId10" o:title=""/>
          </v:shape>
          <o:OLEObject Type="Embed" ProgID="Visio.Drawing.15" ShapeID="_x0000_i1025" DrawAspect="Content" ObjectID="_1729346540" r:id="rId11"/>
        </w:object>
      </w:r>
    </w:p>
    <w:p w:rsidR="0083389B" w:rsidRDefault="0083389B" w:rsidP="0083389B">
      <w:pPr>
        <w:pStyle w:val="Caption"/>
        <w:sectPr w:rsidR="0083389B" w:rsidSect="0083389B">
          <w:type w:val="continuous"/>
          <w:pgSz w:w="11909" w:h="16834"/>
          <w:pgMar w:top="1440" w:right="1152" w:bottom="1440" w:left="1440" w:header="720" w:footer="720" w:gutter="0"/>
          <w:cols w:space="720"/>
        </w:sectPr>
      </w:pPr>
      <w:r>
        <w:t xml:space="preserve">Figure </w:t>
      </w:r>
      <w:r w:rsidR="00D23685">
        <w:fldChar w:fldCharType="begin"/>
      </w:r>
      <w:r w:rsidR="00D23685">
        <w:instrText xml:space="preserve"> SEQ Figure \* ARABIC </w:instrText>
      </w:r>
      <w:r w:rsidR="00D23685">
        <w:fldChar w:fldCharType="separate"/>
      </w:r>
      <w:r>
        <w:rPr>
          <w:noProof/>
        </w:rPr>
        <w:t>1</w:t>
      </w:r>
      <w:r w:rsidR="00D23685">
        <w:rPr>
          <w:noProof/>
        </w:rPr>
        <w:fldChar w:fldCharType="end"/>
      </w:r>
      <w:r>
        <w:rPr>
          <w:noProof/>
        </w:rPr>
        <w:t xml:space="preserve"> Collision handling between SSB and UL subband</w:t>
      </w:r>
    </w:p>
    <w:bookmarkStart w:id="3" w:name="_MON_1728460625"/>
    <w:bookmarkEnd w:id="3"/>
    <w:p w:rsidR="0083389B" w:rsidRDefault="0083389B" w:rsidP="0083389B">
      <w:pPr>
        <w:keepNext/>
        <w:ind w:left="425"/>
        <w:jc w:val="center"/>
      </w:pPr>
      <w:r>
        <w:object w:dxaOrig="5751" w:dyaOrig="3980">
          <v:shape id="_x0000_i1026" type="#_x0000_t75" style="width:174.5pt;height:121pt" o:ole="">
            <v:imagedata r:id="rId12" o:title=""/>
          </v:shape>
          <o:OLEObject Type="Embed" ProgID="Visio.Drawing.15" ShapeID="_x0000_i1026" DrawAspect="Content" ObjectID="_1729346541" r:id="rId13"/>
        </w:object>
      </w:r>
    </w:p>
    <w:p w:rsidR="0083389B" w:rsidRDefault="0083389B" w:rsidP="0083389B">
      <w:pPr>
        <w:pStyle w:val="Caption"/>
        <w:sectPr w:rsidR="0083389B" w:rsidSect="0083389B">
          <w:type w:val="continuous"/>
          <w:pgSz w:w="11909" w:h="16834"/>
          <w:pgMar w:top="1440" w:right="1152" w:bottom="1440" w:left="1440" w:header="720" w:footer="720" w:gutter="0"/>
          <w:cols w:space="720"/>
        </w:sectPr>
      </w:pPr>
      <w:r>
        <w:t xml:space="preserve">Figure </w:t>
      </w:r>
      <w:r w:rsidR="00D23685">
        <w:fldChar w:fldCharType="begin"/>
      </w:r>
      <w:r w:rsidR="00D23685">
        <w:instrText xml:space="preserve"> SEQ Figure \* ARABIC </w:instrText>
      </w:r>
      <w:r w:rsidR="00D23685">
        <w:fldChar w:fldCharType="separate"/>
      </w:r>
      <w:r>
        <w:rPr>
          <w:noProof/>
        </w:rPr>
        <w:t>2</w:t>
      </w:r>
      <w:r w:rsidR="00D23685">
        <w:rPr>
          <w:noProof/>
        </w:rPr>
        <w:fldChar w:fldCharType="end"/>
      </w:r>
      <w:r>
        <w:t xml:space="preserve"> Collision handling between PRACH Occasion and DL subband</w:t>
      </w:r>
    </w:p>
    <w:p w:rsidR="0083389B" w:rsidRDefault="0083389B" w:rsidP="0083389B">
      <w:pPr>
        <w:keepNext/>
        <w:jc w:val="left"/>
        <w:sectPr w:rsidR="0083389B" w:rsidSect="0083389B">
          <w:type w:val="continuous"/>
          <w:pgSz w:w="11909" w:h="16834"/>
          <w:pgMar w:top="1440" w:right="1152" w:bottom="1440" w:left="1440" w:header="720" w:footer="720" w:gutter="0"/>
          <w:cols w:space="720"/>
        </w:sectPr>
      </w:pPr>
    </w:p>
    <w:p w:rsidR="001342F5" w:rsidRPr="00AC74ED" w:rsidRDefault="00E67B9E" w:rsidP="001342F5">
      <w:r>
        <w:t>In</w:t>
      </w:r>
      <w:r w:rsidR="00F120B1">
        <w:t xml:space="preserve"> addition</w:t>
      </w:r>
      <w:r>
        <w:t xml:space="preserve">, </w:t>
      </w:r>
      <w:r w:rsidR="00AC74ED">
        <w:t>dynamic indication of frequency location of subbands can be used to handle the f</w:t>
      </w:r>
      <w:r w:rsidR="00BE5379">
        <w:t>ollowing collision cases which were</w:t>
      </w:r>
      <w:r w:rsidR="00AC74ED">
        <w:t xml:space="preserve"> mentioned in the </w:t>
      </w:r>
      <w:r>
        <w:t>FL summary of RAN1</w:t>
      </w:r>
      <w:r w:rsidR="00AC74ED">
        <w:t>#110b-e meeting</w:t>
      </w:r>
      <w:r w:rsidR="001342F5">
        <w:rPr>
          <w:rFonts w:eastAsiaTheme="minorEastAsia"/>
          <w:lang w:eastAsia="zh-CN"/>
        </w:rPr>
        <w:t xml:space="preserve">. </w:t>
      </w:r>
    </w:p>
    <w:p w:rsidR="001342F5" w:rsidRPr="001342F5" w:rsidRDefault="001342F5" w:rsidP="001342F5">
      <w:pPr>
        <w:pStyle w:val="ListParagraph"/>
        <w:numPr>
          <w:ilvl w:val="0"/>
          <w:numId w:val="33"/>
        </w:numPr>
        <w:suppressAutoHyphens/>
        <w:spacing w:after="50"/>
        <w:rPr>
          <w:rFonts w:ascii="Times New Roman" w:eastAsiaTheme="minorEastAsia" w:hAnsi="Times New Roman"/>
          <w:sz w:val="22"/>
          <w:szCs w:val="22"/>
          <w:lang w:eastAsia="zh-CN"/>
        </w:rPr>
      </w:pPr>
      <w:r w:rsidRPr="001342F5">
        <w:rPr>
          <w:rFonts w:ascii="Times New Roman" w:eastAsiaTheme="minorEastAsia" w:hAnsi="Times New Roman"/>
          <w:sz w:val="22"/>
          <w:szCs w:val="22"/>
          <w:lang w:eastAsia="zh-CN"/>
        </w:rPr>
        <w:t>Case 1: UL vs. DL</w:t>
      </w:r>
    </w:p>
    <w:p w:rsidR="001342F5" w:rsidRPr="001342F5" w:rsidRDefault="001342F5" w:rsidP="001342F5">
      <w:pPr>
        <w:pStyle w:val="ListParagraph"/>
        <w:numPr>
          <w:ilvl w:val="0"/>
          <w:numId w:val="33"/>
        </w:numPr>
        <w:suppressAutoHyphens/>
        <w:spacing w:after="50"/>
        <w:rPr>
          <w:rFonts w:ascii="Times New Roman" w:eastAsiaTheme="minorEastAsia" w:hAnsi="Times New Roman"/>
          <w:sz w:val="22"/>
          <w:szCs w:val="22"/>
          <w:lang w:eastAsia="zh-CN"/>
        </w:rPr>
      </w:pPr>
      <w:r w:rsidRPr="001342F5">
        <w:rPr>
          <w:rFonts w:ascii="Times New Roman" w:eastAsiaTheme="minorEastAsia" w:hAnsi="Times New Roman"/>
          <w:sz w:val="22"/>
          <w:szCs w:val="22"/>
          <w:lang w:eastAsia="zh-CN"/>
        </w:rPr>
        <w:t>Case 2: Semi D vs. UL</w:t>
      </w:r>
    </w:p>
    <w:p w:rsidR="001342F5" w:rsidRPr="001342F5" w:rsidRDefault="001342F5" w:rsidP="001342F5">
      <w:pPr>
        <w:pStyle w:val="ListParagraph"/>
        <w:numPr>
          <w:ilvl w:val="0"/>
          <w:numId w:val="33"/>
        </w:numPr>
        <w:suppressAutoHyphens/>
        <w:spacing w:after="50"/>
        <w:rPr>
          <w:rFonts w:ascii="Times New Roman" w:eastAsiaTheme="minorEastAsia" w:hAnsi="Times New Roman"/>
          <w:sz w:val="22"/>
          <w:szCs w:val="22"/>
          <w:lang w:eastAsia="zh-CN"/>
        </w:rPr>
      </w:pPr>
      <w:r w:rsidRPr="001342F5">
        <w:rPr>
          <w:rFonts w:ascii="Times New Roman" w:eastAsiaTheme="minorEastAsia" w:hAnsi="Times New Roman"/>
          <w:sz w:val="22"/>
          <w:szCs w:val="22"/>
          <w:lang w:eastAsia="zh-CN"/>
        </w:rPr>
        <w:t>Case 3: SSB vs. UL</w:t>
      </w:r>
    </w:p>
    <w:p w:rsidR="001342F5" w:rsidRPr="001342F5" w:rsidRDefault="001342F5" w:rsidP="001342F5">
      <w:pPr>
        <w:pStyle w:val="ListParagraph"/>
        <w:numPr>
          <w:ilvl w:val="0"/>
          <w:numId w:val="33"/>
        </w:numPr>
        <w:suppressAutoHyphens/>
        <w:spacing w:after="50"/>
        <w:rPr>
          <w:rFonts w:ascii="Times New Roman" w:eastAsiaTheme="minorEastAsia" w:hAnsi="Times New Roman"/>
          <w:sz w:val="22"/>
          <w:szCs w:val="22"/>
          <w:lang w:eastAsia="zh-CN"/>
        </w:rPr>
      </w:pPr>
      <w:r w:rsidRPr="001342F5">
        <w:rPr>
          <w:rFonts w:ascii="Times New Roman" w:eastAsiaTheme="minorEastAsia" w:hAnsi="Times New Roman"/>
          <w:sz w:val="22"/>
          <w:szCs w:val="22"/>
          <w:lang w:eastAsia="zh-CN"/>
        </w:rPr>
        <w:t>Case 4: Type 0 CSS vs. UL</w:t>
      </w:r>
    </w:p>
    <w:p w:rsidR="001342F5" w:rsidRPr="001342F5" w:rsidRDefault="001342F5" w:rsidP="001342F5">
      <w:pPr>
        <w:pStyle w:val="ListParagraph"/>
        <w:numPr>
          <w:ilvl w:val="0"/>
          <w:numId w:val="33"/>
        </w:numPr>
        <w:suppressAutoHyphens/>
        <w:spacing w:after="50"/>
        <w:rPr>
          <w:rFonts w:ascii="Times New Roman" w:eastAsiaTheme="minorEastAsia" w:hAnsi="Times New Roman"/>
          <w:sz w:val="22"/>
          <w:szCs w:val="22"/>
          <w:lang w:eastAsia="zh-CN"/>
        </w:rPr>
      </w:pPr>
      <w:r w:rsidRPr="001342F5">
        <w:rPr>
          <w:rFonts w:ascii="Times New Roman" w:eastAsiaTheme="minorEastAsia" w:hAnsi="Times New Roman"/>
          <w:sz w:val="22"/>
          <w:szCs w:val="22"/>
          <w:lang w:eastAsia="zh-CN"/>
        </w:rPr>
        <w:t>Case 5: Semi D vs. valid RO</w:t>
      </w:r>
    </w:p>
    <w:p w:rsidR="001342F5" w:rsidRPr="001342F5" w:rsidRDefault="001342F5" w:rsidP="001342F5">
      <w:pPr>
        <w:pStyle w:val="ListParagraph"/>
        <w:numPr>
          <w:ilvl w:val="0"/>
          <w:numId w:val="33"/>
        </w:numPr>
        <w:suppressAutoHyphens/>
        <w:spacing w:after="50"/>
        <w:rPr>
          <w:rFonts w:ascii="Times New Roman" w:eastAsiaTheme="minorEastAsia" w:hAnsi="Times New Roman"/>
          <w:sz w:val="22"/>
          <w:szCs w:val="22"/>
          <w:lang w:eastAsia="zh-CN"/>
        </w:rPr>
      </w:pPr>
      <w:r w:rsidRPr="001342F5">
        <w:rPr>
          <w:rFonts w:ascii="Times New Roman" w:eastAsiaTheme="minorEastAsia" w:hAnsi="Times New Roman"/>
          <w:sz w:val="22"/>
          <w:szCs w:val="22"/>
          <w:lang w:eastAsia="zh-CN"/>
        </w:rPr>
        <w:t>Case 6: valid RO vs. DL</w:t>
      </w:r>
    </w:p>
    <w:p w:rsidR="001342F5" w:rsidRPr="001342F5" w:rsidRDefault="001342F5" w:rsidP="001342F5">
      <w:pPr>
        <w:pStyle w:val="ListParagraph"/>
        <w:numPr>
          <w:ilvl w:val="0"/>
          <w:numId w:val="33"/>
        </w:numPr>
        <w:suppressAutoHyphens/>
        <w:spacing w:after="50"/>
        <w:rPr>
          <w:rFonts w:ascii="Times New Roman" w:eastAsiaTheme="minorEastAsia" w:hAnsi="Times New Roman"/>
          <w:sz w:val="22"/>
          <w:szCs w:val="22"/>
          <w:lang w:eastAsia="zh-CN"/>
        </w:rPr>
      </w:pPr>
      <w:r w:rsidRPr="001342F5">
        <w:rPr>
          <w:rFonts w:ascii="Times New Roman" w:eastAsiaTheme="minorEastAsia" w:hAnsi="Times New Roman"/>
          <w:sz w:val="22"/>
          <w:szCs w:val="22"/>
          <w:lang w:eastAsia="zh-CN"/>
        </w:rPr>
        <w:t>Case 7: Semi U vs. DL</w:t>
      </w:r>
    </w:p>
    <w:p w:rsidR="001342F5" w:rsidRPr="001342F5" w:rsidRDefault="001342F5" w:rsidP="001342F5">
      <w:pPr>
        <w:pStyle w:val="ListParagraph"/>
        <w:numPr>
          <w:ilvl w:val="0"/>
          <w:numId w:val="33"/>
        </w:numPr>
        <w:suppressAutoHyphens/>
        <w:spacing w:after="50"/>
        <w:rPr>
          <w:rFonts w:ascii="Times New Roman" w:eastAsiaTheme="minorEastAsia" w:hAnsi="Times New Roman"/>
          <w:sz w:val="22"/>
          <w:szCs w:val="22"/>
          <w:lang w:eastAsia="zh-CN"/>
        </w:rPr>
      </w:pPr>
      <w:r w:rsidRPr="001342F5">
        <w:rPr>
          <w:rFonts w:ascii="Times New Roman" w:eastAsiaTheme="minorEastAsia" w:hAnsi="Times New Roman"/>
          <w:sz w:val="22"/>
          <w:szCs w:val="22"/>
          <w:lang w:eastAsia="zh-CN"/>
        </w:rPr>
        <w:t>Case 8: Semi U vs. SSB</w:t>
      </w:r>
    </w:p>
    <w:p w:rsidR="001342F5" w:rsidRPr="001342F5" w:rsidRDefault="001342F5" w:rsidP="001342F5">
      <w:pPr>
        <w:pStyle w:val="ListParagraph"/>
        <w:numPr>
          <w:ilvl w:val="0"/>
          <w:numId w:val="33"/>
        </w:numPr>
        <w:suppressAutoHyphens/>
        <w:spacing w:after="50"/>
        <w:rPr>
          <w:rFonts w:ascii="Times New Roman" w:eastAsiaTheme="minorEastAsia" w:hAnsi="Times New Roman"/>
          <w:sz w:val="22"/>
          <w:szCs w:val="22"/>
          <w:lang w:eastAsia="zh-CN"/>
        </w:rPr>
      </w:pPr>
      <w:r w:rsidRPr="001342F5">
        <w:rPr>
          <w:rFonts w:ascii="Times New Roman" w:eastAsiaTheme="minorEastAsia" w:hAnsi="Times New Roman"/>
          <w:sz w:val="22"/>
          <w:szCs w:val="22"/>
          <w:lang w:eastAsia="zh-CN"/>
        </w:rPr>
        <w:t>Case 9: Semi U vs. CORESET 0</w:t>
      </w:r>
    </w:p>
    <w:p w:rsidR="00E67B9E" w:rsidRPr="001342F5" w:rsidRDefault="00E67B9E" w:rsidP="00E67B9E">
      <w:pPr>
        <w:rPr>
          <w:lang w:val="es-ES"/>
        </w:rPr>
      </w:pPr>
    </w:p>
    <w:p w:rsidR="005826BF" w:rsidRDefault="000559BE" w:rsidP="000559BE">
      <w:pPr>
        <w:rPr>
          <w:b/>
          <w:i/>
          <w:lang w:val="fi-FI"/>
        </w:rPr>
      </w:pPr>
      <w:r w:rsidRPr="00183A5C">
        <w:rPr>
          <w:b/>
          <w:i/>
          <w:lang w:val="fi-FI"/>
        </w:rPr>
        <w:t>Observation</w:t>
      </w:r>
      <w:r w:rsidR="00F120B1">
        <w:rPr>
          <w:b/>
          <w:i/>
          <w:lang w:val="fi-FI"/>
        </w:rPr>
        <w:t xml:space="preserve"> 4</w:t>
      </w:r>
      <w:r w:rsidRPr="00183A5C">
        <w:rPr>
          <w:b/>
          <w:i/>
          <w:lang w:val="fi-FI"/>
        </w:rPr>
        <w:t xml:space="preserve">: </w:t>
      </w:r>
      <w:r w:rsidR="005826BF">
        <w:rPr>
          <w:b/>
          <w:i/>
          <w:lang w:val="fi-FI"/>
        </w:rPr>
        <w:t xml:space="preserve">Dynamic Indication of frequency location indication </w:t>
      </w:r>
      <w:r w:rsidR="00EA565C">
        <w:rPr>
          <w:b/>
          <w:i/>
          <w:lang w:val="fi-FI"/>
        </w:rPr>
        <w:t xml:space="preserve">provides </w:t>
      </w:r>
      <w:r w:rsidR="005826BF">
        <w:rPr>
          <w:b/>
          <w:i/>
          <w:lang w:val="fi-FI"/>
        </w:rPr>
        <w:t xml:space="preserve">flexibility to </w:t>
      </w:r>
      <w:r w:rsidR="00BE5379">
        <w:rPr>
          <w:b/>
          <w:i/>
          <w:lang w:val="fi-FI"/>
        </w:rPr>
        <w:t>adapt to the DL and UL</w:t>
      </w:r>
      <w:r w:rsidR="007D2534">
        <w:rPr>
          <w:b/>
          <w:i/>
          <w:lang w:val="fi-FI"/>
        </w:rPr>
        <w:t xml:space="preserve"> traffic</w:t>
      </w:r>
      <w:r w:rsidR="000A70FA">
        <w:rPr>
          <w:b/>
          <w:i/>
          <w:lang w:val="fi-FI"/>
        </w:rPr>
        <w:t>and</w:t>
      </w:r>
      <w:r w:rsidR="00F120B1">
        <w:rPr>
          <w:b/>
          <w:i/>
          <w:lang w:val="fi-FI"/>
        </w:rPr>
        <w:t xml:space="preserve"> to handle the DL and U</w:t>
      </w:r>
      <w:r w:rsidR="00BE5379">
        <w:rPr>
          <w:b/>
          <w:i/>
          <w:lang w:val="fi-FI"/>
        </w:rPr>
        <w:t xml:space="preserve">L tranmission collision. </w:t>
      </w:r>
    </w:p>
    <w:p w:rsidR="005826BF" w:rsidRPr="009F47B7" w:rsidRDefault="005826BF" w:rsidP="00C035A9">
      <w:pPr>
        <w:rPr>
          <w:b/>
          <w:lang w:val="fi-FI"/>
        </w:rPr>
      </w:pPr>
      <w:r w:rsidRPr="009F47B7">
        <w:rPr>
          <w:b/>
          <w:lang w:val="fi-FI"/>
        </w:rPr>
        <w:t>Proposal</w:t>
      </w:r>
      <w:r w:rsidR="00F120B1">
        <w:rPr>
          <w:b/>
          <w:lang w:val="fi-FI"/>
        </w:rPr>
        <w:t xml:space="preserve"> 3</w:t>
      </w:r>
      <w:r w:rsidRPr="009F47B7">
        <w:rPr>
          <w:b/>
          <w:lang w:val="fi-FI"/>
        </w:rPr>
        <w:t>: Support Dynamic Indicaiton o</w:t>
      </w:r>
      <w:r w:rsidR="00BE5379">
        <w:rPr>
          <w:b/>
          <w:lang w:val="fi-FI"/>
        </w:rPr>
        <w:t xml:space="preserve">f frequency location of subbands. </w:t>
      </w:r>
      <w:r w:rsidRPr="009F47B7">
        <w:rPr>
          <w:b/>
          <w:lang w:val="fi-FI"/>
        </w:rPr>
        <w:t xml:space="preserve"> </w:t>
      </w:r>
    </w:p>
    <w:p w:rsidR="005826BF" w:rsidRPr="009F47B7" w:rsidRDefault="005826BF" w:rsidP="00C035A9">
      <w:pPr>
        <w:rPr>
          <w:b/>
          <w:lang w:val="fi-FI"/>
        </w:rPr>
      </w:pPr>
      <w:r w:rsidRPr="009F47B7">
        <w:rPr>
          <w:b/>
          <w:lang w:val="fi-FI"/>
        </w:rPr>
        <w:t>Proposal</w:t>
      </w:r>
      <w:r w:rsidR="00F120B1">
        <w:rPr>
          <w:b/>
          <w:lang w:val="fi-FI"/>
        </w:rPr>
        <w:t xml:space="preserve"> 4</w:t>
      </w:r>
      <w:r w:rsidRPr="009F47B7">
        <w:rPr>
          <w:b/>
          <w:lang w:val="fi-FI"/>
        </w:rPr>
        <w:t>:</w:t>
      </w:r>
      <w:r w:rsidR="00EA565C" w:rsidRPr="009F47B7">
        <w:rPr>
          <w:b/>
          <w:lang w:val="fi-FI"/>
        </w:rPr>
        <w:t xml:space="preserve"> For dynamic Indicaiton</w:t>
      </w:r>
      <w:r w:rsidR="00BE5379">
        <w:rPr>
          <w:b/>
          <w:lang w:val="fi-FI"/>
        </w:rPr>
        <w:t xml:space="preserve"> </w:t>
      </w:r>
      <w:r w:rsidRPr="009F47B7">
        <w:rPr>
          <w:b/>
          <w:lang w:val="fi-FI"/>
        </w:rPr>
        <w:t>of frequecy location</w:t>
      </w:r>
      <w:r w:rsidR="00BE5379">
        <w:rPr>
          <w:b/>
          <w:lang w:val="fi-FI"/>
        </w:rPr>
        <w:t xml:space="preserve"> of subbands, </w:t>
      </w:r>
      <w:r w:rsidRPr="009F47B7">
        <w:rPr>
          <w:b/>
          <w:lang w:val="fi-FI"/>
        </w:rPr>
        <w:t xml:space="preserve"> DCI based indication and/or MAC CE based </w:t>
      </w:r>
      <w:r w:rsidR="00BE5379">
        <w:rPr>
          <w:b/>
          <w:lang w:val="fi-FI"/>
        </w:rPr>
        <w:t xml:space="preserve">indication </w:t>
      </w:r>
      <w:r w:rsidRPr="009F47B7">
        <w:rPr>
          <w:b/>
          <w:lang w:val="fi-FI"/>
        </w:rPr>
        <w:t xml:space="preserve">can be </w:t>
      </w:r>
      <w:r w:rsidR="00BE5379" w:rsidRPr="00BE5379">
        <w:rPr>
          <w:b/>
          <w:lang w:val="fi-FI"/>
        </w:rPr>
        <w:t>further studied</w:t>
      </w:r>
      <w:r w:rsidRPr="00BE5379">
        <w:rPr>
          <w:b/>
          <w:lang w:val="fi-FI"/>
        </w:rPr>
        <w:t>.</w:t>
      </w:r>
      <w:r w:rsidRPr="009F47B7">
        <w:rPr>
          <w:b/>
          <w:lang w:val="fi-FI"/>
        </w:rPr>
        <w:t xml:space="preserve"> </w:t>
      </w:r>
    </w:p>
    <w:p w:rsidR="00C035A9" w:rsidRPr="00381AD2" w:rsidRDefault="00381AD2" w:rsidP="00C035A9">
      <w:pPr>
        <w:rPr>
          <w:b/>
        </w:rPr>
      </w:pPr>
      <w:r>
        <w:rPr>
          <w:b/>
        </w:rPr>
        <w:t xml:space="preserve">2.2.2 </w:t>
      </w:r>
      <w:r w:rsidR="00C035A9" w:rsidRPr="00381AD2">
        <w:rPr>
          <w:b/>
        </w:rPr>
        <w:t>Dynamic Indication of time location of subbands</w:t>
      </w:r>
    </w:p>
    <w:p w:rsidR="000559BE" w:rsidRDefault="00243561" w:rsidP="00381AD2">
      <w:r>
        <w:t>D</w:t>
      </w:r>
      <w:r w:rsidR="00466B0D">
        <w:t xml:space="preserve">ynamic indication of time location of subbands </w:t>
      </w:r>
      <w:r w:rsidR="00381AD2">
        <w:t>may</w:t>
      </w:r>
      <w:r>
        <w:t xml:space="preserve"> also provide</w:t>
      </w:r>
      <w:r w:rsidR="000559BE">
        <w:t xml:space="preserve"> the</w:t>
      </w:r>
      <w:r>
        <w:t xml:space="preserve"> flexibility to adapt to </w:t>
      </w:r>
      <w:r w:rsidR="00640D9B">
        <w:t xml:space="preserve">the varying </w:t>
      </w:r>
      <w:r>
        <w:t xml:space="preserve">DL and UL traffic. </w:t>
      </w:r>
      <w:r w:rsidR="00381AD2">
        <w:t xml:space="preserve">For dynamic indication of time location of sub-band the existing SFI can be </w:t>
      </w:r>
      <w:r>
        <w:t>re</w:t>
      </w:r>
      <w:r w:rsidR="00381AD2">
        <w:t xml:space="preserve">used. </w:t>
      </w:r>
      <w:r>
        <w:t xml:space="preserve">For </w:t>
      </w:r>
      <w:r w:rsidR="000559BE">
        <w:t>instance, the SFI of the current specification, which is carried by DCI format 2_0</w:t>
      </w:r>
      <w:r w:rsidR="000A70FA">
        <w:t xml:space="preserve"> which</w:t>
      </w:r>
      <w:r w:rsidR="000559BE">
        <w:t xml:space="preserve"> is used for indication of DL and UL slots in conventional TDD can be </w:t>
      </w:r>
      <w:r w:rsidR="000A70FA">
        <w:t>re</w:t>
      </w:r>
      <w:r w:rsidR="000559BE">
        <w:t>used to indicate the starting and number of slots</w:t>
      </w:r>
      <w:r w:rsidR="00640D9B">
        <w:t>/symbols</w:t>
      </w:r>
      <w:r w:rsidR="000559BE">
        <w:t xml:space="preserve"> which is used for SBFD operation. </w:t>
      </w:r>
    </w:p>
    <w:p w:rsidR="00381AD2" w:rsidRPr="00F120B1" w:rsidRDefault="00F120B1" w:rsidP="00381AD2">
      <w:pPr>
        <w:spacing w:after="200" w:line="276" w:lineRule="auto"/>
        <w:contextualSpacing/>
        <w:rPr>
          <w:b/>
          <w:i/>
        </w:rPr>
      </w:pPr>
      <w:r>
        <w:rPr>
          <w:b/>
          <w:i/>
        </w:rPr>
        <w:t>Observation 5</w:t>
      </w:r>
      <w:r w:rsidR="00381AD2" w:rsidRPr="00F120B1">
        <w:rPr>
          <w:b/>
          <w:i/>
        </w:rPr>
        <w:t xml:space="preserve">: </w:t>
      </w:r>
      <w:r w:rsidR="00640D9B" w:rsidRPr="00F120B1">
        <w:rPr>
          <w:b/>
          <w:i/>
        </w:rPr>
        <w:t xml:space="preserve">The </w:t>
      </w:r>
      <w:r w:rsidR="00381AD2" w:rsidRPr="00F120B1">
        <w:rPr>
          <w:b/>
          <w:i/>
        </w:rPr>
        <w:t xml:space="preserve">current SFI </w:t>
      </w:r>
      <w:r w:rsidR="00640D9B" w:rsidRPr="00F120B1">
        <w:rPr>
          <w:b/>
          <w:i/>
        </w:rPr>
        <w:t xml:space="preserve">may requires an extension </w:t>
      </w:r>
      <w:r w:rsidRPr="00F120B1">
        <w:rPr>
          <w:b/>
          <w:i/>
        </w:rPr>
        <w:t xml:space="preserve">to include </w:t>
      </w:r>
      <w:r w:rsidR="00640D9B" w:rsidRPr="00F120B1">
        <w:rPr>
          <w:b/>
          <w:i/>
        </w:rPr>
        <w:t xml:space="preserve">an indication for starting of slots/symbols and number of slots/symbols which is used for SBFD operation. </w:t>
      </w:r>
    </w:p>
    <w:p w:rsidR="00640D9B" w:rsidRPr="00BE5379" w:rsidRDefault="00640D9B" w:rsidP="00640D9B">
      <w:pPr>
        <w:rPr>
          <w:b/>
          <w:lang w:val="fi-FI"/>
        </w:rPr>
      </w:pPr>
      <w:r w:rsidRPr="00BE5379">
        <w:rPr>
          <w:b/>
          <w:lang w:val="fi-FI"/>
        </w:rPr>
        <w:t>Proposal</w:t>
      </w:r>
      <w:r w:rsidR="00F120B1">
        <w:rPr>
          <w:b/>
          <w:lang w:val="fi-FI"/>
        </w:rPr>
        <w:t xml:space="preserve"> 5</w:t>
      </w:r>
      <w:r w:rsidRPr="00BE5379">
        <w:rPr>
          <w:b/>
          <w:lang w:val="fi-FI"/>
        </w:rPr>
        <w:t xml:space="preserve">: </w:t>
      </w:r>
      <w:r w:rsidR="00F120B1">
        <w:rPr>
          <w:b/>
          <w:lang w:val="fi-FI"/>
        </w:rPr>
        <w:t xml:space="preserve">Consider </w:t>
      </w:r>
      <w:r w:rsidRPr="00BE5379">
        <w:rPr>
          <w:b/>
          <w:lang w:val="fi-FI"/>
        </w:rPr>
        <w:t>semi static configuration of multiple subband sizes within a given TDD band,  and dynanmic indication o</w:t>
      </w:r>
      <w:r>
        <w:rPr>
          <w:b/>
          <w:lang w:val="fi-FI"/>
        </w:rPr>
        <w:t>f time/frequency location o</w:t>
      </w:r>
      <w:r w:rsidRPr="00BE5379">
        <w:rPr>
          <w:b/>
          <w:lang w:val="fi-FI"/>
        </w:rPr>
        <w:t xml:space="preserve">f subbands </w:t>
      </w:r>
      <w:r>
        <w:rPr>
          <w:b/>
          <w:lang w:val="fi-FI"/>
        </w:rPr>
        <w:t xml:space="preserve">to activate/de-activate an UL or DL </w:t>
      </w:r>
      <w:r w:rsidRPr="00BE5379">
        <w:rPr>
          <w:b/>
          <w:lang w:val="fi-FI"/>
        </w:rPr>
        <w:t xml:space="preserve">subbands. </w:t>
      </w:r>
    </w:p>
    <w:p w:rsidR="009A1507" w:rsidRDefault="00B70197" w:rsidP="00640D9B">
      <w:pPr>
        <w:pStyle w:val="Heading1"/>
        <w:rPr>
          <w:lang w:eastAsia="zh-CN"/>
        </w:rPr>
      </w:pPr>
      <w:r>
        <w:rPr>
          <w:lang w:eastAsia="zh-CN"/>
        </w:rPr>
        <w:t xml:space="preserve">Co-channel </w:t>
      </w:r>
      <w:r w:rsidR="00A80540">
        <w:rPr>
          <w:lang w:eastAsia="zh-CN"/>
        </w:rPr>
        <w:t xml:space="preserve">Intra sub-bands interference </w:t>
      </w:r>
      <w:r w:rsidR="009A1507">
        <w:rPr>
          <w:lang w:eastAsia="zh-CN"/>
        </w:rPr>
        <w:t>management</w:t>
      </w:r>
    </w:p>
    <w:p w:rsidR="006B460C" w:rsidRDefault="00B70197" w:rsidP="006B460C">
      <w:pPr>
        <w:rPr>
          <w:bCs/>
        </w:rPr>
      </w:pPr>
      <w:r>
        <w:rPr>
          <w:bCs/>
        </w:rPr>
        <w:t>gNB to gNB c</w:t>
      </w:r>
      <w:r w:rsidR="006B460C" w:rsidRPr="00B27ED3">
        <w:rPr>
          <w:bCs/>
        </w:rPr>
        <w:t>o-cha</w:t>
      </w:r>
      <w:r w:rsidR="006B460C">
        <w:rPr>
          <w:bCs/>
        </w:rPr>
        <w:t>nnel intra</w:t>
      </w:r>
      <w:r w:rsidR="006B460C" w:rsidRPr="00B27ED3">
        <w:rPr>
          <w:bCs/>
        </w:rPr>
        <w:t xml:space="preserve"> sub-band</w:t>
      </w:r>
      <w:r w:rsidR="006B460C">
        <w:rPr>
          <w:bCs/>
        </w:rPr>
        <w:t xml:space="preserve"> interference</w:t>
      </w:r>
      <w:r w:rsidR="005151C3">
        <w:rPr>
          <w:bCs/>
        </w:rPr>
        <w:t xml:space="preserve"> may</w:t>
      </w:r>
      <w:r w:rsidR="008218B9">
        <w:rPr>
          <w:bCs/>
        </w:rPr>
        <w:t xml:space="preserve"> exists when </w:t>
      </w:r>
      <w:r w:rsidR="007524ED">
        <w:rPr>
          <w:bCs/>
        </w:rPr>
        <w:t xml:space="preserve">the neighbor’s gNBs configured with different </w:t>
      </w:r>
      <w:r w:rsidR="006B460C">
        <w:rPr>
          <w:bCs/>
        </w:rPr>
        <w:t>sub-</w:t>
      </w:r>
      <w:r w:rsidR="006B460C" w:rsidRPr="00B27ED3">
        <w:rPr>
          <w:bCs/>
        </w:rPr>
        <w:t>band</w:t>
      </w:r>
      <w:r w:rsidR="006B460C">
        <w:rPr>
          <w:bCs/>
        </w:rPr>
        <w:t xml:space="preserve">s parameters </w:t>
      </w:r>
      <w:r w:rsidR="007524ED">
        <w:rPr>
          <w:bCs/>
        </w:rPr>
        <w:t>as explained below</w:t>
      </w:r>
      <w:r w:rsidR="006B460C">
        <w:rPr>
          <w:bCs/>
        </w:rPr>
        <w:t xml:space="preserve">: </w:t>
      </w:r>
    </w:p>
    <w:p w:rsidR="007524ED" w:rsidRDefault="007524ED" w:rsidP="0060665B">
      <w:pPr>
        <w:pStyle w:val="ListParagraph"/>
        <w:numPr>
          <w:ilvl w:val="0"/>
          <w:numId w:val="13"/>
        </w:numPr>
        <w:spacing w:after="200" w:line="276" w:lineRule="auto"/>
        <w:contextualSpacing/>
        <w:rPr>
          <w:rFonts w:ascii="Times New Roman" w:hAnsi="Times New Roman"/>
          <w:bCs/>
          <w:sz w:val="22"/>
          <w:szCs w:val="22"/>
        </w:rPr>
      </w:pPr>
      <w:r w:rsidRPr="007524ED">
        <w:rPr>
          <w:rFonts w:ascii="Times New Roman" w:hAnsi="Times New Roman"/>
          <w:bCs/>
          <w:sz w:val="22"/>
          <w:szCs w:val="22"/>
        </w:rPr>
        <w:t>Allocating d</w:t>
      </w:r>
      <w:r w:rsidR="006B460C" w:rsidRPr="007524ED">
        <w:rPr>
          <w:rFonts w:ascii="Times New Roman" w:hAnsi="Times New Roman"/>
          <w:bCs/>
          <w:sz w:val="22"/>
          <w:szCs w:val="22"/>
        </w:rPr>
        <w:t xml:space="preserve">ifferent bandwidth of UL to </w:t>
      </w:r>
      <w:r w:rsidR="008146EA">
        <w:rPr>
          <w:rFonts w:ascii="Times New Roman" w:hAnsi="Times New Roman"/>
          <w:bCs/>
          <w:sz w:val="22"/>
          <w:szCs w:val="22"/>
        </w:rPr>
        <w:t xml:space="preserve">UL and DL to DL sub-bands between </w:t>
      </w:r>
      <w:r w:rsidR="00E82104" w:rsidRPr="007524ED">
        <w:rPr>
          <w:rFonts w:ascii="Times New Roman" w:hAnsi="Times New Roman"/>
          <w:bCs/>
          <w:sz w:val="22"/>
          <w:szCs w:val="22"/>
        </w:rPr>
        <w:t xml:space="preserve">the </w:t>
      </w:r>
      <w:r w:rsidR="008218B9" w:rsidRPr="007524ED">
        <w:rPr>
          <w:rFonts w:ascii="Times New Roman" w:hAnsi="Times New Roman"/>
          <w:bCs/>
          <w:sz w:val="22"/>
          <w:szCs w:val="22"/>
        </w:rPr>
        <w:t>neighbor</w:t>
      </w:r>
      <w:r w:rsidR="006B460C" w:rsidRPr="007524ED">
        <w:rPr>
          <w:rFonts w:ascii="Times New Roman" w:hAnsi="Times New Roman"/>
          <w:bCs/>
          <w:sz w:val="22"/>
          <w:szCs w:val="22"/>
        </w:rPr>
        <w:t xml:space="preserve"> gNBs</w:t>
      </w:r>
      <w:r>
        <w:rPr>
          <w:rFonts w:ascii="Times New Roman" w:hAnsi="Times New Roman"/>
          <w:bCs/>
          <w:sz w:val="22"/>
          <w:szCs w:val="22"/>
        </w:rPr>
        <w:t xml:space="preserve"> as shown in Figure 6a</w:t>
      </w:r>
      <w:r w:rsidR="00432796" w:rsidRPr="007524ED">
        <w:rPr>
          <w:rFonts w:ascii="Times New Roman" w:hAnsi="Times New Roman"/>
          <w:bCs/>
          <w:sz w:val="22"/>
          <w:szCs w:val="22"/>
        </w:rPr>
        <w:t xml:space="preserve">. </w:t>
      </w:r>
      <w:r>
        <w:rPr>
          <w:rFonts w:ascii="Times New Roman" w:hAnsi="Times New Roman"/>
          <w:bCs/>
          <w:sz w:val="22"/>
          <w:szCs w:val="22"/>
        </w:rPr>
        <w:t>I</w:t>
      </w:r>
      <w:r w:rsidR="00890B1C">
        <w:rPr>
          <w:rFonts w:ascii="Times New Roman" w:hAnsi="Times New Roman"/>
          <w:bCs/>
          <w:sz w:val="22"/>
          <w:szCs w:val="22"/>
        </w:rPr>
        <w:t xml:space="preserve">n this case, the same set of </w:t>
      </w:r>
      <w:r>
        <w:rPr>
          <w:rFonts w:ascii="Times New Roman" w:hAnsi="Times New Roman"/>
          <w:bCs/>
          <w:sz w:val="22"/>
          <w:szCs w:val="22"/>
        </w:rPr>
        <w:t xml:space="preserve">RBs of DL sub-band at gNB1 may create intra sub-band interference to </w:t>
      </w:r>
      <w:r w:rsidR="00890B1C">
        <w:rPr>
          <w:rFonts w:ascii="Times New Roman" w:hAnsi="Times New Roman"/>
          <w:bCs/>
          <w:sz w:val="22"/>
          <w:szCs w:val="22"/>
        </w:rPr>
        <w:t xml:space="preserve">the same set of RBs of the UL sub-band at gNB2. </w:t>
      </w:r>
    </w:p>
    <w:p w:rsidR="00432796" w:rsidRPr="007524ED" w:rsidRDefault="006B460C" w:rsidP="0060665B">
      <w:pPr>
        <w:pStyle w:val="ListParagraph"/>
        <w:numPr>
          <w:ilvl w:val="0"/>
          <w:numId w:val="13"/>
        </w:numPr>
        <w:spacing w:after="200" w:line="276" w:lineRule="auto"/>
        <w:contextualSpacing/>
        <w:rPr>
          <w:rFonts w:ascii="Times New Roman" w:hAnsi="Times New Roman"/>
          <w:bCs/>
          <w:sz w:val="22"/>
          <w:szCs w:val="22"/>
        </w:rPr>
      </w:pPr>
      <w:r w:rsidRPr="007524ED">
        <w:rPr>
          <w:rFonts w:ascii="Times New Roman" w:hAnsi="Times New Roman"/>
          <w:bCs/>
          <w:sz w:val="22"/>
          <w:szCs w:val="22"/>
        </w:rPr>
        <w:t>Allocati</w:t>
      </w:r>
      <w:r w:rsidR="00326194">
        <w:rPr>
          <w:rFonts w:ascii="Times New Roman" w:hAnsi="Times New Roman"/>
          <w:bCs/>
          <w:sz w:val="22"/>
          <w:szCs w:val="22"/>
        </w:rPr>
        <w:t>ng</w:t>
      </w:r>
      <w:r w:rsidRPr="007524ED">
        <w:rPr>
          <w:rFonts w:ascii="Times New Roman" w:hAnsi="Times New Roman"/>
          <w:bCs/>
          <w:sz w:val="22"/>
          <w:szCs w:val="22"/>
        </w:rPr>
        <w:t xml:space="preserve"> dissimilar sub-bands</w:t>
      </w:r>
      <w:r w:rsidR="008146EA">
        <w:rPr>
          <w:rFonts w:ascii="Times New Roman" w:hAnsi="Times New Roman"/>
          <w:bCs/>
          <w:sz w:val="22"/>
          <w:szCs w:val="22"/>
        </w:rPr>
        <w:t xml:space="preserve"> to UL and DL transmission between</w:t>
      </w:r>
      <w:r w:rsidR="00326194">
        <w:rPr>
          <w:rFonts w:ascii="Times New Roman" w:hAnsi="Times New Roman"/>
          <w:bCs/>
          <w:sz w:val="22"/>
          <w:szCs w:val="22"/>
        </w:rPr>
        <w:t xml:space="preserve"> the</w:t>
      </w:r>
      <w:r w:rsidRPr="007524ED">
        <w:rPr>
          <w:rFonts w:ascii="Times New Roman" w:hAnsi="Times New Roman"/>
          <w:bCs/>
          <w:sz w:val="22"/>
          <w:szCs w:val="22"/>
        </w:rPr>
        <w:t xml:space="preserve"> </w:t>
      </w:r>
      <w:r w:rsidR="005151C3" w:rsidRPr="007524ED">
        <w:rPr>
          <w:rFonts w:ascii="Times New Roman" w:hAnsi="Times New Roman"/>
          <w:bCs/>
          <w:sz w:val="22"/>
          <w:szCs w:val="22"/>
        </w:rPr>
        <w:t>neighbor</w:t>
      </w:r>
      <w:r w:rsidRPr="007524ED">
        <w:rPr>
          <w:rFonts w:ascii="Times New Roman" w:hAnsi="Times New Roman"/>
          <w:bCs/>
          <w:sz w:val="22"/>
          <w:szCs w:val="22"/>
        </w:rPr>
        <w:t xml:space="preserve"> gNBs</w:t>
      </w:r>
      <w:r w:rsidR="00890B1C">
        <w:rPr>
          <w:rFonts w:ascii="Times New Roman" w:hAnsi="Times New Roman"/>
          <w:bCs/>
          <w:sz w:val="22"/>
          <w:szCs w:val="22"/>
        </w:rPr>
        <w:t xml:space="preserve"> as shown in Figure 6b</w:t>
      </w:r>
      <w:r w:rsidR="00432796" w:rsidRPr="007524ED">
        <w:rPr>
          <w:rFonts w:ascii="Times New Roman" w:hAnsi="Times New Roman"/>
          <w:bCs/>
          <w:sz w:val="22"/>
          <w:szCs w:val="22"/>
        </w:rPr>
        <w:t>.</w:t>
      </w:r>
      <w:r w:rsidR="00890B1C">
        <w:rPr>
          <w:rFonts w:ascii="Times New Roman" w:hAnsi="Times New Roman"/>
          <w:bCs/>
          <w:sz w:val="22"/>
          <w:szCs w:val="22"/>
        </w:rPr>
        <w:t xml:space="preserve"> In this case, the DL sub-band#2 at gNB1 and DL sub-band#1 at gNB2 may creat</w:t>
      </w:r>
      <w:r w:rsidR="00326194">
        <w:rPr>
          <w:rFonts w:ascii="Times New Roman" w:hAnsi="Times New Roman"/>
          <w:bCs/>
          <w:sz w:val="22"/>
          <w:szCs w:val="22"/>
        </w:rPr>
        <w:t>e intra sub-band interference to the</w:t>
      </w:r>
      <w:r w:rsidR="00890B1C">
        <w:rPr>
          <w:rFonts w:ascii="Times New Roman" w:hAnsi="Times New Roman"/>
          <w:bCs/>
          <w:sz w:val="22"/>
          <w:szCs w:val="22"/>
        </w:rPr>
        <w:t xml:space="preserve"> UL sub-band#2 at gNB2 and UL sub-band#1 at gNB1 respectively. </w:t>
      </w:r>
    </w:p>
    <w:p w:rsidR="005151C3" w:rsidRPr="005151C3" w:rsidRDefault="006B460C" w:rsidP="00432796">
      <w:pPr>
        <w:pStyle w:val="ListParagraph"/>
        <w:numPr>
          <w:ilvl w:val="0"/>
          <w:numId w:val="13"/>
        </w:numPr>
        <w:spacing w:after="200" w:line="276" w:lineRule="auto"/>
        <w:contextualSpacing/>
        <w:rPr>
          <w:rFonts w:ascii="Times New Roman" w:hAnsi="Times New Roman"/>
          <w:bCs/>
          <w:sz w:val="22"/>
          <w:szCs w:val="22"/>
        </w:rPr>
      </w:pPr>
      <w:r w:rsidRPr="005151C3">
        <w:rPr>
          <w:rFonts w:ascii="Times New Roman" w:hAnsi="Times New Roman"/>
          <w:bCs/>
          <w:sz w:val="22"/>
          <w:szCs w:val="22"/>
        </w:rPr>
        <w:t>Allocation of dissimilar quantity of sub-bands to UL and DL transmi</w:t>
      </w:r>
      <w:r w:rsidR="008146EA">
        <w:rPr>
          <w:rFonts w:ascii="Times New Roman" w:hAnsi="Times New Roman"/>
          <w:bCs/>
          <w:sz w:val="22"/>
          <w:szCs w:val="22"/>
        </w:rPr>
        <w:t>ssion between</w:t>
      </w:r>
      <w:r w:rsidRPr="005151C3">
        <w:rPr>
          <w:rFonts w:ascii="Times New Roman" w:hAnsi="Times New Roman"/>
          <w:bCs/>
          <w:sz w:val="22"/>
          <w:szCs w:val="22"/>
        </w:rPr>
        <w:t xml:space="preserve"> </w:t>
      </w:r>
      <w:r w:rsidR="008218B9" w:rsidRPr="005151C3">
        <w:rPr>
          <w:rFonts w:ascii="Times New Roman" w:hAnsi="Times New Roman"/>
          <w:bCs/>
          <w:sz w:val="22"/>
          <w:szCs w:val="22"/>
        </w:rPr>
        <w:t>neighbor</w:t>
      </w:r>
      <w:r w:rsidRPr="005151C3">
        <w:rPr>
          <w:rFonts w:ascii="Times New Roman" w:hAnsi="Times New Roman"/>
          <w:bCs/>
          <w:sz w:val="22"/>
          <w:szCs w:val="22"/>
        </w:rPr>
        <w:t xml:space="preserve"> gNBs</w:t>
      </w:r>
      <w:r w:rsidR="00890B1C">
        <w:rPr>
          <w:rFonts w:ascii="Times New Roman" w:hAnsi="Times New Roman"/>
          <w:bCs/>
          <w:sz w:val="22"/>
          <w:szCs w:val="22"/>
        </w:rPr>
        <w:t xml:space="preserve"> as shown in Figure 7a</w:t>
      </w:r>
      <w:r w:rsidR="00432796" w:rsidRPr="005151C3">
        <w:rPr>
          <w:rFonts w:ascii="Times New Roman" w:hAnsi="Times New Roman"/>
          <w:bCs/>
          <w:sz w:val="22"/>
          <w:szCs w:val="22"/>
        </w:rPr>
        <w:t xml:space="preserve">. </w:t>
      </w:r>
      <w:r w:rsidR="00890B1C">
        <w:rPr>
          <w:rFonts w:ascii="Times New Roman" w:hAnsi="Times New Roman"/>
          <w:bCs/>
          <w:sz w:val="22"/>
          <w:szCs w:val="22"/>
        </w:rPr>
        <w:t xml:space="preserve">In this case, the DL sub-band#2 at gNB1 may create intra sub-band interference to the UL sub-band#2 at gNB2. </w:t>
      </w:r>
    </w:p>
    <w:p w:rsidR="006B460C" w:rsidRPr="005151C3" w:rsidRDefault="006B460C" w:rsidP="006B460C">
      <w:pPr>
        <w:pStyle w:val="ListParagraph"/>
        <w:numPr>
          <w:ilvl w:val="0"/>
          <w:numId w:val="13"/>
        </w:numPr>
        <w:spacing w:after="200" w:line="276" w:lineRule="auto"/>
        <w:contextualSpacing/>
        <w:rPr>
          <w:rFonts w:ascii="Times New Roman" w:hAnsi="Times New Roman"/>
          <w:bCs/>
          <w:sz w:val="22"/>
          <w:szCs w:val="22"/>
        </w:rPr>
      </w:pPr>
      <w:r w:rsidRPr="005151C3">
        <w:rPr>
          <w:rFonts w:ascii="Times New Roman" w:hAnsi="Times New Roman"/>
          <w:bCs/>
          <w:sz w:val="22"/>
          <w:szCs w:val="22"/>
        </w:rPr>
        <w:t>Configuration of diffe</w:t>
      </w:r>
      <w:r w:rsidR="008146EA">
        <w:rPr>
          <w:rFonts w:ascii="Times New Roman" w:hAnsi="Times New Roman"/>
          <w:bCs/>
          <w:sz w:val="22"/>
          <w:szCs w:val="22"/>
        </w:rPr>
        <w:t xml:space="preserve">rent numbers of sub-bands between </w:t>
      </w:r>
      <w:r w:rsidR="005151C3" w:rsidRPr="005151C3">
        <w:rPr>
          <w:rFonts w:ascii="Times New Roman" w:hAnsi="Times New Roman"/>
          <w:bCs/>
          <w:sz w:val="22"/>
          <w:szCs w:val="22"/>
        </w:rPr>
        <w:t>neighbor</w:t>
      </w:r>
      <w:r w:rsidRPr="005151C3">
        <w:rPr>
          <w:rFonts w:ascii="Times New Roman" w:hAnsi="Times New Roman"/>
          <w:bCs/>
          <w:sz w:val="22"/>
          <w:szCs w:val="22"/>
        </w:rPr>
        <w:t xml:space="preserve"> gNBs</w:t>
      </w:r>
      <w:r w:rsidR="00890B1C">
        <w:rPr>
          <w:rFonts w:ascii="Times New Roman" w:hAnsi="Times New Roman"/>
          <w:bCs/>
          <w:sz w:val="22"/>
          <w:szCs w:val="22"/>
        </w:rPr>
        <w:t xml:space="preserve"> as shown in Figure 7b</w:t>
      </w:r>
      <w:r w:rsidR="00432796" w:rsidRPr="005151C3">
        <w:rPr>
          <w:rFonts w:ascii="Times New Roman" w:hAnsi="Times New Roman"/>
          <w:bCs/>
          <w:sz w:val="22"/>
          <w:szCs w:val="22"/>
        </w:rPr>
        <w:t>.</w:t>
      </w:r>
      <w:r w:rsidR="00890B1C">
        <w:rPr>
          <w:rFonts w:ascii="Times New Roman" w:hAnsi="Times New Roman"/>
          <w:bCs/>
          <w:sz w:val="22"/>
          <w:szCs w:val="22"/>
        </w:rPr>
        <w:t>In this case</w:t>
      </w:r>
      <w:r w:rsidR="00705F2D">
        <w:rPr>
          <w:rFonts w:ascii="Times New Roman" w:hAnsi="Times New Roman"/>
          <w:bCs/>
          <w:sz w:val="22"/>
          <w:szCs w:val="22"/>
        </w:rPr>
        <w:t xml:space="preserve">, </w:t>
      </w:r>
      <w:r w:rsidR="00890B1C">
        <w:rPr>
          <w:rFonts w:ascii="Times New Roman" w:hAnsi="Times New Roman"/>
          <w:bCs/>
          <w:sz w:val="22"/>
          <w:szCs w:val="22"/>
        </w:rPr>
        <w:t xml:space="preserve">a similar set of RBs of DL sub-band#2 at gNB1 may create intra sub-band interference to the </w:t>
      </w:r>
      <w:r w:rsidR="008146EA">
        <w:rPr>
          <w:rFonts w:ascii="Times New Roman" w:hAnsi="Times New Roman"/>
          <w:bCs/>
          <w:sz w:val="22"/>
          <w:szCs w:val="22"/>
        </w:rPr>
        <w:t>similar set</w:t>
      </w:r>
      <w:r w:rsidR="00326194">
        <w:rPr>
          <w:rFonts w:ascii="Times New Roman" w:hAnsi="Times New Roman"/>
          <w:bCs/>
          <w:sz w:val="22"/>
          <w:szCs w:val="22"/>
        </w:rPr>
        <w:t xml:space="preserve"> of RBs of UL sub-band#1 at gNB2</w:t>
      </w:r>
      <w:r w:rsidR="008146EA">
        <w:rPr>
          <w:rFonts w:ascii="Times New Roman" w:hAnsi="Times New Roman"/>
          <w:bCs/>
          <w:sz w:val="22"/>
          <w:szCs w:val="22"/>
        </w:rPr>
        <w:t xml:space="preserve">. </w:t>
      </w:r>
    </w:p>
    <w:p w:rsidR="006B460C" w:rsidRDefault="002B1981" w:rsidP="002B1981">
      <w:pPr>
        <w:keepNext/>
        <w:jc w:val="left"/>
      </w:pPr>
      <w:r>
        <w:object w:dxaOrig="4240" w:dyaOrig="2020">
          <v:shape id="_x0000_i1027" type="#_x0000_t75" style="width:204.5pt;height:97.5pt" o:ole="">
            <v:imagedata r:id="rId14" o:title=""/>
          </v:shape>
          <o:OLEObject Type="Embed" ProgID="Visio.Drawing.15" ShapeID="_x0000_i1027" DrawAspect="Content" ObjectID="_1729346542" r:id="rId15"/>
        </w:object>
      </w:r>
      <w:r w:rsidR="00165B87">
        <w:object w:dxaOrig="4340" w:dyaOrig="1730">
          <v:shape id="_x0000_i1028" type="#_x0000_t75" style="width:255pt;height:102.5pt" o:ole="">
            <v:imagedata r:id="rId16" o:title=""/>
          </v:shape>
          <o:OLEObject Type="Embed" ProgID="Visio.Drawing.15" ShapeID="_x0000_i1028" DrawAspect="Content" ObjectID="_1729346543" r:id="rId17"/>
        </w:object>
      </w:r>
    </w:p>
    <w:p w:rsidR="006B460C" w:rsidRDefault="006B460C" w:rsidP="005151C3">
      <w:pPr>
        <w:pStyle w:val="Caption"/>
        <w:jc w:val="left"/>
      </w:pPr>
      <w:r>
        <w:t xml:space="preserve">Figure </w:t>
      </w:r>
      <w:r w:rsidR="00D23685">
        <w:fldChar w:fldCharType="begin"/>
      </w:r>
      <w:r w:rsidR="00D23685">
        <w:instrText xml:space="preserve"> SEQ Figure \* ARABIC </w:instrText>
      </w:r>
      <w:r w:rsidR="00D23685">
        <w:fldChar w:fldCharType="separate"/>
      </w:r>
      <w:r w:rsidR="0083389B">
        <w:rPr>
          <w:noProof/>
        </w:rPr>
        <w:t>3</w:t>
      </w:r>
      <w:r w:rsidR="00D23685">
        <w:rPr>
          <w:noProof/>
        </w:rPr>
        <w:fldChar w:fldCharType="end"/>
      </w:r>
      <w:r w:rsidR="00E82104">
        <w:t>a</w:t>
      </w:r>
      <w:r>
        <w:t xml:space="preserve"> different bandwidth</w:t>
      </w:r>
      <w:r w:rsidR="005151C3">
        <w:t xml:space="preserve"> scenario                                            </w:t>
      </w:r>
      <w:r>
        <w:t xml:space="preserve">Figure </w:t>
      </w:r>
      <w:r w:rsidR="00705F2D">
        <w:t>6b</w:t>
      </w:r>
      <w:r>
        <w:t xml:space="preserve"> dissimilar sub-band</w:t>
      </w:r>
      <w:r w:rsidR="005151C3">
        <w:t xml:space="preserve">s scenario </w:t>
      </w:r>
    </w:p>
    <w:p w:rsidR="006B460C" w:rsidRPr="00537B71" w:rsidRDefault="006B460C" w:rsidP="006B460C">
      <w:pPr>
        <w:rPr>
          <w:b/>
        </w:rPr>
      </w:pPr>
    </w:p>
    <w:p w:rsidR="006B460C" w:rsidRDefault="00C7235E" w:rsidP="00165B87">
      <w:pPr>
        <w:keepNext/>
        <w:jc w:val="left"/>
      </w:pPr>
      <w:r>
        <w:object w:dxaOrig="4440" w:dyaOrig="1810">
          <v:shape id="_x0000_i1029" type="#_x0000_t75" style="width:3in;height:87pt" o:ole="">
            <v:imagedata r:id="rId18" o:title=""/>
          </v:shape>
          <o:OLEObject Type="Embed" ProgID="Visio.Drawing.15" ShapeID="_x0000_i1029" DrawAspect="Content" ObjectID="_1729346544" r:id="rId19"/>
        </w:object>
      </w:r>
      <w:r w:rsidR="00432796">
        <w:object w:dxaOrig="4530" w:dyaOrig="1710">
          <v:shape id="_x0000_i1030" type="#_x0000_t75" style="width:244.5pt;height:92pt" o:ole="">
            <v:imagedata r:id="rId20" o:title=""/>
          </v:shape>
          <o:OLEObject Type="Embed" ProgID="Visio.Drawing.15" ShapeID="_x0000_i1030" DrawAspect="Content" ObjectID="_1729346545" r:id="rId21"/>
        </w:object>
      </w:r>
    </w:p>
    <w:p w:rsidR="006B460C" w:rsidRDefault="006B460C" w:rsidP="005151C3">
      <w:pPr>
        <w:pStyle w:val="Caption"/>
        <w:jc w:val="left"/>
      </w:pPr>
      <w:r>
        <w:t xml:space="preserve">Figure </w:t>
      </w:r>
      <w:r w:rsidR="00705F2D">
        <w:t>7a</w:t>
      </w:r>
      <w:r>
        <w:t xml:space="preserve"> different </w:t>
      </w:r>
      <w:r w:rsidRPr="00E52BA3">
        <w:t>sub-band</w:t>
      </w:r>
      <w:r>
        <w:t>s allocation</w:t>
      </w:r>
      <w:r w:rsidR="005151C3">
        <w:t xml:space="preserve"> scenario            </w:t>
      </w:r>
      <w:r>
        <w:t xml:space="preserve">Figure </w:t>
      </w:r>
      <w:r w:rsidR="00705F2D">
        <w:t>7b</w:t>
      </w:r>
      <w:r>
        <w:t xml:space="preserve"> </w:t>
      </w:r>
      <w:r w:rsidR="005151C3">
        <w:t xml:space="preserve">different </w:t>
      </w:r>
      <w:r w:rsidRPr="00C82F98">
        <w:t>sub-band</w:t>
      </w:r>
      <w:r w:rsidR="005151C3">
        <w:t>s</w:t>
      </w:r>
      <w:r w:rsidRPr="00C82F98">
        <w:t xml:space="preserve"> </w:t>
      </w:r>
      <w:r w:rsidR="005151C3">
        <w:t>number scenario</w:t>
      </w:r>
    </w:p>
    <w:p w:rsidR="008146EA" w:rsidRDefault="00A73C7E" w:rsidP="006B460C">
      <w:r>
        <w:t>In the same way</w:t>
      </w:r>
      <w:r w:rsidR="008146EA">
        <w:t xml:space="preserve">, the aforementioned scenarios may also create UE to UE co-channel intra sub-band interference. </w:t>
      </w:r>
    </w:p>
    <w:p w:rsidR="008146EA" w:rsidRDefault="008146EA" w:rsidP="008146EA">
      <w:r>
        <w:t>In our view,</w:t>
      </w:r>
      <w:r w:rsidR="004E2BCA">
        <w:t xml:space="preserve"> the</w:t>
      </w:r>
      <w:r>
        <w:t xml:space="preserve"> gNB to gNB and UE to UE co-channel intra sub-band interference can be avoided</w:t>
      </w:r>
      <w:r w:rsidR="004E2BCA">
        <w:t xml:space="preserve">. For this purpose, </w:t>
      </w:r>
      <w:r>
        <w:t xml:space="preserve">the </w:t>
      </w:r>
      <w:r w:rsidR="004E2BCA">
        <w:t>neighbor</w:t>
      </w:r>
      <w:r>
        <w:t xml:space="preserve"> gNBs</w:t>
      </w:r>
      <w:r w:rsidR="00974E52">
        <w:t xml:space="preserve"> may need to</w:t>
      </w:r>
      <w:r>
        <w:t xml:space="preserve"> exchange </w:t>
      </w:r>
      <w:r w:rsidR="004E2BCA" w:rsidRPr="00CE1893">
        <w:t>SBFD assistanc</w:t>
      </w:r>
      <w:r w:rsidR="004E2BCA">
        <w:t>e information among each other, such as</w:t>
      </w:r>
      <w:r w:rsidR="004E2BCA" w:rsidRPr="00CE1893">
        <w:t xml:space="preserve"> the bandwidth of sub-band,</w:t>
      </w:r>
      <w:r w:rsidR="004E2BCA">
        <w:t xml:space="preserve"> the</w:t>
      </w:r>
      <w:r w:rsidR="004E2BCA" w:rsidRPr="00CE1893">
        <w:t xml:space="preserve"> number of</w:t>
      </w:r>
      <w:r w:rsidR="004E2BCA">
        <w:t xml:space="preserve"> configured</w:t>
      </w:r>
      <w:r w:rsidR="004E2BCA" w:rsidRPr="00CE1893">
        <w:t xml:space="preserve"> sub-bands, </w:t>
      </w:r>
      <w:r w:rsidR="004E2BCA">
        <w:t xml:space="preserve">the </w:t>
      </w:r>
      <w:r w:rsidR="004E2BCA" w:rsidRPr="00CE1893">
        <w:t>allocation of sub-band to UL/DL transmission etc. Based on</w:t>
      </w:r>
      <w:r w:rsidR="004E2BCA">
        <w:t xml:space="preserve"> the information exchange, the neighbor gNBs can adopt the </w:t>
      </w:r>
      <w:r w:rsidR="00974E52">
        <w:t xml:space="preserve">following </w:t>
      </w:r>
      <w:r w:rsidR="004E2BCA">
        <w:t>solutions points to avoid the intra sub-band interference.</w:t>
      </w:r>
    </w:p>
    <w:p w:rsidR="006B460C" w:rsidRPr="004E2BCA" w:rsidRDefault="006B460C" w:rsidP="008146EA">
      <w:pPr>
        <w:pStyle w:val="ListParagraph"/>
        <w:numPr>
          <w:ilvl w:val="0"/>
          <w:numId w:val="12"/>
        </w:numPr>
        <w:spacing w:after="200" w:line="276" w:lineRule="auto"/>
        <w:contextualSpacing/>
        <w:rPr>
          <w:rFonts w:ascii="Times New Roman" w:hAnsi="Times New Roman"/>
          <w:sz w:val="22"/>
          <w:szCs w:val="22"/>
        </w:rPr>
      </w:pPr>
      <w:r w:rsidRPr="004E2BCA">
        <w:rPr>
          <w:rFonts w:ascii="Times New Roman" w:hAnsi="Times New Roman"/>
          <w:sz w:val="22"/>
          <w:szCs w:val="22"/>
        </w:rPr>
        <w:t xml:space="preserve">Keep the same bandwidth of UL to UL and DL to DL sub-bands among the </w:t>
      </w:r>
      <w:r w:rsidR="00705F2D" w:rsidRPr="004E2BCA">
        <w:rPr>
          <w:rFonts w:ascii="Times New Roman" w:hAnsi="Times New Roman"/>
          <w:sz w:val="22"/>
          <w:szCs w:val="22"/>
        </w:rPr>
        <w:t>neighbor</w:t>
      </w:r>
      <w:r w:rsidRPr="004E2BCA">
        <w:rPr>
          <w:rFonts w:ascii="Times New Roman" w:hAnsi="Times New Roman"/>
          <w:sz w:val="22"/>
          <w:szCs w:val="22"/>
        </w:rPr>
        <w:t xml:space="preserve"> gNBs</w:t>
      </w:r>
    </w:p>
    <w:p w:rsidR="006B460C" w:rsidRPr="004E2BCA" w:rsidRDefault="006B460C" w:rsidP="006B460C">
      <w:pPr>
        <w:pStyle w:val="ListParagraph"/>
        <w:numPr>
          <w:ilvl w:val="0"/>
          <w:numId w:val="12"/>
        </w:numPr>
        <w:spacing w:after="200" w:line="276" w:lineRule="auto"/>
        <w:contextualSpacing/>
        <w:rPr>
          <w:rFonts w:ascii="Times New Roman" w:hAnsi="Times New Roman"/>
          <w:sz w:val="22"/>
          <w:szCs w:val="22"/>
        </w:rPr>
      </w:pPr>
      <w:r w:rsidRPr="004E2BCA">
        <w:rPr>
          <w:rFonts w:ascii="Times New Roman" w:hAnsi="Times New Roman"/>
          <w:sz w:val="22"/>
          <w:szCs w:val="22"/>
        </w:rPr>
        <w:t xml:space="preserve">Assign alike sub-bands to UL and DL transmission among the </w:t>
      </w:r>
      <w:r w:rsidR="00705F2D" w:rsidRPr="004E2BCA">
        <w:rPr>
          <w:rFonts w:ascii="Times New Roman" w:hAnsi="Times New Roman"/>
          <w:sz w:val="22"/>
          <w:szCs w:val="22"/>
        </w:rPr>
        <w:t>neighbor</w:t>
      </w:r>
      <w:r w:rsidRPr="004E2BCA">
        <w:rPr>
          <w:rFonts w:ascii="Times New Roman" w:hAnsi="Times New Roman"/>
          <w:sz w:val="22"/>
          <w:szCs w:val="22"/>
        </w:rPr>
        <w:t xml:space="preserve"> gNBs </w:t>
      </w:r>
    </w:p>
    <w:p w:rsidR="006B460C" w:rsidRPr="004E2BCA" w:rsidRDefault="006B460C" w:rsidP="006B460C">
      <w:pPr>
        <w:pStyle w:val="ListParagraph"/>
        <w:numPr>
          <w:ilvl w:val="0"/>
          <w:numId w:val="12"/>
        </w:numPr>
        <w:spacing w:after="200" w:line="276" w:lineRule="auto"/>
        <w:contextualSpacing/>
        <w:rPr>
          <w:rFonts w:ascii="Times New Roman" w:hAnsi="Times New Roman"/>
          <w:sz w:val="22"/>
          <w:szCs w:val="22"/>
        </w:rPr>
      </w:pPr>
      <w:r w:rsidRPr="004E2BCA">
        <w:rPr>
          <w:rFonts w:ascii="Times New Roman" w:hAnsi="Times New Roman"/>
          <w:sz w:val="22"/>
          <w:szCs w:val="22"/>
        </w:rPr>
        <w:t xml:space="preserve">Allocate similar quantity of sub-bands to DL and UL transmission among the </w:t>
      </w:r>
      <w:r w:rsidR="00705F2D" w:rsidRPr="004E2BCA">
        <w:rPr>
          <w:rFonts w:ascii="Times New Roman" w:hAnsi="Times New Roman"/>
          <w:sz w:val="22"/>
          <w:szCs w:val="22"/>
        </w:rPr>
        <w:t>neighbor</w:t>
      </w:r>
      <w:r w:rsidRPr="004E2BCA">
        <w:rPr>
          <w:rFonts w:ascii="Times New Roman" w:hAnsi="Times New Roman"/>
          <w:sz w:val="22"/>
          <w:szCs w:val="22"/>
        </w:rPr>
        <w:t xml:space="preserve"> gNBs </w:t>
      </w:r>
    </w:p>
    <w:p w:rsidR="006B460C" w:rsidRDefault="006B460C" w:rsidP="006B460C">
      <w:pPr>
        <w:pStyle w:val="ListParagraph"/>
        <w:numPr>
          <w:ilvl w:val="0"/>
          <w:numId w:val="12"/>
        </w:numPr>
        <w:spacing w:after="200" w:line="276" w:lineRule="auto"/>
        <w:contextualSpacing/>
        <w:rPr>
          <w:rFonts w:ascii="Times New Roman" w:hAnsi="Times New Roman"/>
          <w:sz w:val="22"/>
          <w:szCs w:val="22"/>
        </w:rPr>
      </w:pPr>
      <w:r w:rsidRPr="004E2BCA">
        <w:rPr>
          <w:rFonts w:ascii="Times New Roman" w:hAnsi="Times New Roman"/>
          <w:sz w:val="22"/>
          <w:szCs w:val="22"/>
        </w:rPr>
        <w:t xml:space="preserve">Configure similar numbers of sub-bands among the </w:t>
      </w:r>
      <w:r w:rsidR="00705F2D" w:rsidRPr="004E2BCA">
        <w:rPr>
          <w:rFonts w:ascii="Times New Roman" w:hAnsi="Times New Roman"/>
          <w:sz w:val="22"/>
          <w:szCs w:val="22"/>
        </w:rPr>
        <w:t>neighbor</w:t>
      </w:r>
      <w:r w:rsidRPr="004E2BCA">
        <w:rPr>
          <w:rFonts w:ascii="Times New Roman" w:hAnsi="Times New Roman"/>
          <w:sz w:val="22"/>
          <w:szCs w:val="22"/>
        </w:rPr>
        <w:t xml:space="preserve"> gNBs </w:t>
      </w:r>
    </w:p>
    <w:p w:rsidR="00491861" w:rsidRPr="00491861" w:rsidRDefault="00491861" w:rsidP="00491861">
      <w:pPr>
        <w:spacing w:after="200" w:line="276" w:lineRule="auto"/>
        <w:ind w:left="360"/>
        <w:contextualSpacing/>
      </w:pPr>
    </w:p>
    <w:p w:rsidR="006B460C" w:rsidRPr="004E2BCA" w:rsidRDefault="004E2BCA" w:rsidP="006B460C">
      <w:pPr>
        <w:rPr>
          <w:b/>
          <w:i/>
        </w:rPr>
      </w:pPr>
      <w:r w:rsidRPr="004E2BCA">
        <w:rPr>
          <w:b/>
          <w:i/>
        </w:rPr>
        <w:t>Observation</w:t>
      </w:r>
      <w:r w:rsidR="00F120B1">
        <w:rPr>
          <w:b/>
          <w:i/>
        </w:rPr>
        <w:t xml:space="preserve"> 6</w:t>
      </w:r>
      <w:r w:rsidRPr="004E2BCA">
        <w:rPr>
          <w:b/>
          <w:i/>
        </w:rPr>
        <w:t xml:space="preserve">: </w:t>
      </w:r>
      <w:r w:rsidR="00B70197">
        <w:rPr>
          <w:b/>
          <w:i/>
        </w:rPr>
        <w:t>The following scenarios may create gNB to gNB and UE to UE c</w:t>
      </w:r>
      <w:r w:rsidRPr="004E2BCA">
        <w:rPr>
          <w:b/>
          <w:i/>
        </w:rPr>
        <w:t>o-chan</w:t>
      </w:r>
      <w:r w:rsidR="00B70197">
        <w:rPr>
          <w:b/>
          <w:i/>
        </w:rPr>
        <w:t>nel intra sub-band interference;</w:t>
      </w:r>
    </w:p>
    <w:p w:rsidR="004E2BCA" w:rsidRPr="004E2BCA" w:rsidRDefault="004E2BCA" w:rsidP="004E2BCA">
      <w:pPr>
        <w:pStyle w:val="ListParagraph"/>
        <w:numPr>
          <w:ilvl w:val="0"/>
          <w:numId w:val="17"/>
        </w:numPr>
        <w:rPr>
          <w:rFonts w:ascii="Times New Roman" w:hAnsi="Times New Roman"/>
          <w:b/>
          <w:bCs/>
          <w:i/>
          <w:sz w:val="22"/>
          <w:szCs w:val="22"/>
        </w:rPr>
      </w:pPr>
      <w:r w:rsidRPr="004E2BCA">
        <w:rPr>
          <w:rFonts w:ascii="Times New Roman" w:hAnsi="Times New Roman"/>
          <w:b/>
          <w:bCs/>
          <w:i/>
          <w:sz w:val="22"/>
          <w:szCs w:val="22"/>
        </w:rPr>
        <w:t xml:space="preserve">Allocating different bandwidth to the UL to UL and DL to DL sub-bands among </w:t>
      </w:r>
      <w:r w:rsidR="009117DC" w:rsidRPr="004E2BCA">
        <w:rPr>
          <w:rFonts w:ascii="Times New Roman" w:hAnsi="Times New Roman"/>
          <w:b/>
          <w:bCs/>
          <w:i/>
          <w:sz w:val="22"/>
          <w:szCs w:val="22"/>
        </w:rPr>
        <w:t>nei</w:t>
      </w:r>
      <w:r w:rsidR="009117DC">
        <w:rPr>
          <w:rFonts w:ascii="Times New Roman" w:hAnsi="Times New Roman"/>
          <w:b/>
          <w:bCs/>
          <w:i/>
          <w:sz w:val="22"/>
          <w:szCs w:val="22"/>
        </w:rPr>
        <w:t>ghbor</w:t>
      </w:r>
      <w:r w:rsidRPr="004E2BCA">
        <w:rPr>
          <w:rFonts w:ascii="Times New Roman" w:hAnsi="Times New Roman"/>
          <w:b/>
          <w:bCs/>
          <w:i/>
          <w:sz w:val="22"/>
          <w:szCs w:val="22"/>
        </w:rPr>
        <w:t xml:space="preserve"> gNBs </w:t>
      </w:r>
    </w:p>
    <w:p w:rsidR="004E2BCA" w:rsidRPr="004E2BCA" w:rsidRDefault="004E2BCA" w:rsidP="004E2BCA">
      <w:pPr>
        <w:pStyle w:val="ListParagraph"/>
        <w:numPr>
          <w:ilvl w:val="0"/>
          <w:numId w:val="17"/>
        </w:numPr>
        <w:rPr>
          <w:b/>
          <w:i/>
        </w:rPr>
      </w:pPr>
      <w:r w:rsidRPr="004E2BCA">
        <w:rPr>
          <w:rFonts w:ascii="Times New Roman" w:hAnsi="Times New Roman"/>
          <w:b/>
          <w:bCs/>
          <w:i/>
          <w:sz w:val="22"/>
          <w:szCs w:val="22"/>
        </w:rPr>
        <w:t>Allocation of dissimilar sub-bands to UL and DL transmission between neighbor gNBs</w:t>
      </w:r>
    </w:p>
    <w:p w:rsidR="004E2BCA" w:rsidRPr="004E2BCA" w:rsidRDefault="004E2BCA" w:rsidP="004E2BCA">
      <w:pPr>
        <w:pStyle w:val="ListParagraph"/>
        <w:numPr>
          <w:ilvl w:val="0"/>
          <w:numId w:val="17"/>
        </w:numPr>
        <w:rPr>
          <w:b/>
          <w:i/>
        </w:rPr>
      </w:pPr>
      <w:r w:rsidRPr="004E2BCA">
        <w:rPr>
          <w:rFonts w:ascii="Times New Roman" w:hAnsi="Times New Roman"/>
          <w:b/>
          <w:bCs/>
          <w:i/>
          <w:sz w:val="22"/>
          <w:szCs w:val="22"/>
        </w:rPr>
        <w:t>Allocation of dissimilar quantity of sub-bands to UL and DL transmission between neighbor</w:t>
      </w:r>
    </w:p>
    <w:p w:rsidR="004E2BCA" w:rsidRPr="004E2BCA" w:rsidRDefault="004E2BCA" w:rsidP="004E2BCA">
      <w:pPr>
        <w:pStyle w:val="ListParagraph"/>
        <w:numPr>
          <w:ilvl w:val="0"/>
          <w:numId w:val="17"/>
        </w:numPr>
        <w:rPr>
          <w:b/>
          <w:i/>
        </w:rPr>
      </w:pPr>
      <w:r w:rsidRPr="004E2BCA">
        <w:rPr>
          <w:rFonts w:ascii="Times New Roman" w:hAnsi="Times New Roman"/>
          <w:b/>
          <w:bCs/>
          <w:i/>
          <w:sz w:val="22"/>
          <w:szCs w:val="22"/>
        </w:rPr>
        <w:t>Configuration of different numbers of sub-bands between neighbor gNBs</w:t>
      </w:r>
    </w:p>
    <w:p w:rsidR="006B460C" w:rsidRDefault="006B460C" w:rsidP="006B460C"/>
    <w:p w:rsidR="00491861" w:rsidRPr="00491861" w:rsidRDefault="00843507" w:rsidP="006B460C">
      <w:pPr>
        <w:rPr>
          <w:b/>
        </w:rPr>
      </w:pPr>
      <w:r>
        <w:rPr>
          <w:b/>
        </w:rPr>
        <w:t>Proposal 6</w:t>
      </w:r>
      <w:r w:rsidR="00FF1BD8" w:rsidRPr="00491861">
        <w:rPr>
          <w:b/>
        </w:rPr>
        <w:t>: To avoid the intra sub-band interference</w:t>
      </w:r>
      <w:r w:rsidR="00491861" w:rsidRPr="00491861">
        <w:rPr>
          <w:b/>
        </w:rPr>
        <w:t xml:space="preserve"> in SBFD operation</w:t>
      </w:r>
      <w:r w:rsidR="00FF1BD8" w:rsidRPr="00491861">
        <w:rPr>
          <w:b/>
        </w:rPr>
        <w:t xml:space="preserve"> the </w:t>
      </w:r>
      <w:r w:rsidR="00BF78F9" w:rsidRPr="00491861">
        <w:rPr>
          <w:b/>
        </w:rPr>
        <w:t>neighbor’s</w:t>
      </w:r>
      <w:r w:rsidR="00FF1BD8" w:rsidRPr="00491861">
        <w:rPr>
          <w:b/>
        </w:rPr>
        <w:t xml:space="preserve"> gNB shall</w:t>
      </w:r>
      <w:r w:rsidR="00491861" w:rsidRPr="00491861">
        <w:rPr>
          <w:b/>
        </w:rPr>
        <w:t>:</w:t>
      </w:r>
    </w:p>
    <w:p w:rsidR="00491861" w:rsidRPr="00491861" w:rsidRDefault="00491861" w:rsidP="00491861">
      <w:pPr>
        <w:pStyle w:val="ListParagraph"/>
        <w:numPr>
          <w:ilvl w:val="0"/>
          <w:numId w:val="25"/>
        </w:numPr>
        <w:spacing w:after="200" w:line="276" w:lineRule="auto"/>
        <w:contextualSpacing/>
        <w:rPr>
          <w:rFonts w:ascii="Times New Roman" w:hAnsi="Times New Roman"/>
          <w:b/>
          <w:sz w:val="22"/>
          <w:szCs w:val="22"/>
        </w:rPr>
      </w:pPr>
      <w:r w:rsidRPr="00491861">
        <w:rPr>
          <w:rFonts w:ascii="Times New Roman" w:hAnsi="Times New Roman"/>
          <w:b/>
          <w:sz w:val="22"/>
          <w:szCs w:val="22"/>
        </w:rPr>
        <w:t>Keep the same bandwidth of UL to UL and DL to DL sub-bands among the neighbor gNBs</w:t>
      </w:r>
    </w:p>
    <w:p w:rsidR="00491861" w:rsidRPr="00491861" w:rsidRDefault="00491861" w:rsidP="00491861">
      <w:pPr>
        <w:pStyle w:val="ListParagraph"/>
        <w:numPr>
          <w:ilvl w:val="0"/>
          <w:numId w:val="25"/>
        </w:numPr>
        <w:spacing w:after="200" w:line="276" w:lineRule="auto"/>
        <w:contextualSpacing/>
        <w:rPr>
          <w:rFonts w:ascii="Times New Roman" w:hAnsi="Times New Roman"/>
          <w:b/>
          <w:sz w:val="22"/>
          <w:szCs w:val="22"/>
        </w:rPr>
      </w:pPr>
      <w:r w:rsidRPr="00491861">
        <w:rPr>
          <w:rFonts w:ascii="Times New Roman" w:hAnsi="Times New Roman"/>
          <w:b/>
          <w:sz w:val="22"/>
          <w:szCs w:val="22"/>
        </w:rPr>
        <w:t xml:space="preserve">Assign alike sub-bands to UL and DL transmission among the neighbor gNBs </w:t>
      </w:r>
    </w:p>
    <w:p w:rsidR="00491861" w:rsidRPr="00491861" w:rsidRDefault="00491861" w:rsidP="00491861">
      <w:pPr>
        <w:pStyle w:val="ListParagraph"/>
        <w:numPr>
          <w:ilvl w:val="0"/>
          <w:numId w:val="25"/>
        </w:numPr>
        <w:spacing w:after="200" w:line="276" w:lineRule="auto"/>
        <w:contextualSpacing/>
        <w:rPr>
          <w:rFonts w:ascii="Times New Roman" w:hAnsi="Times New Roman"/>
          <w:b/>
          <w:sz w:val="22"/>
          <w:szCs w:val="22"/>
        </w:rPr>
      </w:pPr>
      <w:r w:rsidRPr="00491861">
        <w:rPr>
          <w:rFonts w:ascii="Times New Roman" w:hAnsi="Times New Roman"/>
          <w:b/>
          <w:sz w:val="22"/>
          <w:szCs w:val="22"/>
        </w:rPr>
        <w:t xml:space="preserve">Allocate similar quantity of sub-bands to DL and UL transmission among the neighbor gNBs </w:t>
      </w:r>
    </w:p>
    <w:p w:rsidR="00FF425C" w:rsidRPr="00763B00" w:rsidRDefault="00491861" w:rsidP="00763B00">
      <w:pPr>
        <w:pStyle w:val="ListParagraph"/>
        <w:numPr>
          <w:ilvl w:val="0"/>
          <w:numId w:val="25"/>
        </w:numPr>
        <w:spacing w:after="200" w:line="276" w:lineRule="auto"/>
        <w:contextualSpacing/>
        <w:rPr>
          <w:rFonts w:ascii="Times New Roman" w:hAnsi="Times New Roman"/>
          <w:b/>
          <w:sz w:val="22"/>
          <w:szCs w:val="22"/>
        </w:rPr>
      </w:pPr>
      <w:r w:rsidRPr="00491861">
        <w:rPr>
          <w:rFonts w:ascii="Times New Roman" w:hAnsi="Times New Roman"/>
          <w:b/>
          <w:sz w:val="22"/>
          <w:szCs w:val="22"/>
        </w:rPr>
        <w:t xml:space="preserve">Configure similar numbers of sub-bands among the neighbor gNBs </w:t>
      </w:r>
    </w:p>
    <w:p w:rsidR="00FF425C" w:rsidRDefault="00FF425C">
      <w:pPr>
        <w:rPr>
          <w:lang w:val="fi-FI" w:eastAsia="zh-CN"/>
        </w:rPr>
      </w:pPr>
    </w:p>
    <w:p w:rsidR="00FF425C" w:rsidRDefault="00F3458E">
      <w:pPr>
        <w:pStyle w:val="Heading1"/>
      </w:pPr>
      <w:r>
        <w:t>Conclusion</w:t>
      </w:r>
    </w:p>
    <w:p w:rsidR="00FF425C" w:rsidRPr="00072F51" w:rsidRDefault="00F3458E">
      <w:pPr>
        <w:rPr>
          <w:i/>
          <w:lang w:eastAsia="zh-CN"/>
        </w:rPr>
      </w:pPr>
      <w:r>
        <w:t xml:space="preserve">In this contribution we discussed </w:t>
      </w:r>
      <w:r w:rsidR="00B70197">
        <w:rPr>
          <w:lang w:eastAsia="ko-KR"/>
        </w:rPr>
        <w:t>the</w:t>
      </w:r>
      <w:r w:rsidR="00F120B1">
        <w:rPr>
          <w:lang w:eastAsia="ko-KR"/>
        </w:rPr>
        <w:t xml:space="preserve"> semi static an</w:t>
      </w:r>
      <w:r w:rsidR="00072F51">
        <w:rPr>
          <w:lang w:eastAsia="ko-KR"/>
        </w:rPr>
        <w:t>d dynamin indication of time/</w:t>
      </w:r>
      <w:r w:rsidR="00F120B1">
        <w:rPr>
          <w:lang w:eastAsia="ko-KR"/>
        </w:rPr>
        <w:t>frequency location</w:t>
      </w:r>
      <w:r w:rsidR="00072F51">
        <w:rPr>
          <w:lang w:eastAsia="ko-KR"/>
        </w:rPr>
        <w:t>s</w:t>
      </w:r>
      <w:r w:rsidR="00F120B1">
        <w:rPr>
          <w:lang w:eastAsia="ko-KR"/>
        </w:rPr>
        <w:t xml:space="preserve"> of DL and UL subbands</w:t>
      </w:r>
      <w:r w:rsidR="00CA2993">
        <w:rPr>
          <w:lang w:eastAsia="ko-KR"/>
        </w:rPr>
        <w:t xml:space="preserve">, </w:t>
      </w:r>
      <w:r w:rsidR="00072F51">
        <w:rPr>
          <w:lang w:eastAsia="ko-KR"/>
        </w:rPr>
        <w:t xml:space="preserve">and </w:t>
      </w:r>
      <w:r w:rsidR="006672CE" w:rsidRPr="009103C5">
        <w:rPr>
          <w:lang w:eastAsia="ko-KR"/>
        </w:rPr>
        <w:t>the interferen</w:t>
      </w:r>
      <w:r w:rsidR="006672CE">
        <w:rPr>
          <w:lang w:eastAsia="ko-KR"/>
        </w:rPr>
        <w:t>ce management in SBFD operation</w:t>
      </w:r>
      <w:r w:rsidRPr="00F30B9F">
        <w:rPr>
          <w:b/>
        </w:rPr>
        <w:t xml:space="preserve">, </w:t>
      </w:r>
      <w:r w:rsidRPr="00B70197">
        <w:t>and made the following observations and proposals.</w:t>
      </w:r>
    </w:p>
    <w:p w:rsidR="00072F51" w:rsidRDefault="00072F51" w:rsidP="00072F51">
      <w:pPr>
        <w:rPr>
          <w:b/>
          <w:i/>
        </w:rPr>
      </w:pPr>
      <w:r w:rsidRPr="002B0799">
        <w:rPr>
          <w:b/>
          <w:i/>
        </w:rPr>
        <w:t>Observation</w:t>
      </w:r>
      <w:r>
        <w:rPr>
          <w:b/>
          <w:i/>
        </w:rPr>
        <w:t xml:space="preserve"> 1</w:t>
      </w:r>
      <w:r w:rsidRPr="002B0799">
        <w:rPr>
          <w:b/>
          <w:i/>
        </w:rPr>
        <w:t xml:space="preserve">: </w:t>
      </w:r>
      <w:r>
        <w:rPr>
          <w:b/>
          <w:i/>
        </w:rPr>
        <w:t xml:space="preserve">An explicit indication of frequency location of other subbands types (DL Subbands), may let the UEs to implicitly determine the guard bands between the DL and UL subbands. </w:t>
      </w:r>
    </w:p>
    <w:p w:rsidR="00072F51" w:rsidRDefault="00072F51" w:rsidP="00072F51">
      <w:pPr>
        <w:rPr>
          <w:b/>
          <w:i/>
        </w:rPr>
      </w:pPr>
      <w:r>
        <w:rPr>
          <w:b/>
          <w:i/>
        </w:rPr>
        <w:t xml:space="preserve">Observation 2: Time window based solution to indicate x number of time slots/symbols to the UEs for SBFD operation and legacy TDD operation may provide assistance in interference management between SBFD operation and legacy TDD operation in the neighbor cells. </w:t>
      </w:r>
    </w:p>
    <w:p w:rsidR="00072F51" w:rsidRDefault="00072F51" w:rsidP="00072F51">
      <w:pPr>
        <w:rPr>
          <w:b/>
          <w:i/>
        </w:rPr>
      </w:pPr>
      <w:r>
        <w:rPr>
          <w:b/>
          <w:i/>
        </w:rPr>
        <w:t xml:space="preserve">Observation 3: Indication of time location of subbands to UE may requires an extension of TDD-UL-DL-ConfigCommon and TDD-UL-DL-ConfigDedicated to include an indication of the slots/symbols which is used for SBFD operation. </w:t>
      </w:r>
    </w:p>
    <w:p w:rsidR="00072F51" w:rsidRDefault="00072F51" w:rsidP="00072F51">
      <w:pPr>
        <w:rPr>
          <w:b/>
          <w:i/>
          <w:lang w:val="fi-FI"/>
        </w:rPr>
      </w:pPr>
      <w:r w:rsidRPr="00183A5C">
        <w:rPr>
          <w:b/>
          <w:i/>
          <w:lang w:val="fi-FI"/>
        </w:rPr>
        <w:t>Observation</w:t>
      </w:r>
      <w:r>
        <w:rPr>
          <w:b/>
          <w:i/>
          <w:lang w:val="fi-FI"/>
        </w:rPr>
        <w:t xml:space="preserve"> 4</w:t>
      </w:r>
      <w:r w:rsidRPr="00183A5C">
        <w:rPr>
          <w:b/>
          <w:i/>
          <w:lang w:val="fi-FI"/>
        </w:rPr>
        <w:t xml:space="preserve">: </w:t>
      </w:r>
      <w:r>
        <w:rPr>
          <w:b/>
          <w:i/>
          <w:lang w:val="fi-FI"/>
        </w:rPr>
        <w:t xml:space="preserve">Dynamic Indication of frequency location indication provides flexibility to adapt to the DL and UL traffic </w:t>
      </w:r>
      <w:r w:rsidR="000A70FA">
        <w:rPr>
          <w:b/>
          <w:i/>
          <w:lang w:val="fi-FI"/>
        </w:rPr>
        <w:t xml:space="preserve">and </w:t>
      </w:r>
      <w:r>
        <w:rPr>
          <w:b/>
          <w:i/>
          <w:lang w:val="fi-FI"/>
        </w:rPr>
        <w:t xml:space="preserve">to handle the DL and UL tranmission collision. </w:t>
      </w:r>
    </w:p>
    <w:p w:rsidR="00072F51" w:rsidRPr="00072F51" w:rsidRDefault="00072F51" w:rsidP="00072F51">
      <w:pPr>
        <w:spacing w:after="200" w:line="276" w:lineRule="auto"/>
        <w:contextualSpacing/>
        <w:rPr>
          <w:b/>
          <w:i/>
        </w:rPr>
      </w:pPr>
      <w:r>
        <w:rPr>
          <w:b/>
          <w:i/>
        </w:rPr>
        <w:t>Observation 5</w:t>
      </w:r>
      <w:r w:rsidRPr="00F120B1">
        <w:rPr>
          <w:b/>
          <w:i/>
        </w:rPr>
        <w:t xml:space="preserve">: The current SFI may requires an extension to include an indication for starting of slots/symbols and number of slots/symbols which is used for SBFD operation. </w:t>
      </w:r>
    </w:p>
    <w:p w:rsidR="00072F51" w:rsidRPr="004E2BCA" w:rsidRDefault="00072F51" w:rsidP="00072F51">
      <w:pPr>
        <w:rPr>
          <w:b/>
          <w:i/>
        </w:rPr>
      </w:pPr>
      <w:r w:rsidRPr="004E2BCA">
        <w:rPr>
          <w:b/>
          <w:i/>
        </w:rPr>
        <w:t>Observation</w:t>
      </w:r>
      <w:r>
        <w:rPr>
          <w:b/>
          <w:i/>
        </w:rPr>
        <w:t xml:space="preserve"> 6</w:t>
      </w:r>
      <w:r w:rsidRPr="004E2BCA">
        <w:rPr>
          <w:b/>
          <w:i/>
        </w:rPr>
        <w:t xml:space="preserve">: </w:t>
      </w:r>
      <w:r>
        <w:rPr>
          <w:b/>
          <w:i/>
        </w:rPr>
        <w:t>The following scenarios may create gNB to gNB and UE to UE c</w:t>
      </w:r>
      <w:r w:rsidRPr="004E2BCA">
        <w:rPr>
          <w:b/>
          <w:i/>
        </w:rPr>
        <w:t>o-chan</w:t>
      </w:r>
      <w:r>
        <w:rPr>
          <w:b/>
          <w:i/>
        </w:rPr>
        <w:t>nel intra sub-band interference;</w:t>
      </w:r>
    </w:p>
    <w:p w:rsidR="00072F51" w:rsidRPr="004E2BCA" w:rsidRDefault="00072F51" w:rsidP="00072F51">
      <w:pPr>
        <w:pStyle w:val="ListParagraph"/>
        <w:numPr>
          <w:ilvl w:val="0"/>
          <w:numId w:val="17"/>
        </w:numPr>
        <w:rPr>
          <w:rFonts w:ascii="Times New Roman" w:hAnsi="Times New Roman"/>
          <w:b/>
          <w:bCs/>
          <w:i/>
          <w:sz w:val="22"/>
          <w:szCs w:val="22"/>
        </w:rPr>
      </w:pPr>
      <w:r w:rsidRPr="004E2BCA">
        <w:rPr>
          <w:rFonts w:ascii="Times New Roman" w:hAnsi="Times New Roman"/>
          <w:b/>
          <w:bCs/>
          <w:i/>
          <w:sz w:val="22"/>
          <w:szCs w:val="22"/>
        </w:rPr>
        <w:t>Allocating different bandwidth to the UL to UL and DL to DL sub-bands among nei</w:t>
      </w:r>
      <w:r>
        <w:rPr>
          <w:rFonts w:ascii="Times New Roman" w:hAnsi="Times New Roman"/>
          <w:b/>
          <w:bCs/>
          <w:i/>
          <w:sz w:val="22"/>
          <w:szCs w:val="22"/>
        </w:rPr>
        <w:t>ghbor</w:t>
      </w:r>
      <w:r w:rsidRPr="004E2BCA">
        <w:rPr>
          <w:rFonts w:ascii="Times New Roman" w:hAnsi="Times New Roman"/>
          <w:b/>
          <w:bCs/>
          <w:i/>
          <w:sz w:val="22"/>
          <w:szCs w:val="22"/>
        </w:rPr>
        <w:t xml:space="preserve"> gNBs </w:t>
      </w:r>
    </w:p>
    <w:p w:rsidR="00072F51" w:rsidRPr="004E2BCA" w:rsidRDefault="00072F51" w:rsidP="00072F51">
      <w:pPr>
        <w:pStyle w:val="ListParagraph"/>
        <w:numPr>
          <w:ilvl w:val="0"/>
          <w:numId w:val="17"/>
        </w:numPr>
        <w:rPr>
          <w:b/>
          <w:i/>
        </w:rPr>
      </w:pPr>
      <w:r w:rsidRPr="004E2BCA">
        <w:rPr>
          <w:rFonts w:ascii="Times New Roman" w:hAnsi="Times New Roman"/>
          <w:b/>
          <w:bCs/>
          <w:i/>
          <w:sz w:val="22"/>
          <w:szCs w:val="22"/>
        </w:rPr>
        <w:t>Allocation of dissimilar sub-bands to UL and DL transmission between neighbor gNBs</w:t>
      </w:r>
    </w:p>
    <w:p w:rsidR="00072F51" w:rsidRPr="004E2BCA" w:rsidRDefault="00072F51" w:rsidP="00072F51">
      <w:pPr>
        <w:pStyle w:val="ListParagraph"/>
        <w:numPr>
          <w:ilvl w:val="0"/>
          <w:numId w:val="17"/>
        </w:numPr>
        <w:rPr>
          <w:b/>
          <w:i/>
        </w:rPr>
      </w:pPr>
      <w:r w:rsidRPr="004E2BCA">
        <w:rPr>
          <w:rFonts w:ascii="Times New Roman" w:hAnsi="Times New Roman"/>
          <w:b/>
          <w:bCs/>
          <w:i/>
          <w:sz w:val="22"/>
          <w:szCs w:val="22"/>
        </w:rPr>
        <w:t>Allocation of dissimilar quantity of sub-bands to UL and DL transmission between neighbor</w:t>
      </w:r>
    </w:p>
    <w:p w:rsidR="00072F51" w:rsidRPr="004E2BCA" w:rsidRDefault="00072F51" w:rsidP="00072F51">
      <w:pPr>
        <w:pStyle w:val="ListParagraph"/>
        <w:numPr>
          <w:ilvl w:val="0"/>
          <w:numId w:val="17"/>
        </w:numPr>
        <w:rPr>
          <w:b/>
          <w:i/>
        </w:rPr>
      </w:pPr>
      <w:r w:rsidRPr="004E2BCA">
        <w:rPr>
          <w:rFonts w:ascii="Times New Roman" w:hAnsi="Times New Roman"/>
          <w:b/>
          <w:bCs/>
          <w:i/>
          <w:sz w:val="22"/>
          <w:szCs w:val="22"/>
        </w:rPr>
        <w:t>Configuration of different numbers of sub-bands between neighbor gNBs</w:t>
      </w:r>
    </w:p>
    <w:p w:rsidR="00072F51" w:rsidRDefault="00072F51" w:rsidP="00072F51"/>
    <w:p w:rsidR="00072F51" w:rsidRDefault="00072F51" w:rsidP="00072F51">
      <w:pPr>
        <w:rPr>
          <w:b/>
          <w:i/>
        </w:rPr>
      </w:pPr>
    </w:p>
    <w:p w:rsidR="00072F51" w:rsidRPr="003F231F" w:rsidRDefault="00072F51" w:rsidP="00072F51">
      <w:pPr>
        <w:rPr>
          <w:b/>
        </w:rPr>
      </w:pPr>
      <w:r w:rsidRPr="003F231F">
        <w:rPr>
          <w:b/>
        </w:rPr>
        <w:t xml:space="preserve">Proposal 1: Support an explicit indication of the </w:t>
      </w:r>
      <w:r>
        <w:rPr>
          <w:b/>
        </w:rPr>
        <w:t xml:space="preserve">frequency locations of all subbands (DL and UL) </w:t>
      </w:r>
      <w:r w:rsidRPr="003F231F">
        <w:rPr>
          <w:b/>
        </w:rPr>
        <w:t xml:space="preserve">within a TDD band to the UE. </w:t>
      </w:r>
    </w:p>
    <w:p w:rsidR="00072F51" w:rsidRPr="003F231F" w:rsidRDefault="00072F51" w:rsidP="00072F51">
      <w:pPr>
        <w:rPr>
          <w:b/>
        </w:rPr>
      </w:pPr>
      <w:r w:rsidRPr="003F231F">
        <w:rPr>
          <w:b/>
        </w:rPr>
        <w:t>Proposal 2: Study a tim</w:t>
      </w:r>
      <w:r>
        <w:rPr>
          <w:b/>
        </w:rPr>
        <w:t>e domain window based solution to indicate the time slots/symbols of SBFD operation and legacy TDD operation to the SBFD UEs and legacy operation UEs respectively.</w:t>
      </w:r>
    </w:p>
    <w:p w:rsidR="00072F51" w:rsidRPr="009F47B7" w:rsidRDefault="00072F51" w:rsidP="00072F51">
      <w:pPr>
        <w:rPr>
          <w:b/>
          <w:lang w:val="fi-FI"/>
        </w:rPr>
      </w:pPr>
      <w:r w:rsidRPr="009F47B7">
        <w:rPr>
          <w:b/>
          <w:lang w:val="fi-FI"/>
        </w:rPr>
        <w:t>Proposal</w:t>
      </w:r>
      <w:r>
        <w:rPr>
          <w:b/>
          <w:lang w:val="fi-FI"/>
        </w:rPr>
        <w:t xml:space="preserve"> 3</w:t>
      </w:r>
      <w:r w:rsidRPr="009F47B7">
        <w:rPr>
          <w:b/>
          <w:lang w:val="fi-FI"/>
        </w:rPr>
        <w:t>: Support Dynamic Indicaiton o</w:t>
      </w:r>
      <w:r>
        <w:rPr>
          <w:b/>
          <w:lang w:val="fi-FI"/>
        </w:rPr>
        <w:t xml:space="preserve">f frequency location of subbands. </w:t>
      </w:r>
      <w:r w:rsidRPr="009F47B7">
        <w:rPr>
          <w:b/>
          <w:lang w:val="fi-FI"/>
        </w:rPr>
        <w:t xml:space="preserve"> </w:t>
      </w:r>
    </w:p>
    <w:p w:rsidR="00072F51" w:rsidRPr="009F47B7" w:rsidRDefault="00072F51" w:rsidP="00072F51">
      <w:pPr>
        <w:rPr>
          <w:b/>
          <w:lang w:val="fi-FI"/>
        </w:rPr>
      </w:pPr>
      <w:r w:rsidRPr="009F47B7">
        <w:rPr>
          <w:b/>
          <w:lang w:val="fi-FI"/>
        </w:rPr>
        <w:t>Proposal</w:t>
      </w:r>
      <w:r>
        <w:rPr>
          <w:b/>
          <w:lang w:val="fi-FI"/>
        </w:rPr>
        <w:t xml:space="preserve"> 4</w:t>
      </w:r>
      <w:r w:rsidRPr="009F47B7">
        <w:rPr>
          <w:b/>
          <w:lang w:val="fi-FI"/>
        </w:rPr>
        <w:t>: For dynamic Indicaiton</w:t>
      </w:r>
      <w:r>
        <w:rPr>
          <w:b/>
          <w:lang w:val="fi-FI"/>
        </w:rPr>
        <w:t xml:space="preserve"> </w:t>
      </w:r>
      <w:r w:rsidRPr="009F47B7">
        <w:rPr>
          <w:b/>
          <w:lang w:val="fi-FI"/>
        </w:rPr>
        <w:t>of frequecy location</w:t>
      </w:r>
      <w:r>
        <w:rPr>
          <w:b/>
          <w:lang w:val="fi-FI"/>
        </w:rPr>
        <w:t xml:space="preserve"> of subbands, </w:t>
      </w:r>
      <w:r w:rsidRPr="009F47B7">
        <w:rPr>
          <w:b/>
          <w:lang w:val="fi-FI"/>
        </w:rPr>
        <w:t xml:space="preserve"> DCI based indication and/or MAC CE based </w:t>
      </w:r>
      <w:r>
        <w:rPr>
          <w:b/>
          <w:lang w:val="fi-FI"/>
        </w:rPr>
        <w:t xml:space="preserve">indication </w:t>
      </w:r>
      <w:r w:rsidRPr="009F47B7">
        <w:rPr>
          <w:b/>
          <w:lang w:val="fi-FI"/>
        </w:rPr>
        <w:t xml:space="preserve">can be </w:t>
      </w:r>
      <w:r w:rsidRPr="00BE5379">
        <w:rPr>
          <w:b/>
          <w:lang w:val="fi-FI"/>
        </w:rPr>
        <w:t>further studied.</w:t>
      </w:r>
      <w:r w:rsidRPr="009F47B7">
        <w:rPr>
          <w:b/>
          <w:lang w:val="fi-FI"/>
        </w:rPr>
        <w:t xml:space="preserve"> </w:t>
      </w:r>
    </w:p>
    <w:p w:rsidR="00072F51" w:rsidRPr="00072F51" w:rsidRDefault="00072F51" w:rsidP="00072F51">
      <w:pPr>
        <w:rPr>
          <w:b/>
          <w:lang w:val="fi-FI"/>
        </w:rPr>
      </w:pPr>
      <w:r w:rsidRPr="00BE5379">
        <w:rPr>
          <w:b/>
          <w:lang w:val="fi-FI"/>
        </w:rPr>
        <w:t>Proposal</w:t>
      </w:r>
      <w:r>
        <w:rPr>
          <w:b/>
          <w:lang w:val="fi-FI"/>
        </w:rPr>
        <w:t xml:space="preserve"> 5</w:t>
      </w:r>
      <w:r w:rsidRPr="00BE5379">
        <w:rPr>
          <w:b/>
          <w:lang w:val="fi-FI"/>
        </w:rPr>
        <w:t xml:space="preserve">: </w:t>
      </w:r>
      <w:r>
        <w:rPr>
          <w:b/>
          <w:lang w:val="fi-FI"/>
        </w:rPr>
        <w:t xml:space="preserve">Consider </w:t>
      </w:r>
      <w:r w:rsidRPr="00BE5379">
        <w:rPr>
          <w:b/>
          <w:lang w:val="fi-FI"/>
        </w:rPr>
        <w:t>semi static configuration of multiple subband sizes within a given TDD band,  and dynanmic indication o</w:t>
      </w:r>
      <w:r>
        <w:rPr>
          <w:b/>
          <w:lang w:val="fi-FI"/>
        </w:rPr>
        <w:t>f time/frequency location o</w:t>
      </w:r>
      <w:r w:rsidRPr="00BE5379">
        <w:rPr>
          <w:b/>
          <w:lang w:val="fi-FI"/>
        </w:rPr>
        <w:t xml:space="preserve">f subbands </w:t>
      </w:r>
      <w:r>
        <w:rPr>
          <w:b/>
          <w:lang w:val="fi-FI"/>
        </w:rPr>
        <w:t xml:space="preserve">to activate/de-activate an UL or DL </w:t>
      </w:r>
      <w:r w:rsidRPr="00BE5379">
        <w:rPr>
          <w:b/>
          <w:lang w:val="fi-FI"/>
        </w:rPr>
        <w:t xml:space="preserve">subbands. </w:t>
      </w:r>
    </w:p>
    <w:p w:rsidR="00072F51" w:rsidRPr="00491861" w:rsidRDefault="00072F51" w:rsidP="00072F51">
      <w:pPr>
        <w:rPr>
          <w:b/>
        </w:rPr>
      </w:pPr>
      <w:r>
        <w:rPr>
          <w:b/>
        </w:rPr>
        <w:t>Proposal 6</w:t>
      </w:r>
      <w:r w:rsidRPr="00491861">
        <w:rPr>
          <w:b/>
        </w:rPr>
        <w:t>: To avoid the intra sub-band interference in SBFD operation the neighbor’s gNB shall:</w:t>
      </w:r>
    </w:p>
    <w:p w:rsidR="00072F51" w:rsidRPr="00491861" w:rsidRDefault="00072F51" w:rsidP="00072F51">
      <w:pPr>
        <w:pStyle w:val="ListParagraph"/>
        <w:numPr>
          <w:ilvl w:val="0"/>
          <w:numId w:val="25"/>
        </w:numPr>
        <w:spacing w:after="200" w:line="276" w:lineRule="auto"/>
        <w:contextualSpacing/>
        <w:rPr>
          <w:rFonts w:ascii="Times New Roman" w:hAnsi="Times New Roman"/>
          <w:b/>
          <w:sz w:val="22"/>
          <w:szCs w:val="22"/>
        </w:rPr>
      </w:pPr>
      <w:r w:rsidRPr="00491861">
        <w:rPr>
          <w:rFonts w:ascii="Times New Roman" w:hAnsi="Times New Roman"/>
          <w:b/>
          <w:sz w:val="22"/>
          <w:szCs w:val="22"/>
        </w:rPr>
        <w:t>Keep the same bandwidth of UL to UL and DL to DL sub-bands among the neighbor gNBs</w:t>
      </w:r>
    </w:p>
    <w:p w:rsidR="00072F51" w:rsidRPr="00491861" w:rsidRDefault="00072F51" w:rsidP="00072F51">
      <w:pPr>
        <w:pStyle w:val="ListParagraph"/>
        <w:numPr>
          <w:ilvl w:val="0"/>
          <w:numId w:val="25"/>
        </w:numPr>
        <w:spacing w:after="200" w:line="276" w:lineRule="auto"/>
        <w:contextualSpacing/>
        <w:rPr>
          <w:rFonts w:ascii="Times New Roman" w:hAnsi="Times New Roman"/>
          <w:b/>
          <w:sz w:val="22"/>
          <w:szCs w:val="22"/>
        </w:rPr>
      </w:pPr>
      <w:r w:rsidRPr="00491861">
        <w:rPr>
          <w:rFonts w:ascii="Times New Roman" w:hAnsi="Times New Roman"/>
          <w:b/>
          <w:sz w:val="22"/>
          <w:szCs w:val="22"/>
        </w:rPr>
        <w:t xml:space="preserve">Assign alike sub-bands to UL and DL transmission among the neighbor gNBs </w:t>
      </w:r>
    </w:p>
    <w:p w:rsidR="00072F51" w:rsidRPr="00491861" w:rsidRDefault="00072F51" w:rsidP="00072F51">
      <w:pPr>
        <w:pStyle w:val="ListParagraph"/>
        <w:numPr>
          <w:ilvl w:val="0"/>
          <w:numId w:val="25"/>
        </w:numPr>
        <w:spacing w:after="200" w:line="276" w:lineRule="auto"/>
        <w:contextualSpacing/>
        <w:rPr>
          <w:rFonts w:ascii="Times New Roman" w:hAnsi="Times New Roman"/>
          <w:b/>
          <w:sz w:val="22"/>
          <w:szCs w:val="22"/>
        </w:rPr>
      </w:pPr>
      <w:r w:rsidRPr="00491861">
        <w:rPr>
          <w:rFonts w:ascii="Times New Roman" w:hAnsi="Times New Roman"/>
          <w:b/>
          <w:sz w:val="22"/>
          <w:szCs w:val="22"/>
        </w:rPr>
        <w:t xml:space="preserve">Allocate similar quantity of sub-bands to DL and UL transmission among the neighbor gNBs </w:t>
      </w:r>
    </w:p>
    <w:p w:rsidR="00072F51" w:rsidRPr="00763B00" w:rsidRDefault="00072F51" w:rsidP="00072F51">
      <w:pPr>
        <w:pStyle w:val="ListParagraph"/>
        <w:numPr>
          <w:ilvl w:val="0"/>
          <w:numId w:val="25"/>
        </w:numPr>
        <w:spacing w:after="200" w:line="276" w:lineRule="auto"/>
        <w:contextualSpacing/>
        <w:rPr>
          <w:rFonts w:ascii="Times New Roman" w:hAnsi="Times New Roman"/>
          <w:b/>
          <w:sz w:val="22"/>
          <w:szCs w:val="22"/>
        </w:rPr>
      </w:pPr>
      <w:r w:rsidRPr="00491861">
        <w:rPr>
          <w:rFonts w:ascii="Times New Roman" w:hAnsi="Times New Roman"/>
          <w:b/>
          <w:sz w:val="22"/>
          <w:szCs w:val="22"/>
        </w:rPr>
        <w:t xml:space="preserve">Configure similar numbers of sub-bands among the neighbor gNBs </w:t>
      </w:r>
    </w:p>
    <w:p w:rsidR="00072F51" w:rsidRPr="00CA2993" w:rsidRDefault="00072F51">
      <w:pPr>
        <w:rPr>
          <w:b/>
          <w:i/>
          <w:lang w:eastAsia="zh-CN"/>
        </w:rPr>
      </w:pPr>
    </w:p>
    <w:p w:rsidR="00FF425C" w:rsidRDefault="00F3458E" w:rsidP="00CB72FA">
      <w:pPr>
        <w:pStyle w:val="Heading1"/>
        <w:numPr>
          <w:ilvl w:val="0"/>
          <w:numId w:val="0"/>
        </w:numPr>
        <w:ind w:left="432" w:hanging="432"/>
      </w:pPr>
      <w:bookmarkStart w:id="4" w:name="_Ref124671424"/>
      <w:bookmarkStart w:id="5" w:name="_Ref71620620"/>
      <w:bookmarkStart w:id="6" w:name="_Ref124589665"/>
      <w:r>
        <w:t>References</w:t>
      </w:r>
      <w:bookmarkEnd w:id="4"/>
      <w:bookmarkEnd w:id="5"/>
      <w:bookmarkEnd w:id="6"/>
    </w:p>
    <w:p w:rsidR="00CB72FA" w:rsidRDefault="00624D50" w:rsidP="00CB72FA">
      <w:pPr>
        <w:pStyle w:val="References"/>
      </w:pPr>
      <w:r>
        <w:t xml:space="preserve">Chair notes </w:t>
      </w:r>
      <w:r w:rsidR="00763B00">
        <w:t>3GPP TSG RAN WG1 #110</w:t>
      </w:r>
      <w:r w:rsidR="00A03550">
        <w:t>bis- O</w:t>
      </w:r>
      <w:r>
        <w:t>ct</w:t>
      </w:r>
      <w:r w:rsidR="00CB72FA" w:rsidRPr="00104FF5">
        <w:t>,</w:t>
      </w:r>
      <w:r w:rsidR="00763B00">
        <w:t xml:space="preserve"> 22</w:t>
      </w:r>
      <w:r w:rsidR="00763B00" w:rsidRPr="00763B00">
        <w:rPr>
          <w:vertAlign w:val="superscript"/>
        </w:rPr>
        <w:t>nd</w:t>
      </w:r>
      <w:r w:rsidR="00763B00">
        <w:t xml:space="preserve"> – 26</w:t>
      </w:r>
      <w:r w:rsidR="00CB72FA" w:rsidRPr="00CB72FA">
        <w:rPr>
          <w:vertAlign w:val="superscript"/>
        </w:rPr>
        <w:t>th</w:t>
      </w:r>
      <w:r w:rsidR="00CB72FA">
        <w:t xml:space="preserve"> </w:t>
      </w:r>
      <w:r w:rsidR="00CB72FA" w:rsidRPr="00104FF5">
        <w:t>20</w:t>
      </w:r>
      <w:r>
        <w:t>22</w:t>
      </w:r>
    </w:p>
    <w:p w:rsidR="00CB72FA" w:rsidRDefault="00CB72FA" w:rsidP="00CB72FA">
      <w:pPr>
        <w:pStyle w:val="References"/>
        <w:numPr>
          <w:ilvl w:val="0"/>
          <w:numId w:val="0"/>
        </w:numPr>
        <w:tabs>
          <w:tab w:val="left" w:pos="1778"/>
        </w:tabs>
        <w:ind w:left="360"/>
      </w:pPr>
    </w:p>
    <w:sectPr w:rsidR="00CB72FA" w:rsidSect="0083389B">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685" w:rsidRDefault="00D23685">
      <w:pPr>
        <w:spacing w:after="0"/>
      </w:pPr>
      <w:r>
        <w:separator/>
      </w:r>
    </w:p>
  </w:endnote>
  <w:endnote w:type="continuationSeparator" w:id="0">
    <w:p w:rsidR="00D23685" w:rsidRDefault="00D236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AutoText"/>
      </w:docPartObj>
    </w:sdtPr>
    <w:sdtEndPr/>
    <w:sdtContent>
      <w:p w:rsidR="00303CE7" w:rsidRDefault="00303CE7">
        <w:pPr>
          <w:pStyle w:val="Footer"/>
          <w:jc w:val="center"/>
        </w:pPr>
        <w:r>
          <w:fldChar w:fldCharType="begin"/>
        </w:r>
        <w:r>
          <w:instrText xml:space="preserve"> PAGE   \* MERGEFORMAT </w:instrText>
        </w:r>
        <w:r>
          <w:fldChar w:fldCharType="separate"/>
        </w:r>
        <w:r w:rsidR="00D23685">
          <w:rPr>
            <w:noProof/>
          </w:rPr>
          <w:t>1</w:t>
        </w:r>
        <w:r>
          <w:fldChar w:fldCharType="end"/>
        </w:r>
      </w:p>
    </w:sdtContent>
  </w:sdt>
  <w:p w:rsidR="00303CE7" w:rsidRDefault="00303C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685" w:rsidRDefault="00D23685">
      <w:pPr>
        <w:spacing w:after="0"/>
      </w:pPr>
      <w:r>
        <w:separator/>
      </w:r>
    </w:p>
  </w:footnote>
  <w:footnote w:type="continuationSeparator" w:id="0">
    <w:p w:rsidR="00D23685" w:rsidRDefault="00D236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1C568B68"/>
    <w:lvl w:ilvl="0">
      <w:start w:val="1"/>
      <w:numFmt w:val="bullet"/>
      <w:pStyle w:val="ListBullet2"/>
      <w:lvlText w:val=""/>
      <w:lvlJc w:val="left"/>
      <w:pPr>
        <w:tabs>
          <w:tab w:val="num" w:pos="1440"/>
        </w:tabs>
        <w:ind w:left="1440" w:hanging="720"/>
      </w:pPr>
      <w:rPr>
        <w:rFonts w:ascii="Symbol" w:hAnsi="Symbol" w:hint="default"/>
      </w:rPr>
    </w:lvl>
  </w:abstractNum>
  <w:abstractNum w:abstractNumId="1" w15:restartNumberingAfterBreak="0">
    <w:nsid w:val="001E2E9A"/>
    <w:multiLevelType w:val="multilevel"/>
    <w:tmpl w:val="001E2E9A"/>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E04617D"/>
    <w:multiLevelType w:val="hybridMultilevel"/>
    <w:tmpl w:val="84C4D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6236FF"/>
    <w:multiLevelType w:val="multilevel"/>
    <w:tmpl w:val="46C8CB8A"/>
    <w:lvl w:ilvl="0">
      <w:start w:val="5"/>
      <w:numFmt w:val="decimal"/>
      <w:lvlText w:val="%1"/>
      <w:lvlJc w:val="left"/>
      <w:pPr>
        <w:ind w:left="660" w:hanging="660"/>
      </w:pPr>
      <w:rPr>
        <w:rFonts w:hint="default"/>
      </w:rPr>
    </w:lvl>
    <w:lvl w:ilvl="1">
      <w:start w:val="1"/>
      <w:numFmt w:val="decimal"/>
      <w:lvlText w:val="%1.%2"/>
      <w:lvlJc w:val="left"/>
      <w:pPr>
        <w:ind w:left="720" w:hanging="660"/>
      </w:pPr>
      <w:rPr>
        <w:rFonts w:hint="default"/>
      </w:rPr>
    </w:lvl>
    <w:lvl w:ilvl="2">
      <w:start w:val="2"/>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5" w15:restartNumberingAfterBreak="0">
    <w:nsid w:val="1BAB1858"/>
    <w:multiLevelType w:val="hybridMultilevel"/>
    <w:tmpl w:val="3F10C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E6604"/>
    <w:multiLevelType w:val="multilevel"/>
    <w:tmpl w:val="1D4E660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7" w15:restartNumberingAfterBreak="0">
    <w:nsid w:val="209C3EBC"/>
    <w:multiLevelType w:val="hybridMultilevel"/>
    <w:tmpl w:val="E056CD3E"/>
    <w:lvl w:ilvl="0" w:tplc="52AAAAA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E56E0F"/>
    <w:multiLevelType w:val="hybridMultilevel"/>
    <w:tmpl w:val="0E86A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AD66ED"/>
    <w:multiLevelType w:val="hybridMultilevel"/>
    <w:tmpl w:val="BFBAB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B7F02"/>
    <w:multiLevelType w:val="hybridMultilevel"/>
    <w:tmpl w:val="2C6464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DD3BB5"/>
    <w:multiLevelType w:val="multilevel"/>
    <w:tmpl w:val="29DD3BB5"/>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3136193F"/>
    <w:multiLevelType w:val="hybridMultilevel"/>
    <w:tmpl w:val="792CF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666"/>
        </w:tabs>
        <w:ind w:left="66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CEE2C00"/>
    <w:multiLevelType w:val="hybridMultilevel"/>
    <w:tmpl w:val="552A9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806707"/>
    <w:multiLevelType w:val="multilevel"/>
    <w:tmpl w:val="42806707"/>
    <w:lvl w:ilvl="0">
      <w:start w:val="1"/>
      <w:numFmt w:val="bullet"/>
      <w:lvlText w:val="•"/>
      <w:lvlJc w:val="left"/>
      <w:pPr>
        <w:tabs>
          <w:tab w:val="left" w:pos="0"/>
        </w:tabs>
        <w:ind w:left="420" w:hanging="420"/>
      </w:pPr>
      <w:rPr>
        <w:rFonts w:ascii="Arial" w:hAnsi="Arial" w:cs="Arial" w:hint="default"/>
      </w:rPr>
    </w:lvl>
    <w:lvl w:ilvl="1">
      <w:start w:val="5"/>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15:restartNumberingAfterBreak="0">
    <w:nsid w:val="4FDF5D6B"/>
    <w:multiLevelType w:val="hybridMultilevel"/>
    <w:tmpl w:val="E056CD3E"/>
    <w:lvl w:ilvl="0" w:tplc="52AAAAA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A46748"/>
    <w:multiLevelType w:val="multilevel"/>
    <w:tmpl w:val="58A4674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1F1DCF"/>
    <w:multiLevelType w:val="hybridMultilevel"/>
    <w:tmpl w:val="76C6F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396B2C"/>
    <w:multiLevelType w:val="hybridMultilevel"/>
    <w:tmpl w:val="6A48A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867ED9"/>
    <w:multiLevelType w:val="hybridMultilevel"/>
    <w:tmpl w:val="437C7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1D473F"/>
    <w:multiLevelType w:val="hybridMultilevel"/>
    <w:tmpl w:val="D8F83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B0CCE"/>
    <w:multiLevelType w:val="multilevel"/>
    <w:tmpl w:val="566608CC"/>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E4604D"/>
    <w:multiLevelType w:val="hybridMultilevel"/>
    <w:tmpl w:val="43882C1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9619EE"/>
    <w:multiLevelType w:val="hybridMultilevel"/>
    <w:tmpl w:val="2C6464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321807"/>
    <w:multiLevelType w:val="multilevel"/>
    <w:tmpl w:val="D9F646FE"/>
    <w:lvl w:ilvl="0">
      <w:start w:val="5"/>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13"/>
  </w:num>
  <w:num w:numId="2">
    <w:abstractNumId w:val="14"/>
  </w:num>
  <w:num w:numId="3">
    <w:abstractNumId w:val="17"/>
  </w:num>
  <w:num w:numId="4">
    <w:abstractNumId w:val="11"/>
  </w:num>
  <w:num w:numId="5">
    <w:abstractNumId w:val="6"/>
  </w:num>
  <w:num w:numId="6">
    <w:abstractNumId w:val="19"/>
  </w:num>
  <w:num w:numId="7">
    <w:abstractNumId w:val="1"/>
  </w:num>
  <w:num w:numId="8">
    <w:abstractNumId w:val="25"/>
  </w:num>
  <w:num w:numId="9">
    <w:abstractNumId w:val="13"/>
  </w:num>
  <w:num w:numId="10">
    <w:abstractNumId w:val="13"/>
  </w:num>
  <w:num w:numId="11">
    <w:abstractNumId w:val="0"/>
  </w:num>
  <w:num w:numId="12">
    <w:abstractNumId w:val="27"/>
  </w:num>
  <w:num w:numId="13">
    <w:abstractNumId w:val="24"/>
  </w:num>
  <w:num w:numId="14">
    <w:abstractNumId w:val="28"/>
  </w:num>
  <w:num w:numId="15">
    <w:abstractNumId w:val="4"/>
  </w:num>
  <w:num w:numId="16">
    <w:abstractNumId w:val="26"/>
  </w:num>
  <w:num w:numId="17">
    <w:abstractNumId w:val="18"/>
  </w:num>
  <w:num w:numId="18">
    <w:abstractNumId w:val="5"/>
  </w:num>
  <w:num w:numId="19">
    <w:abstractNumId w:val="12"/>
  </w:num>
  <w:num w:numId="20">
    <w:abstractNumId w:val="21"/>
  </w:num>
  <w:num w:numId="21">
    <w:abstractNumId w:val="22"/>
  </w:num>
  <w:num w:numId="22">
    <w:abstractNumId w:val="8"/>
  </w:num>
  <w:num w:numId="23">
    <w:abstractNumId w:val="15"/>
  </w:num>
  <w:num w:numId="24">
    <w:abstractNumId w:val="10"/>
  </w:num>
  <w:num w:numId="25">
    <w:abstractNumId w:val="20"/>
  </w:num>
  <w:num w:numId="26">
    <w:abstractNumId w:val="9"/>
  </w:num>
  <w:num w:numId="27">
    <w:abstractNumId w:val="3"/>
  </w:num>
  <w:num w:numId="28">
    <w:abstractNumId w:val="7"/>
  </w:num>
  <w:num w:numId="29">
    <w:abstractNumId w:val="13"/>
  </w:num>
  <w:num w:numId="30">
    <w:abstractNumId w:val="2"/>
  </w:num>
  <w:num w:numId="31">
    <w:abstractNumId w:val="13"/>
  </w:num>
  <w:num w:numId="32">
    <w:abstractNumId w:val="23"/>
  </w:num>
  <w:num w:numId="33">
    <w:abstractNumId w:val="16"/>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s-ES" w:vendorID="64" w:dllVersion="131078"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D04"/>
    <w:rsid w:val="00000DB2"/>
    <w:rsid w:val="0000195C"/>
    <w:rsid w:val="000020F6"/>
    <w:rsid w:val="00002893"/>
    <w:rsid w:val="00002C6C"/>
    <w:rsid w:val="000033A3"/>
    <w:rsid w:val="00003605"/>
    <w:rsid w:val="00003C56"/>
    <w:rsid w:val="00003EC2"/>
    <w:rsid w:val="000040A9"/>
    <w:rsid w:val="0000458E"/>
    <w:rsid w:val="00004E70"/>
    <w:rsid w:val="000062BE"/>
    <w:rsid w:val="00006346"/>
    <w:rsid w:val="00006E5A"/>
    <w:rsid w:val="000072B6"/>
    <w:rsid w:val="00007813"/>
    <w:rsid w:val="000109E6"/>
    <w:rsid w:val="00011F67"/>
    <w:rsid w:val="00012712"/>
    <w:rsid w:val="00012862"/>
    <w:rsid w:val="000128E6"/>
    <w:rsid w:val="000149E6"/>
    <w:rsid w:val="00015EFB"/>
    <w:rsid w:val="000165E2"/>
    <w:rsid w:val="00016DFD"/>
    <w:rsid w:val="000172BE"/>
    <w:rsid w:val="00017D8A"/>
    <w:rsid w:val="00020EB8"/>
    <w:rsid w:val="00022BDB"/>
    <w:rsid w:val="00023388"/>
    <w:rsid w:val="00023425"/>
    <w:rsid w:val="000241BE"/>
    <w:rsid w:val="000242F2"/>
    <w:rsid w:val="00025150"/>
    <w:rsid w:val="000251C1"/>
    <w:rsid w:val="000256F4"/>
    <w:rsid w:val="0002630F"/>
    <w:rsid w:val="00026D4B"/>
    <w:rsid w:val="000275C6"/>
    <w:rsid w:val="00027AD6"/>
    <w:rsid w:val="0003024C"/>
    <w:rsid w:val="000312B8"/>
    <w:rsid w:val="00031ADB"/>
    <w:rsid w:val="00032056"/>
    <w:rsid w:val="000328CA"/>
    <w:rsid w:val="00032E40"/>
    <w:rsid w:val="0003376B"/>
    <w:rsid w:val="00034676"/>
    <w:rsid w:val="000346E6"/>
    <w:rsid w:val="00034DF1"/>
    <w:rsid w:val="000352B3"/>
    <w:rsid w:val="000377AE"/>
    <w:rsid w:val="0004023E"/>
    <w:rsid w:val="0004024B"/>
    <w:rsid w:val="00041C57"/>
    <w:rsid w:val="000434B7"/>
    <w:rsid w:val="000435E4"/>
    <w:rsid w:val="00044AB4"/>
    <w:rsid w:val="00044F91"/>
    <w:rsid w:val="00046796"/>
    <w:rsid w:val="000467FD"/>
    <w:rsid w:val="00046AAF"/>
    <w:rsid w:val="00047225"/>
    <w:rsid w:val="00047E60"/>
    <w:rsid w:val="00052AD2"/>
    <w:rsid w:val="00052E0B"/>
    <w:rsid w:val="000530DF"/>
    <w:rsid w:val="000532AA"/>
    <w:rsid w:val="00054E0C"/>
    <w:rsid w:val="0005541D"/>
    <w:rsid w:val="000559BE"/>
    <w:rsid w:val="000565C8"/>
    <w:rsid w:val="00057DC8"/>
    <w:rsid w:val="0006106C"/>
    <w:rsid w:val="000612E1"/>
    <w:rsid w:val="00061306"/>
    <w:rsid w:val="000614FE"/>
    <w:rsid w:val="00061D60"/>
    <w:rsid w:val="0006531B"/>
    <w:rsid w:val="00065D38"/>
    <w:rsid w:val="00067CF5"/>
    <w:rsid w:val="00067DD1"/>
    <w:rsid w:val="00070397"/>
    <w:rsid w:val="00070447"/>
    <w:rsid w:val="000706E7"/>
    <w:rsid w:val="00070B2C"/>
    <w:rsid w:val="00070C5E"/>
    <w:rsid w:val="00070EF8"/>
    <w:rsid w:val="000710FE"/>
    <w:rsid w:val="00071192"/>
    <w:rsid w:val="000713A7"/>
    <w:rsid w:val="00072A80"/>
    <w:rsid w:val="00072F51"/>
    <w:rsid w:val="000731A0"/>
    <w:rsid w:val="000733B1"/>
    <w:rsid w:val="000736C1"/>
    <w:rsid w:val="00073797"/>
    <w:rsid w:val="00073DEC"/>
    <w:rsid w:val="000745AA"/>
    <w:rsid w:val="00074E86"/>
    <w:rsid w:val="0007521B"/>
    <w:rsid w:val="00076097"/>
    <w:rsid w:val="0007631C"/>
    <w:rsid w:val="00076541"/>
    <w:rsid w:val="00077052"/>
    <w:rsid w:val="000772F4"/>
    <w:rsid w:val="000776EB"/>
    <w:rsid w:val="000823B0"/>
    <w:rsid w:val="0008335B"/>
    <w:rsid w:val="00083379"/>
    <w:rsid w:val="00083587"/>
    <w:rsid w:val="00083838"/>
    <w:rsid w:val="00083B6A"/>
    <w:rsid w:val="0008501C"/>
    <w:rsid w:val="00085E04"/>
    <w:rsid w:val="00086800"/>
    <w:rsid w:val="00087913"/>
    <w:rsid w:val="000902DC"/>
    <w:rsid w:val="000911AE"/>
    <w:rsid w:val="00093697"/>
    <w:rsid w:val="00093D42"/>
    <w:rsid w:val="00093DD0"/>
    <w:rsid w:val="000944A1"/>
    <w:rsid w:val="00094A16"/>
    <w:rsid w:val="00094DE6"/>
    <w:rsid w:val="00096356"/>
    <w:rsid w:val="00096785"/>
    <w:rsid w:val="00097210"/>
    <w:rsid w:val="00097C99"/>
    <w:rsid w:val="000A0F14"/>
    <w:rsid w:val="000A1441"/>
    <w:rsid w:val="000A1A06"/>
    <w:rsid w:val="000A1B60"/>
    <w:rsid w:val="000A21B4"/>
    <w:rsid w:val="000A2CC7"/>
    <w:rsid w:val="000A2ED6"/>
    <w:rsid w:val="000A3156"/>
    <w:rsid w:val="000A4205"/>
    <w:rsid w:val="000A4292"/>
    <w:rsid w:val="000A4A19"/>
    <w:rsid w:val="000A4FE8"/>
    <w:rsid w:val="000A5446"/>
    <w:rsid w:val="000A56DD"/>
    <w:rsid w:val="000A6351"/>
    <w:rsid w:val="000A63D6"/>
    <w:rsid w:val="000A70C3"/>
    <w:rsid w:val="000A70FA"/>
    <w:rsid w:val="000A7B38"/>
    <w:rsid w:val="000B0343"/>
    <w:rsid w:val="000B2985"/>
    <w:rsid w:val="000B2C88"/>
    <w:rsid w:val="000B3342"/>
    <w:rsid w:val="000B3AA2"/>
    <w:rsid w:val="000B51FA"/>
    <w:rsid w:val="000B5905"/>
    <w:rsid w:val="000B5975"/>
    <w:rsid w:val="000B6E2C"/>
    <w:rsid w:val="000B76C5"/>
    <w:rsid w:val="000B7A10"/>
    <w:rsid w:val="000C02FB"/>
    <w:rsid w:val="000C115D"/>
    <w:rsid w:val="000C1461"/>
    <w:rsid w:val="000C1535"/>
    <w:rsid w:val="000C252B"/>
    <w:rsid w:val="000C2FBD"/>
    <w:rsid w:val="000C3B0C"/>
    <w:rsid w:val="000C422D"/>
    <w:rsid w:val="000C4ADF"/>
    <w:rsid w:val="000C5F91"/>
    <w:rsid w:val="000C6025"/>
    <w:rsid w:val="000C7100"/>
    <w:rsid w:val="000C7984"/>
    <w:rsid w:val="000C7B9E"/>
    <w:rsid w:val="000D0565"/>
    <w:rsid w:val="000D0E4E"/>
    <w:rsid w:val="000D0F3B"/>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06A"/>
    <w:rsid w:val="000E10AD"/>
    <w:rsid w:val="000E11F2"/>
    <w:rsid w:val="000E1380"/>
    <w:rsid w:val="000E18DF"/>
    <w:rsid w:val="000E499F"/>
    <w:rsid w:val="000E53C0"/>
    <w:rsid w:val="000E59A0"/>
    <w:rsid w:val="000E62E2"/>
    <w:rsid w:val="000E7A84"/>
    <w:rsid w:val="000F0BDB"/>
    <w:rsid w:val="000F1004"/>
    <w:rsid w:val="000F1167"/>
    <w:rsid w:val="000F15BC"/>
    <w:rsid w:val="000F180A"/>
    <w:rsid w:val="000F1C92"/>
    <w:rsid w:val="000F2EEE"/>
    <w:rsid w:val="000F3697"/>
    <w:rsid w:val="000F5F90"/>
    <w:rsid w:val="000F7F58"/>
    <w:rsid w:val="00100128"/>
    <w:rsid w:val="00100FF3"/>
    <w:rsid w:val="001026CA"/>
    <w:rsid w:val="001043C2"/>
    <w:rsid w:val="001043E1"/>
    <w:rsid w:val="00104D14"/>
    <w:rsid w:val="0010505A"/>
    <w:rsid w:val="00105A46"/>
    <w:rsid w:val="00105CC7"/>
    <w:rsid w:val="00107037"/>
    <w:rsid w:val="00107779"/>
    <w:rsid w:val="001078C2"/>
    <w:rsid w:val="00107E1C"/>
    <w:rsid w:val="00110243"/>
    <w:rsid w:val="001112C4"/>
    <w:rsid w:val="00111444"/>
    <w:rsid w:val="00111723"/>
    <w:rsid w:val="001129B5"/>
    <w:rsid w:val="00112BE6"/>
    <w:rsid w:val="00113B94"/>
    <w:rsid w:val="001141E3"/>
    <w:rsid w:val="001144DF"/>
    <w:rsid w:val="001154E5"/>
    <w:rsid w:val="0011557B"/>
    <w:rsid w:val="00116739"/>
    <w:rsid w:val="00117C85"/>
    <w:rsid w:val="00120982"/>
    <w:rsid w:val="00120B13"/>
    <w:rsid w:val="00124D84"/>
    <w:rsid w:val="001250DD"/>
    <w:rsid w:val="00125733"/>
    <w:rsid w:val="001263AA"/>
    <w:rsid w:val="00130779"/>
    <w:rsid w:val="001307A1"/>
    <w:rsid w:val="001321D3"/>
    <w:rsid w:val="00133599"/>
    <w:rsid w:val="00133BF7"/>
    <w:rsid w:val="001342F5"/>
    <w:rsid w:val="00134B88"/>
    <w:rsid w:val="00136A23"/>
    <w:rsid w:val="00136A49"/>
    <w:rsid w:val="00136B99"/>
    <w:rsid w:val="0014063E"/>
    <w:rsid w:val="0014087D"/>
    <w:rsid w:val="00140F74"/>
    <w:rsid w:val="00141191"/>
    <w:rsid w:val="0014159C"/>
    <w:rsid w:val="00142665"/>
    <w:rsid w:val="0014357D"/>
    <w:rsid w:val="0014384A"/>
    <w:rsid w:val="0014450F"/>
    <w:rsid w:val="00144D8F"/>
    <w:rsid w:val="00145C74"/>
    <w:rsid w:val="001462E9"/>
    <w:rsid w:val="00146E32"/>
    <w:rsid w:val="00147888"/>
    <w:rsid w:val="00151619"/>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5BC"/>
    <w:rsid w:val="00164DAB"/>
    <w:rsid w:val="00165B87"/>
    <w:rsid w:val="00165BBB"/>
    <w:rsid w:val="0016613F"/>
    <w:rsid w:val="00166215"/>
    <w:rsid w:val="00166591"/>
    <w:rsid w:val="00171143"/>
    <w:rsid w:val="00171C5C"/>
    <w:rsid w:val="00172864"/>
    <w:rsid w:val="00172B82"/>
    <w:rsid w:val="00172EFA"/>
    <w:rsid w:val="00173608"/>
    <w:rsid w:val="00174538"/>
    <w:rsid w:val="001745EC"/>
    <w:rsid w:val="001747B7"/>
    <w:rsid w:val="00175C30"/>
    <w:rsid w:val="00177069"/>
    <w:rsid w:val="00177FC1"/>
    <w:rsid w:val="00180E50"/>
    <w:rsid w:val="001815A2"/>
    <w:rsid w:val="00181FC1"/>
    <w:rsid w:val="00183034"/>
    <w:rsid w:val="001830F7"/>
    <w:rsid w:val="00183A5C"/>
    <w:rsid w:val="00183EA5"/>
    <w:rsid w:val="00183EE6"/>
    <w:rsid w:val="0018588A"/>
    <w:rsid w:val="00186FB5"/>
    <w:rsid w:val="00187252"/>
    <w:rsid w:val="0019033B"/>
    <w:rsid w:val="0019053D"/>
    <w:rsid w:val="001905BB"/>
    <w:rsid w:val="00191C91"/>
    <w:rsid w:val="0019264D"/>
    <w:rsid w:val="00192DD9"/>
    <w:rsid w:val="00193CF5"/>
    <w:rsid w:val="00194339"/>
    <w:rsid w:val="00194848"/>
    <w:rsid w:val="0019500D"/>
    <w:rsid w:val="001958EA"/>
    <w:rsid w:val="00195E0E"/>
    <w:rsid w:val="00197951"/>
    <w:rsid w:val="001A180D"/>
    <w:rsid w:val="001A1BAC"/>
    <w:rsid w:val="001A23CE"/>
    <w:rsid w:val="001A2C89"/>
    <w:rsid w:val="001A33BB"/>
    <w:rsid w:val="001A673E"/>
    <w:rsid w:val="001A7763"/>
    <w:rsid w:val="001A7ED9"/>
    <w:rsid w:val="001B2D0A"/>
    <w:rsid w:val="001B3964"/>
    <w:rsid w:val="001B433D"/>
    <w:rsid w:val="001B4452"/>
    <w:rsid w:val="001B466C"/>
    <w:rsid w:val="001B4F34"/>
    <w:rsid w:val="001B52EC"/>
    <w:rsid w:val="001B554A"/>
    <w:rsid w:val="001B6564"/>
    <w:rsid w:val="001B691A"/>
    <w:rsid w:val="001B73F9"/>
    <w:rsid w:val="001C02D8"/>
    <w:rsid w:val="001C04E3"/>
    <w:rsid w:val="001C0A80"/>
    <w:rsid w:val="001C0AC4"/>
    <w:rsid w:val="001C1C34"/>
    <w:rsid w:val="001C2378"/>
    <w:rsid w:val="001C2A8F"/>
    <w:rsid w:val="001C2E6E"/>
    <w:rsid w:val="001C39A1"/>
    <w:rsid w:val="001C3AE5"/>
    <w:rsid w:val="001C3EE9"/>
    <w:rsid w:val="001C3FA4"/>
    <w:rsid w:val="001C40F9"/>
    <w:rsid w:val="001C458B"/>
    <w:rsid w:val="001C5D4F"/>
    <w:rsid w:val="001C64C0"/>
    <w:rsid w:val="001C665D"/>
    <w:rsid w:val="001C66C6"/>
    <w:rsid w:val="001C69DA"/>
    <w:rsid w:val="001C6F06"/>
    <w:rsid w:val="001C7BCC"/>
    <w:rsid w:val="001D1B4E"/>
    <w:rsid w:val="001D2360"/>
    <w:rsid w:val="001D3109"/>
    <w:rsid w:val="001D332E"/>
    <w:rsid w:val="001D5033"/>
    <w:rsid w:val="001D5C88"/>
    <w:rsid w:val="001D6567"/>
    <w:rsid w:val="001D695C"/>
    <w:rsid w:val="001D6FD9"/>
    <w:rsid w:val="001D780E"/>
    <w:rsid w:val="001E02E4"/>
    <w:rsid w:val="001E05C3"/>
    <w:rsid w:val="001E0AD3"/>
    <w:rsid w:val="001E2552"/>
    <w:rsid w:val="001E2735"/>
    <w:rsid w:val="001E36E4"/>
    <w:rsid w:val="001E379D"/>
    <w:rsid w:val="001E3A3C"/>
    <w:rsid w:val="001E5107"/>
    <w:rsid w:val="001E5C23"/>
    <w:rsid w:val="001E7504"/>
    <w:rsid w:val="001E76DF"/>
    <w:rsid w:val="001E7842"/>
    <w:rsid w:val="001F09A2"/>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D1E"/>
    <w:rsid w:val="001F70E2"/>
    <w:rsid w:val="001F7121"/>
    <w:rsid w:val="001F772C"/>
    <w:rsid w:val="00200D2C"/>
    <w:rsid w:val="002019D8"/>
    <w:rsid w:val="00201EC7"/>
    <w:rsid w:val="002024C7"/>
    <w:rsid w:val="0020349A"/>
    <w:rsid w:val="002034B4"/>
    <w:rsid w:val="00204032"/>
    <w:rsid w:val="00204BAD"/>
    <w:rsid w:val="00204D60"/>
    <w:rsid w:val="002052E4"/>
    <w:rsid w:val="00205627"/>
    <w:rsid w:val="002056D0"/>
    <w:rsid w:val="00210691"/>
    <w:rsid w:val="00210696"/>
    <w:rsid w:val="00210860"/>
    <w:rsid w:val="00210B6A"/>
    <w:rsid w:val="00211FE3"/>
    <w:rsid w:val="00212CB6"/>
    <w:rsid w:val="00212E37"/>
    <w:rsid w:val="002140FF"/>
    <w:rsid w:val="00214657"/>
    <w:rsid w:val="002206E0"/>
    <w:rsid w:val="00220894"/>
    <w:rsid w:val="00224952"/>
    <w:rsid w:val="00224DD2"/>
    <w:rsid w:val="00225A6A"/>
    <w:rsid w:val="00225AC7"/>
    <w:rsid w:val="00225ACC"/>
    <w:rsid w:val="00226637"/>
    <w:rsid w:val="0022756D"/>
    <w:rsid w:val="00231C25"/>
    <w:rsid w:val="00231C6F"/>
    <w:rsid w:val="00232A90"/>
    <w:rsid w:val="00234151"/>
    <w:rsid w:val="00234F8C"/>
    <w:rsid w:val="00235542"/>
    <w:rsid w:val="002369B0"/>
    <w:rsid w:val="00236AD8"/>
    <w:rsid w:val="00237C82"/>
    <w:rsid w:val="002401F5"/>
    <w:rsid w:val="00240E54"/>
    <w:rsid w:val="00242C26"/>
    <w:rsid w:val="00243561"/>
    <w:rsid w:val="002451C5"/>
    <w:rsid w:val="00245345"/>
    <w:rsid w:val="00245F1F"/>
    <w:rsid w:val="0024663B"/>
    <w:rsid w:val="00246EA0"/>
    <w:rsid w:val="00247103"/>
    <w:rsid w:val="00250067"/>
    <w:rsid w:val="002516DE"/>
    <w:rsid w:val="00251F81"/>
    <w:rsid w:val="0025257B"/>
    <w:rsid w:val="00252BE0"/>
    <w:rsid w:val="002531AD"/>
    <w:rsid w:val="00253588"/>
    <w:rsid w:val="002546F4"/>
    <w:rsid w:val="002551D0"/>
    <w:rsid w:val="00255374"/>
    <w:rsid w:val="00257BF4"/>
    <w:rsid w:val="00260003"/>
    <w:rsid w:val="0026035D"/>
    <w:rsid w:val="002606D6"/>
    <w:rsid w:val="00261C98"/>
    <w:rsid w:val="0026248E"/>
    <w:rsid w:val="00262914"/>
    <w:rsid w:val="00263220"/>
    <w:rsid w:val="002647BF"/>
    <w:rsid w:val="002647D5"/>
    <w:rsid w:val="00265032"/>
    <w:rsid w:val="002651FB"/>
    <w:rsid w:val="0026538C"/>
    <w:rsid w:val="00265624"/>
    <w:rsid w:val="00265781"/>
    <w:rsid w:val="0026666D"/>
    <w:rsid w:val="00266B13"/>
    <w:rsid w:val="00270728"/>
    <w:rsid w:val="00270B9F"/>
    <w:rsid w:val="00270D42"/>
    <w:rsid w:val="0027195D"/>
    <w:rsid w:val="00272A05"/>
    <w:rsid w:val="00272B03"/>
    <w:rsid w:val="002733E2"/>
    <w:rsid w:val="00273CA8"/>
    <w:rsid w:val="002750B1"/>
    <w:rsid w:val="00275BB7"/>
    <w:rsid w:val="00276A35"/>
    <w:rsid w:val="00277835"/>
    <w:rsid w:val="00280AB1"/>
    <w:rsid w:val="002836D7"/>
    <w:rsid w:val="00284BAE"/>
    <w:rsid w:val="002859AF"/>
    <w:rsid w:val="002862E3"/>
    <w:rsid w:val="00286AE7"/>
    <w:rsid w:val="00287243"/>
    <w:rsid w:val="002903AD"/>
    <w:rsid w:val="00290647"/>
    <w:rsid w:val="00290FF3"/>
    <w:rsid w:val="00291385"/>
    <w:rsid w:val="00291422"/>
    <w:rsid w:val="0029237F"/>
    <w:rsid w:val="00292715"/>
    <w:rsid w:val="00293E57"/>
    <w:rsid w:val="0029469B"/>
    <w:rsid w:val="002947D1"/>
    <w:rsid w:val="00294814"/>
    <w:rsid w:val="002948DF"/>
    <w:rsid w:val="00294D90"/>
    <w:rsid w:val="00295E7E"/>
    <w:rsid w:val="002A0B75"/>
    <w:rsid w:val="002A10A6"/>
    <w:rsid w:val="002A1E92"/>
    <w:rsid w:val="002A204D"/>
    <w:rsid w:val="002A2616"/>
    <w:rsid w:val="002A26E1"/>
    <w:rsid w:val="002A275F"/>
    <w:rsid w:val="002A368A"/>
    <w:rsid w:val="002A4065"/>
    <w:rsid w:val="002A471F"/>
    <w:rsid w:val="002A59F0"/>
    <w:rsid w:val="002A5E54"/>
    <w:rsid w:val="002A63BF"/>
    <w:rsid w:val="002A6432"/>
    <w:rsid w:val="002A6F25"/>
    <w:rsid w:val="002A6FD3"/>
    <w:rsid w:val="002B0799"/>
    <w:rsid w:val="002B0A7D"/>
    <w:rsid w:val="002B1981"/>
    <w:rsid w:val="002B1A69"/>
    <w:rsid w:val="002B1CC1"/>
    <w:rsid w:val="002B2723"/>
    <w:rsid w:val="002B2AC2"/>
    <w:rsid w:val="002B303A"/>
    <w:rsid w:val="002B44E7"/>
    <w:rsid w:val="002B4F64"/>
    <w:rsid w:val="002B538E"/>
    <w:rsid w:val="002B5DCA"/>
    <w:rsid w:val="002B6BDC"/>
    <w:rsid w:val="002B6CCC"/>
    <w:rsid w:val="002B6DB8"/>
    <w:rsid w:val="002B75B0"/>
    <w:rsid w:val="002B7EAF"/>
    <w:rsid w:val="002C099C"/>
    <w:rsid w:val="002C0B74"/>
    <w:rsid w:val="002C0C8B"/>
    <w:rsid w:val="002C0CBB"/>
    <w:rsid w:val="002C1201"/>
    <w:rsid w:val="002C1460"/>
    <w:rsid w:val="002C20F2"/>
    <w:rsid w:val="002C38B2"/>
    <w:rsid w:val="002C3F9C"/>
    <w:rsid w:val="002C568E"/>
    <w:rsid w:val="002C5AFA"/>
    <w:rsid w:val="002C6B15"/>
    <w:rsid w:val="002C7C79"/>
    <w:rsid w:val="002D0439"/>
    <w:rsid w:val="002D11B7"/>
    <w:rsid w:val="002D3BBC"/>
    <w:rsid w:val="002D438A"/>
    <w:rsid w:val="002D5738"/>
    <w:rsid w:val="002D5E53"/>
    <w:rsid w:val="002D60ED"/>
    <w:rsid w:val="002E0319"/>
    <w:rsid w:val="002E1606"/>
    <w:rsid w:val="002E179B"/>
    <w:rsid w:val="002E1C9E"/>
    <w:rsid w:val="002E257B"/>
    <w:rsid w:val="002E3C65"/>
    <w:rsid w:val="002E3F5B"/>
    <w:rsid w:val="002E4362"/>
    <w:rsid w:val="002E626B"/>
    <w:rsid w:val="002E63D9"/>
    <w:rsid w:val="002E640E"/>
    <w:rsid w:val="002F07F2"/>
    <w:rsid w:val="002F0C28"/>
    <w:rsid w:val="002F0E75"/>
    <w:rsid w:val="002F11E9"/>
    <w:rsid w:val="002F3CDE"/>
    <w:rsid w:val="002F423C"/>
    <w:rsid w:val="002F570D"/>
    <w:rsid w:val="002F5937"/>
    <w:rsid w:val="002F5DD6"/>
    <w:rsid w:val="002F5FEA"/>
    <w:rsid w:val="002F63E7"/>
    <w:rsid w:val="002F71D0"/>
    <w:rsid w:val="002F7BE3"/>
    <w:rsid w:val="002F7E6A"/>
    <w:rsid w:val="00300165"/>
    <w:rsid w:val="003010CF"/>
    <w:rsid w:val="00303440"/>
    <w:rsid w:val="00303CE7"/>
    <w:rsid w:val="00304D9B"/>
    <w:rsid w:val="00305FF9"/>
    <w:rsid w:val="00306B15"/>
    <w:rsid w:val="00306E6B"/>
    <w:rsid w:val="003100C8"/>
    <w:rsid w:val="00310426"/>
    <w:rsid w:val="00310722"/>
    <w:rsid w:val="00311161"/>
    <w:rsid w:val="00312400"/>
    <w:rsid w:val="00312739"/>
    <w:rsid w:val="00312D10"/>
    <w:rsid w:val="003139AD"/>
    <w:rsid w:val="00315FAB"/>
    <w:rsid w:val="003178DA"/>
    <w:rsid w:val="00317DB8"/>
    <w:rsid w:val="00320618"/>
    <w:rsid w:val="0032100B"/>
    <w:rsid w:val="00321BD7"/>
    <w:rsid w:val="0032260F"/>
    <w:rsid w:val="003228DA"/>
    <w:rsid w:val="00323486"/>
    <w:rsid w:val="00323D6B"/>
    <w:rsid w:val="00326194"/>
    <w:rsid w:val="00326957"/>
    <w:rsid w:val="00326AE2"/>
    <w:rsid w:val="00331426"/>
    <w:rsid w:val="0033171D"/>
    <w:rsid w:val="00331FC3"/>
    <w:rsid w:val="00332303"/>
    <w:rsid w:val="00332E75"/>
    <w:rsid w:val="003336B3"/>
    <w:rsid w:val="00334245"/>
    <w:rsid w:val="00335B75"/>
    <w:rsid w:val="00335D8C"/>
    <w:rsid w:val="00336072"/>
    <w:rsid w:val="003363A1"/>
    <w:rsid w:val="0034149C"/>
    <w:rsid w:val="0034226D"/>
    <w:rsid w:val="00342972"/>
    <w:rsid w:val="00342FDD"/>
    <w:rsid w:val="0034429B"/>
    <w:rsid w:val="00344866"/>
    <w:rsid w:val="0034638C"/>
    <w:rsid w:val="00346F7F"/>
    <w:rsid w:val="00347570"/>
    <w:rsid w:val="00347ED3"/>
    <w:rsid w:val="00350108"/>
    <w:rsid w:val="00350762"/>
    <w:rsid w:val="003507C4"/>
    <w:rsid w:val="00350D94"/>
    <w:rsid w:val="003519A1"/>
    <w:rsid w:val="00352480"/>
    <w:rsid w:val="003530D2"/>
    <w:rsid w:val="0035331A"/>
    <w:rsid w:val="003534E1"/>
    <w:rsid w:val="003548D8"/>
    <w:rsid w:val="003554CA"/>
    <w:rsid w:val="003561A1"/>
    <w:rsid w:val="003570AA"/>
    <w:rsid w:val="00360232"/>
    <w:rsid w:val="003602E0"/>
    <w:rsid w:val="0036097C"/>
    <w:rsid w:val="00360D01"/>
    <w:rsid w:val="00360F3F"/>
    <w:rsid w:val="00362569"/>
    <w:rsid w:val="003636CD"/>
    <w:rsid w:val="0036487C"/>
    <w:rsid w:val="00365411"/>
    <w:rsid w:val="00365505"/>
    <w:rsid w:val="00365FA2"/>
    <w:rsid w:val="00366212"/>
    <w:rsid w:val="00366878"/>
    <w:rsid w:val="00366C69"/>
    <w:rsid w:val="003672DE"/>
    <w:rsid w:val="00367441"/>
    <w:rsid w:val="003679CC"/>
    <w:rsid w:val="00367B1D"/>
    <w:rsid w:val="00370E4F"/>
    <w:rsid w:val="00371215"/>
    <w:rsid w:val="00371A4F"/>
    <w:rsid w:val="00372F0D"/>
    <w:rsid w:val="00374059"/>
    <w:rsid w:val="0037535B"/>
    <w:rsid w:val="0037552D"/>
    <w:rsid w:val="003756DB"/>
    <w:rsid w:val="003770BB"/>
    <w:rsid w:val="0037771A"/>
    <w:rsid w:val="003802DC"/>
    <w:rsid w:val="00380E4E"/>
    <w:rsid w:val="00380FBF"/>
    <w:rsid w:val="00381AD2"/>
    <w:rsid w:val="00382A43"/>
    <w:rsid w:val="00382D60"/>
    <w:rsid w:val="00382F29"/>
    <w:rsid w:val="00383C8D"/>
    <w:rsid w:val="003852FB"/>
    <w:rsid w:val="00385429"/>
    <w:rsid w:val="00385B05"/>
    <w:rsid w:val="00386382"/>
    <w:rsid w:val="003865EF"/>
    <w:rsid w:val="00386BA9"/>
    <w:rsid w:val="003878F9"/>
    <w:rsid w:val="00390017"/>
    <w:rsid w:val="003901A3"/>
    <w:rsid w:val="0039072F"/>
    <w:rsid w:val="003940CE"/>
    <w:rsid w:val="0039411D"/>
    <w:rsid w:val="003957FD"/>
    <w:rsid w:val="00395F62"/>
    <w:rsid w:val="003970A2"/>
    <w:rsid w:val="00397570"/>
    <w:rsid w:val="00397C1D"/>
    <w:rsid w:val="003A180F"/>
    <w:rsid w:val="003A18DD"/>
    <w:rsid w:val="003A20C8"/>
    <w:rsid w:val="003A2C29"/>
    <w:rsid w:val="003A2EC3"/>
    <w:rsid w:val="003A36F2"/>
    <w:rsid w:val="003A3D39"/>
    <w:rsid w:val="003A3EC7"/>
    <w:rsid w:val="003A40B4"/>
    <w:rsid w:val="003A64C0"/>
    <w:rsid w:val="003A7607"/>
    <w:rsid w:val="003A7834"/>
    <w:rsid w:val="003B0B5B"/>
    <w:rsid w:val="003B0E79"/>
    <w:rsid w:val="003B19A2"/>
    <w:rsid w:val="003B1DF2"/>
    <w:rsid w:val="003B21B4"/>
    <w:rsid w:val="003B3575"/>
    <w:rsid w:val="003B4647"/>
    <w:rsid w:val="003B4CF0"/>
    <w:rsid w:val="003B50BC"/>
    <w:rsid w:val="003B5198"/>
    <w:rsid w:val="003B5D97"/>
    <w:rsid w:val="003B63A4"/>
    <w:rsid w:val="003B68FE"/>
    <w:rsid w:val="003B6D7D"/>
    <w:rsid w:val="003B7D39"/>
    <w:rsid w:val="003B7D7E"/>
    <w:rsid w:val="003C0611"/>
    <w:rsid w:val="003C1012"/>
    <w:rsid w:val="003C11C9"/>
    <w:rsid w:val="003C1229"/>
    <w:rsid w:val="003C1FD4"/>
    <w:rsid w:val="003C213D"/>
    <w:rsid w:val="003C2400"/>
    <w:rsid w:val="003C25AD"/>
    <w:rsid w:val="003C2D21"/>
    <w:rsid w:val="003C48B8"/>
    <w:rsid w:val="003C4B55"/>
    <w:rsid w:val="003C5488"/>
    <w:rsid w:val="003C5A5F"/>
    <w:rsid w:val="003C5E6B"/>
    <w:rsid w:val="003C7AD7"/>
    <w:rsid w:val="003D0A97"/>
    <w:rsid w:val="003D0FC3"/>
    <w:rsid w:val="003D2C1D"/>
    <w:rsid w:val="003D2C34"/>
    <w:rsid w:val="003D3DDD"/>
    <w:rsid w:val="003D4547"/>
    <w:rsid w:val="003D5CBF"/>
    <w:rsid w:val="003D66D2"/>
    <w:rsid w:val="003D6DB7"/>
    <w:rsid w:val="003E07AE"/>
    <w:rsid w:val="003E089C"/>
    <w:rsid w:val="003E10E2"/>
    <w:rsid w:val="003E14FC"/>
    <w:rsid w:val="003E2976"/>
    <w:rsid w:val="003E40FD"/>
    <w:rsid w:val="003E4858"/>
    <w:rsid w:val="003E4917"/>
    <w:rsid w:val="003E4A6B"/>
    <w:rsid w:val="003E5487"/>
    <w:rsid w:val="003E6316"/>
    <w:rsid w:val="003E6884"/>
    <w:rsid w:val="003E6AC5"/>
    <w:rsid w:val="003E7D7B"/>
    <w:rsid w:val="003F0096"/>
    <w:rsid w:val="003F0850"/>
    <w:rsid w:val="003F0D12"/>
    <w:rsid w:val="003F0D31"/>
    <w:rsid w:val="003F160C"/>
    <w:rsid w:val="003F231F"/>
    <w:rsid w:val="003F324F"/>
    <w:rsid w:val="003F33BC"/>
    <w:rsid w:val="003F3D4E"/>
    <w:rsid w:val="003F477E"/>
    <w:rsid w:val="003F52BA"/>
    <w:rsid w:val="003F6CD2"/>
    <w:rsid w:val="003F788D"/>
    <w:rsid w:val="0040126E"/>
    <w:rsid w:val="004020D4"/>
    <w:rsid w:val="004021B6"/>
    <w:rsid w:val="004047C4"/>
    <w:rsid w:val="0040570B"/>
    <w:rsid w:val="00405EDB"/>
    <w:rsid w:val="00405FB1"/>
    <w:rsid w:val="00406460"/>
    <w:rsid w:val="00406992"/>
    <w:rsid w:val="00407E4F"/>
    <w:rsid w:val="00412461"/>
    <w:rsid w:val="00412546"/>
    <w:rsid w:val="00413053"/>
    <w:rsid w:val="0041319C"/>
    <w:rsid w:val="004137B6"/>
    <w:rsid w:val="00413A54"/>
    <w:rsid w:val="00413C10"/>
    <w:rsid w:val="00413CD9"/>
    <w:rsid w:val="00413F9A"/>
    <w:rsid w:val="004140CA"/>
    <w:rsid w:val="00414C65"/>
    <w:rsid w:val="004158D1"/>
    <w:rsid w:val="00415D76"/>
    <w:rsid w:val="00416665"/>
    <w:rsid w:val="00416A67"/>
    <w:rsid w:val="00416ACB"/>
    <w:rsid w:val="004173F2"/>
    <w:rsid w:val="00421752"/>
    <w:rsid w:val="00421B0E"/>
    <w:rsid w:val="00421DCF"/>
    <w:rsid w:val="00422341"/>
    <w:rsid w:val="00423641"/>
    <w:rsid w:val="00423C4D"/>
    <w:rsid w:val="00426266"/>
    <w:rsid w:val="00426A84"/>
    <w:rsid w:val="00427DC7"/>
    <w:rsid w:val="00430A2D"/>
    <w:rsid w:val="00430B53"/>
    <w:rsid w:val="00431505"/>
    <w:rsid w:val="00431AF0"/>
    <w:rsid w:val="00431B15"/>
    <w:rsid w:val="0043213A"/>
    <w:rsid w:val="00432796"/>
    <w:rsid w:val="004330F4"/>
    <w:rsid w:val="00433590"/>
    <w:rsid w:val="0043393D"/>
    <w:rsid w:val="004344C7"/>
    <w:rsid w:val="00434F83"/>
    <w:rsid w:val="00435274"/>
    <w:rsid w:val="004352AD"/>
    <w:rsid w:val="0043545D"/>
    <w:rsid w:val="00435FE2"/>
    <w:rsid w:val="00436E2F"/>
    <w:rsid w:val="00436EAB"/>
    <w:rsid w:val="00444A93"/>
    <w:rsid w:val="004460E9"/>
    <w:rsid w:val="004461D9"/>
    <w:rsid w:val="00446AC6"/>
    <w:rsid w:val="0044759B"/>
    <w:rsid w:val="00447F54"/>
    <w:rsid w:val="00450B7E"/>
    <w:rsid w:val="00450E77"/>
    <w:rsid w:val="0045136B"/>
    <w:rsid w:val="00451C7E"/>
    <w:rsid w:val="00453BB6"/>
    <w:rsid w:val="00453C7C"/>
    <w:rsid w:val="00453CAA"/>
    <w:rsid w:val="00455113"/>
    <w:rsid w:val="00455DB1"/>
    <w:rsid w:val="00456421"/>
    <w:rsid w:val="00456DAB"/>
    <w:rsid w:val="00456FBE"/>
    <w:rsid w:val="00460CC3"/>
    <w:rsid w:val="00460E86"/>
    <w:rsid w:val="00462173"/>
    <w:rsid w:val="004646B4"/>
    <w:rsid w:val="00464A88"/>
    <w:rsid w:val="00464E06"/>
    <w:rsid w:val="004650F1"/>
    <w:rsid w:val="004651A0"/>
    <w:rsid w:val="00465935"/>
    <w:rsid w:val="00466532"/>
    <w:rsid w:val="00466B0D"/>
    <w:rsid w:val="00466C53"/>
    <w:rsid w:val="00467488"/>
    <w:rsid w:val="00467A55"/>
    <w:rsid w:val="0047083E"/>
    <w:rsid w:val="00470D12"/>
    <w:rsid w:val="00470EB5"/>
    <w:rsid w:val="0047286B"/>
    <w:rsid w:val="00472E27"/>
    <w:rsid w:val="00474220"/>
    <w:rsid w:val="004752D3"/>
    <w:rsid w:val="004754E1"/>
    <w:rsid w:val="00475CE0"/>
    <w:rsid w:val="00476827"/>
    <w:rsid w:val="00476BD4"/>
    <w:rsid w:val="00477C35"/>
    <w:rsid w:val="00480033"/>
    <w:rsid w:val="00480988"/>
    <w:rsid w:val="00480E05"/>
    <w:rsid w:val="0048270A"/>
    <w:rsid w:val="00482BBE"/>
    <w:rsid w:val="00483A12"/>
    <w:rsid w:val="00484A77"/>
    <w:rsid w:val="0048540F"/>
    <w:rsid w:val="00485970"/>
    <w:rsid w:val="00485C0D"/>
    <w:rsid w:val="00486575"/>
    <w:rsid w:val="004866D0"/>
    <w:rsid w:val="00486936"/>
    <w:rsid w:val="004873B3"/>
    <w:rsid w:val="00491861"/>
    <w:rsid w:val="00491D93"/>
    <w:rsid w:val="00494242"/>
    <w:rsid w:val="00494E8E"/>
    <w:rsid w:val="004955BC"/>
    <w:rsid w:val="00495D63"/>
    <w:rsid w:val="00495F26"/>
    <w:rsid w:val="0049648F"/>
    <w:rsid w:val="00496606"/>
    <w:rsid w:val="00496E6D"/>
    <w:rsid w:val="00496F05"/>
    <w:rsid w:val="00497370"/>
    <w:rsid w:val="004973A0"/>
    <w:rsid w:val="004A0F39"/>
    <w:rsid w:val="004A251F"/>
    <w:rsid w:val="004A3BF1"/>
    <w:rsid w:val="004A3E42"/>
    <w:rsid w:val="004A446C"/>
    <w:rsid w:val="004A4715"/>
    <w:rsid w:val="004A5046"/>
    <w:rsid w:val="004A565E"/>
    <w:rsid w:val="004A5DF3"/>
    <w:rsid w:val="004A6134"/>
    <w:rsid w:val="004A7092"/>
    <w:rsid w:val="004A74B2"/>
    <w:rsid w:val="004B1314"/>
    <w:rsid w:val="004B2570"/>
    <w:rsid w:val="004B29CC"/>
    <w:rsid w:val="004B49E6"/>
    <w:rsid w:val="004B4D69"/>
    <w:rsid w:val="004B5649"/>
    <w:rsid w:val="004C0189"/>
    <w:rsid w:val="004C01A8"/>
    <w:rsid w:val="004C1840"/>
    <w:rsid w:val="004C24C9"/>
    <w:rsid w:val="004C31B6"/>
    <w:rsid w:val="004C5319"/>
    <w:rsid w:val="004C621F"/>
    <w:rsid w:val="004C6358"/>
    <w:rsid w:val="004C7948"/>
    <w:rsid w:val="004C7BB8"/>
    <w:rsid w:val="004C7C60"/>
    <w:rsid w:val="004D0DFE"/>
    <w:rsid w:val="004D15FB"/>
    <w:rsid w:val="004D1D91"/>
    <w:rsid w:val="004D22C3"/>
    <w:rsid w:val="004D257F"/>
    <w:rsid w:val="004D27A4"/>
    <w:rsid w:val="004D382B"/>
    <w:rsid w:val="004D40CE"/>
    <w:rsid w:val="004D47B1"/>
    <w:rsid w:val="004D57A7"/>
    <w:rsid w:val="004D6F4D"/>
    <w:rsid w:val="004D6F95"/>
    <w:rsid w:val="004D72FE"/>
    <w:rsid w:val="004D7E91"/>
    <w:rsid w:val="004D7F94"/>
    <w:rsid w:val="004E003A"/>
    <w:rsid w:val="004E0768"/>
    <w:rsid w:val="004E1A31"/>
    <w:rsid w:val="004E2BCA"/>
    <w:rsid w:val="004E2DE0"/>
    <w:rsid w:val="004E4060"/>
    <w:rsid w:val="004E409A"/>
    <w:rsid w:val="004F021F"/>
    <w:rsid w:val="004F0FB9"/>
    <w:rsid w:val="004F2F7E"/>
    <w:rsid w:val="004F32B5"/>
    <w:rsid w:val="004F39A8"/>
    <w:rsid w:val="004F407E"/>
    <w:rsid w:val="004F5479"/>
    <w:rsid w:val="004F64EB"/>
    <w:rsid w:val="004F748E"/>
    <w:rsid w:val="004F7528"/>
    <w:rsid w:val="004F7BCA"/>
    <w:rsid w:val="004F7D89"/>
    <w:rsid w:val="00501981"/>
    <w:rsid w:val="00501A85"/>
    <w:rsid w:val="00501BB3"/>
    <w:rsid w:val="005021DD"/>
    <w:rsid w:val="005026CA"/>
    <w:rsid w:val="00502B72"/>
    <w:rsid w:val="00502EBF"/>
    <w:rsid w:val="00504BC1"/>
    <w:rsid w:val="00505134"/>
    <w:rsid w:val="005058E3"/>
    <w:rsid w:val="00505C04"/>
    <w:rsid w:val="005101C4"/>
    <w:rsid w:val="00510D69"/>
    <w:rsid w:val="0051113F"/>
    <w:rsid w:val="00511EA0"/>
    <w:rsid w:val="00511F15"/>
    <w:rsid w:val="00512563"/>
    <w:rsid w:val="0051318C"/>
    <w:rsid w:val="0051359A"/>
    <w:rsid w:val="005142CD"/>
    <w:rsid w:val="005142D3"/>
    <w:rsid w:val="005143C9"/>
    <w:rsid w:val="005151C3"/>
    <w:rsid w:val="005157A9"/>
    <w:rsid w:val="005173A7"/>
    <w:rsid w:val="005177E1"/>
    <w:rsid w:val="00520C0A"/>
    <w:rsid w:val="005215DB"/>
    <w:rsid w:val="005218B6"/>
    <w:rsid w:val="00521B01"/>
    <w:rsid w:val="00522589"/>
    <w:rsid w:val="005227FD"/>
    <w:rsid w:val="00524545"/>
    <w:rsid w:val="0052477A"/>
    <w:rsid w:val="00524E65"/>
    <w:rsid w:val="005255BF"/>
    <w:rsid w:val="005257DE"/>
    <w:rsid w:val="00525E29"/>
    <w:rsid w:val="00527200"/>
    <w:rsid w:val="00530157"/>
    <w:rsid w:val="00531EBE"/>
    <w:rsid w:val="00532F8B"/>
    <w:rsid w:val="00533737"/>
    <w:rsid w:val="00535597"/>
    <w:rsid w:val="00535B79"/>
    <w:rsid w:val="00535D7C"/>
    <w:rsid w:val="00536579"/>
    <w:rsid w:val="00536C1E"/>
    <w:rsid w:val="00537813"/>
    <w:rsid w:val="0054343A"/>
    <w:rsid w:val="00543974"/>
    <w:rsid w:val="00543EBF"/>
    <w:rsid w:val="00544ABA"/>
    <w:rsid w:val="00545037"/>
    <w:rsid w:val="0054593A"/>
    <w:rsid w:val="005467FB"/>
    <w:rsid w:val="00546AE9"/>
    <w:rsid w:val="00547989"/>
    <w:rsid w:val="005479D7"/>
    <w:rsid w:val="00550122"/>
    <w:rsid w:val="005508C1"/>
    <w:rsid w:val="00550F00"/>
    <w:rsid w:val="00551320"/>
    <w:rsid w:val="005518A4"/>
    <w:rsid w:val="00552768"/>
    <w:rsid w:val="00552935"/>
    <w:rsid w:val="00553127"/>
    <w:rsid w:val="005537D5"/>
    <w:rsid w:val="00554BDE"/>
    <w:rsid w:val="00554BE7"/>
    <w:rsid w:val="00556D68"/>
    <w:rsid w:val="00557173"/>
    <w:rsid w:val="005576A1"/>
    <w:rsid w:val="00557A64"/>
    <w:rsid w:val="005605C0"/>
    <w:rsid w:val="00560D23"/>
    <w:rsid w:val="005615D8"/>
    <w:rsid w:val="005626D6"/>
    <w:rsid w:val="00563602"/>
    <w:rsid w:val="005638D4"/>
    <w:rsid w:val="005647D5"/>
    <w:rsid w:val="005656ED"/>
    <w:rsid w:val="00566544"/>
    <w:rsid w:val="00566608"/>
    <w:rsid w:val="00566C83"/>
    <w:rsid w:val="00567B9A"/>
    <w:rsid w:val="005700FE"/>
    <w:rsid w:val="00570E24"/>
    <w:rsid w:val="0057189E"/>
    <w:rsid w:val="00572760"/>
    <w:rsid w:val="00572815"/>
    <w:rsid w:val="005730F3"/>
    <w:rsid w:val="005743DE"/>
    <w:rsid w:val="00574F3F"/>
    <w:rsid w:val="00575008"/>
    <w:rsid w:val="0057562C"/>
    <w:rsid w:val="005759F6"/>
    <w:rsid w:val="00575E3E"/>
    <w:rsid w:val="005765F5"/>
    <w:rsid w:val="00576D6C"/>
    <w:rsid w:val="00577A2E"/>
    <w:rsid w:val="005800B3"/>
    <w:rsid w:val="00580E48"/>
    <w:rsid w:val="00580F0A"/>
    <w:rsid w:val="00581246"/>
    <w:rsid w:val="00582278"/>
    <w:rsid w:val="005826BF"/>
    <w:rsid w:val="00582C3A"/>
    <w:rsid w:val="00582E1A"/>
    <w:rsid w:val="00583147"/>
    <w:rsid w:val="00584416"/>
    <w:rsid w:val="00584B39"/>
    <w:rsid w:val="00585028"/>
    <w:rsid w:val="005854D1"/>
    <w:rsid w:val="00585F5B"/>
    <w:rsid w:val="0058620A"/>
    <w:rsid w:val="00587FC0"/>
    <w:rsid w:val="005902C6"/>
    <w:rsid w:val="00590379"/>
    <w:rsid w:val="005906AD"/>
    <w:rsid w:val="00590DA6"/>
    <w:rsid w:val="00591688"/>
    <w:rsid w:val="00591C7D"/>
    <w:rsid w:val="00592B03"/>
    <w:rsid w:val="00593AB9"/>
    <w:rsid w:val="00594ABB"/>
    <w:rsid w:val="00594D1C"/>
    <w:rsid w:val="00594E36"/>
    <w:rsid w:val="00594F0A"/>
    <w:rsid w:val="0059525E"/>
    <w:rsid w:val="00595887"/>
    <w:rsid w:val="005961F7"/>
    <w:rsid w:val="00596648"/>
    <w:rsid w:val="00596B9C"/>
    <w:rsid w:val="005A054D"/>
    <w:rsid w:val="005A0A46"/>
    <w:rsid w:val="005A10B9"/>
    <w:rsid w:val="005A11EA"/>
    <w:rsid w:val="005A269F"/>
    <w:rsid w:val="005A305E"/>
    <w:rsid w:val="005A30BB"/>
    <w:rsid w:val="005A3887"/>
    <w:rsid w:val="005A6537"/>
    <w:rsid w:val="005A7C61"/>
    <w:rsid w:val="005B0542"/>
    <w:rsid w:val="005B2225"/>
    <w:rsid w:val="005B2799"/>
    <w:rsid w:val="005B2B77"/>
    <w:rsid w:val="005B3D4A"/>
    <w:rsid w:val="005B4D87"/>
    <w:rsid w:val="005B538D"/>
    <w:rsid w:val="005B7186"/>
    <w:rsid w:val="005B7DD1"/>
    <w:rsid w:val="005C00A0"/>
    <w:rsid w:val="005C28FA"/>
    <w:rsid w:val="005C372C"/>
    <w:rsid w:val="005C40F4"/>
    <w:rsid w:val="005C43BE"/>
    <w:rsid w:val="005C44F3"/>
    <w:rsid w:val="005C4A62"/>
    <w:rsid w:val="005C4BDD"/>
    <w:rsid w:val="005C661F"/>
    <w:rsid w:val="005C712D"/>
    <w:rsid w:val="005C7C75"/>
    <w:rsid w:val="005D0273"/>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648A"/>
    <w:rsid w:val="005D6548"/>
    <w:rsid w:val="005D6E61"/>
    <w:rsid w:val="005D7E0D"/>
    <w:rsid w:val="005E001D"/>
    <w:rsid w:val="005E234A"/>
    <w:rsid w:val="005E35CC"/>
    <w:rsid w:val="005E371E"/>
    <w:rsid w:val="005E53F9"/>
    <w:rsid w:val="005E6E57"/>
    <w:rsid w:val="005E775D"/>
    <w:rsid w:val="005F0A43"/>
    <w:rsid w:val="005F27BF"/>
    <w:rsid w:val="005F3F35"/>
    <w:rsid w:val="005F4171"/>
    <w:rsid w:val="005F46D6"/>
    <w:rsid w:val="005F4DD6"/>
    <w:rsid w:val="005F50D8"/>
    <w:rsid w:val="005F53A1"/>
    <w:rsid w:val="005F6B77"/>
    <w:rsid w:val="005F7487"/>
    <w:rsid w:val="005F7751"/>
    <w:rsid w:val="006002C7"/>
    <w:rsid w:val="00600F95"/>
    <w:rsid w:val="00601839"/>
    <w:rsid w:val="00602759"/>
    <w:rsid w:val="0060277A"/>
    <w:rsid w:val="00602B7C"/>
    <w:rsid w:val="00603312"/>
    <w:rsid w:val="00604DC7"/>
    <w:rsid w:val="00604E47"/>
    <w:rsid w:val="00605441"/>
    <w:rsid w:val="0060654D"/>
    <w:rsid w:val="00606970"/>
    <w:rsid w:val="00606A20"/>
    <w:rsid w:val="006072C6"/>
    <w:rsid w:val="00607A02"/>
    <w:rsid w:val="00607A2E"/>
    <w:rsid w:val="006130F7"/>
    <w:rsid w:val="00613A98"/>
    <w:rsid w:val="00613AF8"/>
    <w:rsid w:val="00613D8E"/>
    <w:rsid w:val="006142E0"/>
    <w:rsid w:val="00615E74"/>
    <w:rsid w:val="00616112"/>
    <w:rsid w:val="006205CA"/>
    <w:rsid w:val="00621E22"/>
    <w:rsid w:val="00621F53"/>
    <w:rsid w:val="00622E2A"/>
    <w:rsid w:val="00623089"/>
    <w:rsid w:val="0062308E"/>
    <w:rsid w:val="00623175"/>
    <w:rsid w:val="006234C4"/>
    <w:rsid w:val="006244C9"/>
    <w:rsid w:val="006245F6"/>
    <w:rsid w:val="0062475D"/>
    <w:rsid w:val="0062495F"/>
    <w:rsid w:val="00624D50"/>
    <w:rsid w:val="0062660B"/>
    <w:rsid w:val="00626AD1"/>
    <w:rsid w:val="00627411"/>
    <w:rsid w:val="006304BC"/>
    <w:rsid w:val="00630DCE"/>
    <w:rsid w:val="006310F0"/>
    <w:rsid w:val="0063120A"/>
    <w:rsid w:val="0063150B"/>
    <w:rsid w:val="00631585"/>
    <w:rsid w:val="00632126"/>
    <w:rsid w:val="0063454B"/>
    <w:rsid w:val="00634ACF"/>
    <w:rsid w:val="00634C10"/>
    <w:rsid w:val="00635035"/>
    <w:rsid w:val="0063580D"/>
    <w:rsid w:val="00635CAE"/>
    <w:rsid w:val="00637240"/>
    <w:rsid w:val="00640A80"/>
    <w:rsid w:val="00640D9B"/>
    <w:rsid w:val="00640F77"/>
    <w:rsid w:val="00643660"/>
    <w:rsid w:val="00650139"/>
    <w:rsid w:val="00651100"/>
    <w:rsid w:val="00652756"/>
    <w:rsid w:val="00652AD8"/>
    <w:rsid w:val="00652B79"/>
    <w:rsid w:val="006533C3"/>
    <w:rsid w:val="00654068"/>
    <w:rsid w:val="00654B38"/>
    <w:rsid w:val="00654B83"/>
    <w:rsid w:val="00655061"/>
    <w:rsid w:val="0065510C"/>
    <w:rsid w:val="00655B63"/>
    <w:rsid w:val="00656EF8"/>
    <w:rsid w:val="00656FDC"/>
    <w:rsid w:val="006571F6"/>
    <w:rsid w:val="00657FA0"/>
    <w:rsid w:val="006618CC"/>
    <w:rsid w:val="00662111"/>
    <w:rsid w:val="00662118"/>
    <w:rsid w:val="006638AD"/>
    <w:rsid w:val="006671D4"/>
    <w:rsid w:val="006672CE"/>
    <w:rsid w:val="0066732C"/>
    <w:rsid w:val="006679F5"/>
    <w:rsid w:val="00667B77"/>
    <w:rsid w:val="006716DA"/>
    <w:rsid w:val="006728ED"/>
    <w:rsid w:val="006732B1"/>
    <w:rsid w:val="0067446F"/>
    <w:rsid w:val="006746A4"/>
    <w:rsid w:val="00675122"/>
    <w:rsid w:val="00675558"/>
    <w:rsid w:val="00675611"/>
    <w:rsid w:val="00675A60"/>
    <w:rsid w:val="0067697E"/>
    <w:rsid w:val="00677443"/>
    <w:rsid w:val="0067769A"/>
    <w:rsid w:val="00677DFE"/>
    <w:rsid w:val="006806A3"/>
    <w:rsid w:val="006806A6"/>
    <w:rsid w:val="00680C79"/>
    <w:rsid w:val="00681211"/>
    <w:rsid w:val="00681B36"/>
    <w:rsid w:val="00682E14"/>
    <w:rsid w:val="0068436C"/>
    <w:rsid w:val="0068545E"/>
    <w:rsid w:val="00685FD4"/>
    <w:rsid w:val="00686612"/>
    <w:rsid w:val="0068661E"/>
    <w:rsid w:val="006879EF"/>
    <w:rsid w:val="00690A49"/>
    <w:rsid w:val="00690BB6"/>
    <w:rsid w:val="006912EC"/>
    <w:rsid w:val="00691B30"/>
    <w:rsid w:val="00693E1F"/>
    <w:rsid w:val="00693ECB"/>
    <w:rsid w:val="00694797"/>
    <w:rsid w:val="00695175"/>
    <w:rsid w:val="00695887"/>
    <w:rsid w:val="00696E01"/>
    <w:rsid w:val="00697733"/>
    <w:rsid w:val="006A1EDA"/>
    <w:rsid w:val="006A254E"/>
    <w:rsid w:val="006A2C30"/>
    <w:rsid w:val="006A301C"/>
    <w:rsid w:val="006A3E2B"/>
    <w:rsid w:val="006A4224"/>
    <w:rsid w:val="006A593F"/>
    <w:rsid w:val="006A63D1"/>
    <w:rsid w:val="006A6C86"/>
    <w:rsid w:val="006A6E17"/>
    <w:rsid w:val="006A7264"/>
    <w:rsid w:val="006B120D"/>
    <w:rsid w:val="006B17E7"/>
    <w:rsid w:val="006B19E8"/>
    <w:rsid w:val="006B1A8A"/>
    <w:rsid w:val="006B1FD5"/>
    <w:rsid w:val="006B1FEF"/>
    <w:rsid w:val="006B3A29"/>
    <w:rsid w:val="006B460C"/>
    <w:rsid w:val="006B555A"/>
    <w:rsid w:val="006B5A00"/>
    <w:rsid w:val="006B600A"/>
    <w:rsid w:val="006B6635"/>
    <w:rsid w:val="006B74B8"/>
    <w:rsid w:val="006B7D22"/>
    <w:rsid w:val="006B7D2C"/>
    <w:rsid w:val="006C1019"/>
    <w:rsid w:val="006C2BB5"/>
    <w:rsid w:val="006C2BEE"/>
    <w:rsid w:val="006C3AD8"/>
    <w:rsid w:val="006C4516"/>
    <w:rsid w:val="006C455E"/>
    <w:rsid w:val="006C5958"/>
    <w:rsid w:val="006C5B4F"/>
    <w:rsid w:val="006C643C"/>
    <w:rsid w:val="006C6E3A"/>
    <w:rsid w:val="006C6FD7"/>
    <w:rsid w:val="006C7124"/>
    <w:rsid w:val="006C734F"/>
    <w:rsid w:val="006D00DB"/>
    <w:rsid w:val="006D0361"/>
    <w:rsid w:val="006D16B0"/>
    <w:rsid w:val="006D2182"/>
    <w:rsid w:val="006D2444"/>
    <w:rsid w:val="006D254B"/>
    <w:rsid w:val="006D289B"/>
    <w:rsid w:val="006D3BE1"/>
    <w:rsid w:val="006D4021"/>
    <w:rsid w:val="006D48FC"/>
    <w:rsid w:val="006D62BC"/>
    <w:rsid w:val="006D6450"/>
    <w:rsid w:val="006D6939"/>
    <w:rsid w:val="006D7EB0"/>
    <w:rsid w:val="006E0138"/>
    <w:rsid w:val="006E017F"/>
    <w:rsid w:val="006E0BB0"/>
    <w:rsid w:val="006E12C3"/>
    <w:rsid w:val="006E222C"/>
    <w:rsid w:val="006E2529"/>
    <w:rsid w:val="006E45F3"/>
    <w:rsid w:val="006E4A2F"/>
    <w:rsid w:val="006E4ED4"/>
    <w:rsid w:val="006E5E19"/>
    <w:rsid w:val="006E61C3"/>
    <w:rsid w:val="006E7370"/>
    <w:rsid w:val="006E799D"/>
    <w:rsid w:val="006F0593"/>
    <w:rsid w:val="006F08B2"/>
    <w:rsid w:val="006F1064"/>
    <w:rsid w:val="006F1A51"/>
    <w:rsid w:val="006F1EB7"/>
    <w:rsid w:val="006F52E5"/>
    <w:rsid w:val="006F6066"/>
    <w:rsid w:val="006F6850"/>
    <w:rsid w:val="006F707E"/>
    <w:rsid w:val="007001DC"/>
    <w:rsid w:val="0070048C"/>
    <w:rsid w:val="007025CB"/>
    <w:rsid w:val="00702A7C"/>
    <w:rsid w:val="007034AA"/>
    <w:rsid w:val="00703C9D"/>
    <w:rsid w:val="0070490C"/>
    <w:rsid w:val="00705C38"/>
    <w:rsid w:val="00705F2D"/>
    <w:rsid w:val="00706465"/>
    <w:rsid w:val="0070695A"/>
    <w:rsid w:val="0070782D"/>
    <w:rsid w:val="007109C2"/>
    <w:rsid w:val="00711340"/>
    <w:rsid w:val="00711D7C"/>
    <w:rsid w:val="00712C42"/>
    <w:rsid w:val="007136D0"/>
    <w:rsid w:val="00713DE4"/>
    <w:rsid w:val="00714C47"/>
    <w:rsid w:val="00715485"/>
    <w:rsid w:val="00716462"/>
    <w:rsid w:val="0072040B"/>
    <w:rsid w:val="00721084"/>
    <w:rsid w:val="00721262"/>
    <w:rsid w:val="00721D9B"/>
    <w:rsid w:val="00722121"/>
    <w:rsid w:val="007224B9"/>
    <w:rsid w:val="00722F94"/>
    <w:rsid w:val="00723AA7"/>
    <w:rsid w:val="0072432E"/>
    <w:rsid w:val="007246B9"/>
    <w:rsid w:val="007258FB"/>
    <w:rsid w:val="00726036"/>
    <w:rsid w:val="00726279"/>
    <w:rsid w:val="007269CB"/>
    <w:rsid w:val="00726A9B"/>
    <w:rsid w:val="00727530"/>
    <w:rsid w:val="007313FE"/>
    <w:rsid w:val="00731E7C"/>
    <w:rsid w:val="007329EF"/>
    <w:rsid w:val="007330CD"/>
    <w:rsid w:val="0073327A"/>
    <w:rsid w:val="00734EBE"/>
    <w:rsid w:val="00735504"/>
    <w:rsid w:val="00736076"/>
    <w:rsid w:val="007369A0"/>
    <w:rsid w:val="00736DD8"/>
    <w:rsid w:val="0074076A"/>
    <w:rsid w:val="00740D56"/>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08DB"/>
    <w:rsid w:val="00751091"/>
    <w:rsid w:val="00751B83"/>
    <w:rsid w:val="007524ED"/>
    <w:rsid w:val="00752975"/>
    <w:rsid w:val="00754359"/>
    <w:rsid w:val="00754411"/>
    <w:rsid w:val="00754BD9"/>
    <w:rsid w:val="00754E7A"/>
    <w:rsid w:val="0075540C"/>
    <w:rsid w:val="00755DB1"/>
    <w:rsid w:val="007574FC"/>
    <w:rsid w:val="00760975"/>
    <w:rsid w:val="00761FDA"/>
    <w:rsid w:val="007621FF"/>
    <w:rsid w:val="007628D8"/>
    <w:rsid w:val="007634E3"/>
    <w:rsid w:val="00763B00"/>
    <w:rsid w:val="00764194"/>
    <w:rsid w:val="007644F3"/>
    <w:rsid w:val="00765ED3"/>
    <w:rsid w:val="0076681D"/>
    <w:rsid w:val="00766A65"/>
    <w:rsid w:val="007671F5"/>
    <w:rsid w:val="007676B8"/>
    <w:rsid w:val="00767755"/>
    <w:rsid w:val="0077175C"/>
    <w:rsid w:val="00771870"/>
    <w:rsid w:val="00771BF9"/>
    <w:rsid w:val="00772F8A"/>
    <w:rsid w:val="007739C6"/>
    <w:rsid w:val="0077479B"/>
    <w:rsid w:val="00774889"/>
    <w:rsid w:val="00774FF5"/>
    <w:rsid w:val="007750B3"/>
    <w:rsid w:val="0077543A"/>
    <w:rsid w:val="00775507"/>
    <w:rsid w:val="007756DF"/>
    <w:rsid w:val="00775B47"/>
    <w:rsid w:val="00775F76"/>
    <w:rsid w:val="00776AEA"/>
    <w:rsid w:val="00777BA0"/>
    <w:rsid w:val="007803BD"/>
    <w:rsid w:val="007811DC"/>
    <w:rsid w:val="00781D16"/>
    <w:rsid w:val="007820FA"/>
    <w:rsid w:val="0078285F"/>
    <w:rsid w:val="00782CEF"/>
    <w:rsid w:val="00783207"/>
    <w:rsid w:val="00783E1D"/>
    <w:rsid w:val="0078483B"/>
    <w:rsid w:val="00784EED"/>
    <w:rsid w:val="00785900"/>
    <w:rsid w:val="00786958"/>
    <w:rsid w:val="00786E71"/>
    <w:rsid w:val="0079162F"/>
    <w:rsid w:val="00792788"/>
    <w:rsid w:val="00794924"/>
    <w:rsid w:val="007A084D"/>
    <w:rsid w:val="007A0BC2"/>
    <w:rsid w:val="007A1F44"/>
    <w:rsid w:val="007A23FF"/>
    <w:rsid w:val="007A2564"/>
    <w:rsid w:val="007A295B"/>
    <w:rsid w:val="007A3232"/>
    <w:rsid w:val="007A3424"/>
    <w:rsid w:val="007A35EF"/>
    <w:rsid w:val="007A43A2"/>
    <w:rsid w:val="007A4D04"/>
    <w:rsid w:val="007A6736"/>
    <w:rsid w:val="007A74B1"/>
    <w:rsid w:val="007A7857"/>
    <w:rsid w:val="007A7983"/>
    <w:rsid w:val="007A7A96"/>
    <w:rsid w:val="007B03AF"/>
    <w:rsid w:val="007B0909"/>
    <w:rsid w:val="007B1543"/>
    <w:rsid w:val="007B1AC0"/>
    <w:rsid w:val="007B270A"/>
    <w:rsid w:val="007B2D3B"/>
    <w:rsid w:val="007B51FB"/>
    <w:rsid w:val="007B52CD"/>
    <w:rsid w:val="007B78DE"/>
    <w:rsid w:val="007B7DC1"/>
    <w:rsid w:val="007B7EDB"/>
    <w:rsid w:val="007C19AD"/>
    <w:rsid w:val="007C3598"/>
    <w:rsid w:val="007C3FA8"/>
    <w:rsid w:val="007C4296"/>
    <w:rsid w:val="007C6479"/>
    <w:rsid w:val="007C68DA"/>
    <w:rsid w:val="007C7F34"/>
    <w:rsid w:val="007D229A"/>
    <w:rsid w:val="007D2534"/>
    <w:rsid w:val="007D2C5F"/>
    <w:rsid w:val="007D2F44"/>
    <w:rsid w:val="007D2F4D"/>
    <w:rsid w:val="007D4178"/>
    <w:rsid w:val="007D4D33"/>
    <w:rsid w:val="007D7175"/>
    <w:rsid w:val="007E1369"/>
    <w:rsid w:val="007E1A1B"/>
    <w:rsid w:val="007E1A88"/>
    <w:rsid w:val="007E3EE7"/>
    <w:rsid w:val="007E4C88"/>
    <w:rsid w:val="007E4E99"/>
    <w:rsid w:val="007E585E"/>
    <w:rsid w:val="007E64CB"/>
    <w:rsid w:val="007E7DDF"/>
    <w:rsid w:val="007E7EAA"/>
    <w:rsid w:val="007F11C8"/>
    <w:rsid w:val="007F1CFB"/>
    <w:rsid w:val="007F220B"/>
    <w:rsid w:val="007F27DD"/>
    <w:rsid w:val="007F3374"/>
    <w:rsid w:val="007F6880"/>
    <w:rsid w:val="007F76B4"/>
    <w:rsid w:val="008001B4"/>
    <w:rsid w:val="00800769"/>
    <w:rsid w:val="008008AD"/>
    <w:rsid w:val="00800ED2"/>
    <w:rsid w:val="00802A4D"/>
    <w:rsid w:val="00802E74"/>
    <w:rsid w:val="00803AC8"/>
    <w:rsid w:val="00804B92"/>
    <w:rsid w:val="00804E21"/>
    <w:rsid w:val="00805092"/>
    <w:rsid w:val="008059BD"/>
    <w:rsid w:val="00806AAF"/>
    <w:rsid w:val="008070AC"/>
    <w:rsid w:val="00807999"/>
    <w:rsid w:val="00807B9C"/>
    <w:rsid w:val="008101FD"/>
    <w:rsid w:val="00810925"/>
    <w:rsid w:val="00810D8D"/>
    <w:rsid w:val="008117C0"/>
    <w:rsid w:val="00811835"/>
    <w:rsid w:val="008146EA"/>
    <w:rsid w:val="0081581D"/>
    <w:rsid w:val="008172BE"/>
    <w:rsid w:val="00817B71"/>
    <w:rsid w:val="0082000B"/>
    <w:rsid w:val="00820244"/>
    <w:rsid w:val="008218B9"/>
    <w:rsid w:val="008221B3"/>
    <w:rsid w:val="0082248E"/>
    <w:rsid w:val="00824327"/>
    <w:rsid w:val="00824FDF"/>
    <w:rsid w:val="00825108"/>
    <w:rsid w:val="00825125"/>
    <w:rsid w:val="008257CC"/>
    <w:rsid w:val="00826D83"/>
    <w:rsid w:val="008274BF"/>
    <w:rsid w:val="0083053E"/>
    <w:rsid w:val="00830DC3"/>
    <w:rsid w:val="00831555"/>
    <w:rsid w:val="00831F52"/>
    <w:rsid w:val="00832154"/>
    <w:rsid w:val="00832CF5"/>
    <w:rsid w:val="00832F5C"/>
    <w:rsid w:val="008335B5"/>
    <w:rsid w:val="0083389B"/>
    <w:rsid w:val="00833DDE"/>
    <w:rsid w:val="00835812"/>
    <w:rsid w:val="008359E0"/>
    <w:rsid w:val="008376F6"/>
    <w:rsid w:val="00837D5B"/>
    <w:rsid w:val="00840607"/>
    <w:rsid w:val="00841CD2"/>
    <w:rsid w:val="00842B77"/>
    <w:rsid w:val="0084309F"/>
    <w:rsid w:val="0084341D"/>
    <w:rsid w:val="00843507"/>
    <w:rsid w:val="00845542"/>
    <w:rsid w:val="00845C12"/>
    <w:rsid w:val="008469D9"/>
    <w:rsid w:val="00846DC0"/>
    <w:rsid w:val="008474A7"/>
    <w:rsid w:val="008506B6"/>
    <w:rsid w:val="00850AE0"/>
    <w:rsid w:val="008524D2"/>
    <w:rsid w:val="00852E19"/>
    <w:rsid w:val="008542D4"/>
    <w:rsid w:val="00856833"/>
    <w:rsid w:val="00856840"/>
    <w:rsid w:val="00857932"/>
    <w:rsid w:val="00860407"/>
    <w:rsid w:val="0086087C"/>
    <w:rsid w:val="00860D8E"/>
    <w:rsid w:val="00862406"/>
    <w:rsid w:val="0086275E"/>
    <w:rsid w:val="00864440"/>
    <w:rsid w:val="00864483"/>
    <w:rsid w:val="00864D76"/>
    <w:rsid w:val="008650FC"/>
    <w:rsid w:val="00866EB3"/>
    <w:rsid w:val="0086701A"/>
    <w:rsid w:val="00867BD2"/>
    <w:rsid w:val="00870522"/>
    <w:rsid w:val="00870C98"/>
    <w:rsid w:val="008712FD"/>
    <w:rsid w:val="008716A1"/>
    <w:rsid w:val="00872D3F"/>
    <w:rsid w:val="008733E4"/>
    <w:rsid w:val="00873F15"/>
    <w:rsid w:val="00874096"/>
    <w:rsid w:val="00874683"/>
    <w:rsid w:val="00874CD7"/>
    <w:rsid w:val="008756A4"/>
    <w:rsid w:val="00875F73"/>
    <w:rsid w:val="00880F30"/>
    <w:rsid w:val="008827DA"/>
    <w:rsid w:val="00882F73"/>
    <w:rsid w:val="008833E8"/>
    <w:rsid w:val="00883484"/>
    <w:rsid w:val="00884879"/>
    <w:rsid w:val="008850AE"/>
    <w:rsid w:val="00887B48"/>
    <w:rsid w:val="00890B1C"/>
    <w:rsid w:val="0089176E"/>
    <w:rsid w:val="008917E0"/>
    <w:rsid w:val="00892365"/>
    <w:rsid w:val="00892BE5"/>
    <w:rsid w:val="0089306F"/>
    <w:rsid w:val="0089387C"/>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612"/>
    <w:rsid w:val="008B289C"/>
    <w:rsid w:val="008B2A76"/>
    <w:rsid w:val="008B389D"/>
    <w:rsid w:val="008B3C5C"/>
    <w:rsid w:val="008B3FA3"/>
    <w:rsid w:val="008B5299"/>
    <w:rsid w:val="008B5A5F"/>
    <w:rsid w:val="008B5AB0"/>
    <w:rsid w:val="008B6054"/>
    <w:rsid w:val="008B7B08"/>
    <w:rsid w:val="008C13F0"/>
    <w:rsid w:val="008C1CFD"/>
    <w:rsid w:val="008C1F26"/>
    <w:rsid w:val="008C2A3A"/>
    <w:rsid w:val="008C4C7E"/>
    <w:rsid w:val="008C5C46"/>
    <w:rsid w:val="008C6184"/>
    <w:rsid w:val="008C635F"/>
    <w:rsid w:val="008C785E"/>
    <w:rsid w:val="008D0AFB"/>
    <w:rsid w:val="008D1511"/>
    <w:rsid w:val="008D1ABE"/>
    <w:rsid w:val="008D2441"/>
    <w:rsid w:val="008D32DF"/>
    <w:rsid w:val="008D35E9"/>
    <w:rsid w:val="008D3959"/>
    <w:rsid w:val="008D3966"/>
    <w:rsid w:val="008D4352"/>
    <w:rsid w:val="008D60BC"/>
    <w:rsid w:val="008D6D7B"/>
    <w:rsid w:val="008D7EB7"/>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75E7"/>
    <w:rsid w:val="008F0A38"/>
    <w:rsid w:val="008F0C91"/>
    <w:rsid w:val="008F0F84"/>
    <w:rsid w:val="008F1014"/>
    <w:rsid w:val="008F11C9"/>
    <w:rsid w:val="008F23D8"/>
    <w:rsid w:val="008F2FD5"/>
    <w:rsid w:val="008F37E5"/>
    <w:rsid w:val="008F387C"/>
    <w:rsid w:val="008F3998"/>
    <w:rsid w:val="008F48C2"/>
    <w:rsid w:val="008F5840"/>
    <w:rsid w:val="008F5EEF"/>
    <w:rsid w:val="008F6262"/>
    <w:rsid w:val="008F66FE"/>
    <w:rsid w:val="008F72CC"/>
    <w:rsid w:val="008F72CD"/>
    <w:rsid w:val="00900885"/>
    <w:rsid w:val="00902140"/>
    <w:rsid w:val="00902F51"/>
    <w:rsid w:val="00903802"/>
    <w:rsid w:val="0090696D"/>
    <w:rsid w:val="00906CD6"/>
    <w:rsid w:val="00906E4D"/>
    <w:rsid w:val="00906F31"/>
    <w:rsid w:val="009078B3"/>
    <w:rsid w:val="00907A77"/>
    <w:rsid w:val="00907E00"/>
    <w:rsid w:val="009103C5"/>
    <w:rsid w:val="009107E7"/>
    <w:rsid w:val="0091088D"/>
    <w:rsid w:val="00910FC9"/>
    <w:rsid w:val="009117DC"/>
    <w:rsid w:val="009124BD"/>
    <w:rsid w:val="0091291A"/>
    <w:rsid w:val="00913612"/>
    <w:rsid w:val="0091366A"/>
    <w:rsid w:val="00913824"/>
    <w:rsid w:val="00915757"/>
    <w:rsid w:val="009159B3"/>
    <w:rsid w:val="00916181"/>
    <w:rsid w:val="009204C5"/>
    <w:rsid w:val="00920B56"/>
    <w:rsid w:val="00920D87"/>
    <w:rsid w:val="0092180D"/>
    <w:rsid w:val="00922258"/>
    <w:rsid w:val="009232C9"/>
    <w:rsid w:val="00923608"/>
    <w:rsid w:val="009238E5"/>
    <w:rsid w:val="00923F12"/>
    <w:rsid w:val="00924AF7"/>
    <w:rsid w:val="00924FF8"/>
    <w:rsid w:val="00925BA8"/>
    <w:rsid w:val="00926DA7"/>
    <w:rsid w:val="00927F8B"/>
    <w:rsid w:val="0093094D"/>
    <w:rsid w:val="009328C7"/>
    <w:rsid w:val="009336EC"/>
    <w:rsid w:val="00933C1C"/>
    <w:rsid w:val="00933F56"/>
    <w:rsid w:val="00934582"/>
    <w:rsid w:val="00934C13"/>
    <w:rsid w:val="00935228"/>
    <w:rsid w:val="009355A2"/>
    <w:rsid w:val="00935F9E"/>
    <w:rsid w:val="009364B6"/>
    <w:rsid w:val="00936D98"/>
    <w:rsid w:val="00942C80"/>
    <w:rsid w:val="00943197"/>
    <w:rsid w:val="009435F2"/>
    <w:rsid w:val="009442A5"/>
    <w:rsid w:val="00944D44"/>
    <w:rsid w:val="00945180"/>
    <w:rsid w:val="0094590C"/>
    <w:rsid w:val="00946355"/>
    <w:rsid w:val="009468B7"/>
    <w:rsid w:val="0094724E"/>
    <w:rsid w:val="00947973"/>
    <w:rsid w:val="00947BE6"/>
    <w:rsid w:val="0095048D"/>
    <w:rsid w:val="0095055E"/>
    <w:rsid w:val="00951ADB"/>
    <w:rsid w:val="0095380C"/>
    <w:rsid w:val="00953976"/>
    <w:rsid w:val="00954353"/>
    <w:rsid w:val="00955C0A"/>
    <w:rsid w:val="00955C4F"/>
    <w:rsid w:val="00960DA1"/>
    <w:rsid w:val="0096354D"/>
    <w:rsid w:val="00964054"/>
    <w:rsid w:val="00964983"/>
    <w:rsid w:val="009657C4"/>
    <w:rsid w:val="009657F1"/>
    <w:rsid w:val="00965DE9"/>
    <w:rsid w:val="0096625D"/>
    <w:rsid w:val="009709F8"/>
    <w:rsid w:val="0097258B"/>
    <w:rsid w:val="00972929"/>
    <w:rsid w:val="00972F91"/>
    <w:rsid w:val="00973827"/>
    <w:rsid w:val="00973991"/>
    <w:rsid w:val="009742D3"/>
    <w:rsid w:val="00974E52"/>
    <w:rsid w:val="009756F7"/>
    <w:rsid w:val="00975E86"/>
    <w:rsid w:val="0097626F"/>
    <w:rsid w:val="00977BA7"/>
    <w:rsid w:val="0098020A"/>
    <w:rsid w:val="00980517"/>
    <w:rsid w:val="0098194F"/>
    <w:rsid w:val="009826C8"/>
    <w:rsid w:val="009836E4"/>
    <w:rsid w:val="0098412F"/>
    <w:rsid w:val="00985F28"/>
    <w:rsid w:val="00986149"/>
    <w:rsid w:val="00986176"/>
    <w:rsid w:val="00986E7F"/>
    <w:rsid w:val="00987536"/>
    <w:rsid w:val="00987ADC"/>
    <w:rsid w:val="009901F0"/>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1507"/>
    <w:rsid w:val="009A2DF9"/>
    <w:rsid w:val="009A3A86"/>
    <w:rsid w:val="009A4869"/>
    <w:rsid w:val="009A633B"/>
    <w:rsid w:val="009A6A6B"/>
    <w:rsid w:val="009B1EF9"/>
    <w:rsid w:val="009B26AC"/>
    <w:rsid w:val="009B37E2"/>
    <w:rsid w:val="009B4519"/>
    <w:rsid w:val="009B506B"/>
    <w:rsid w:val="009B57EF"/>
    <w:rsid w:val="009B5B85"/>
    <w:rsid w:val="009B7204"/>
    <w:rsid w:val="009C0074"/>
    <w:rsid w:val="009C0564"/>
    <w:rsid w:val="009C16D9"/>
    <w:rsid w:val="009C2685"/>
    <w:rsid w:val="009C2EEC"/>
    <w:rsid w:val="009C39BC"/>
    <w:rsid w:val="009C4788"/>
    <w:rsid w:val="009C4BC2"/>
    <w:rsid w:val="009C4D22"/>
    <w:rsid w:val="009C6F12"/>
    <w:rsid w:val="009C7320"/>
    <w:rsid w:val="009D0198"/>
    <w:rsid w:val="009D0729"/>
    <w:rsid w:val="009D0F66"/>
    <w:rsid w:val="009D18B3"/>
    <w:rsid w:val="009D1A06"/>
    <w:rsid w:val="009D1BA4"/>
    <w:rsid w:val="009D22E4"/>
    <w:rsid w:val="009D22F7"/>
    <w:rsid w:val="009D310C"/>
    <w:rsid w:val="009D319C"/>
    <w:rsid w:val="009D5BAB"/>
    <w:rsid w:val="009D6916"/>
    <w:rsid w:val="009D6A0A"/>
    <w:rsid w:val="009E058F"/>
    <w:rsid w:val="009E0A9E"/>
    <w:rsid w:val="009E19A2"/>
    <w:rsid w:val="009E3AFD"/>
    <w:rsid w:val="009E3CDD"/>
    <w:rsid w:val="009E3D6C"/>
    <w:rsid w:val="009E4B16"/>
    <w:rsid w:val="009E4D97"/>
    <w:rsid w:val="009E5C60"/>
    <w:rsid w:val="009E64DB"/>
    <w:rsid w:val="009E6794"/>
    <w:rsid w:val="009E7189"/>
    <w:rsid w:val="009E7E46"/>
    <w:rsid w:val="009E7FC1"/>
    <w:rsid w:val="009F01E1"/>
    <w:rsid w:val="009F0B4D"/>
    <w:rsid w:val="009F0F2C"/>
    <w:rsid w:val="009F1096"/>
    <w:rsid w:val="009F150E"/>
    <w:rsid w:val="009F165D"/>
    <w:rsid w:val="009F27AD"/>
    <w:rsid w:val="009F3FB5"/>
    <w:rsid w:val="009F47B7"/>
    <w:rsid w:val="009F521F"/>
    <w:rsid w:val="009F553C"/>
    <w:rsid w:val="009F59F8"/>
    <w:rsid w:val="009F657C"/>
    <w:rsid w:val="00A005B0"/>
    <w:rsid w:val="00A01F17"/>
    <w:rsid w:val="00A022A5"/>
    <w:rsid w:val="00A03550"/>
    <w:rsid w:val="00A03A22"/>
    <w:rsid w:val="00A03E62"/>
    <w:rsid w:val="00A04634"/>
    <w:rsid w:val="00A0543B"/>
    <w:rsid w:val="00A06119"/>
    <w:rsid w:val="00A07A48"/>
    <w:rsid w:val="00A108EE"/>
    <w:rsid w:val="00A10BB8"/>
    <w:rsid w:val="00A1200D"/>
    <w:rsid w:val="00A137E4"/>
    <w:rsid w:val="00A14813"/>
    <w:rsid w:val="00A1566A"/>
    <w:rsid w:val="00A15A97"/>
    <w:rsid w:val="00A165BF"/>
    <w:rsid w:val="00A169EC"/>
    <w:rsid w:val="00A17068"/>
    <w:rsid w:val="00A172E8"/>
    <w:rsid w:val="00A179FF"/>
    <w:rsid w:val="00A20696"/>
    <w:rsid w:val="00A21A36"/>
    <w:rsid w:val="00A22473"/>
    <w:rsid w:val="00A25294"/>
    <w:rsid w:val="00A254EE"/>
    <w:rsid w:val="00A25BE7"/>
    <w:rsid w:val="00A27008"/>
    <w:rsid w:val="00A27CDF"/>
    <w:rsid w:val="00A309C6"/>
    <w:rsid w:val="00A30D13"/>
    <w:rsid w:val="00A314F9"/>
    <w:rsid w:val="00A319D0"/>
    <w:rsid w:val="00A32316"/>
    <w:rsid w:val="00A33172"/>
    <w:rsid w:val="00A3432B"/>
    <w:rsid w:val="00A346BA"/>
    <w:rsid w:val="00A347B0"/>
    <w:rsid w:val="00A34C67"/>
    <w:rsid w:val="00A34D62"/>
    <w:rsid w:val="00A3611D"/>
    <w:rsid w:val="00A36339"/>
    <w:rsid w:val="00A366E4"/>
    <w:rsid w:val="00A370D8"/>
    <w:rsid w:val="00A419CF"/>
    <w:rsid w:val="00A4376F"/>
    <w:rsid w:val="00A4549F"/>
    <w:rsid w:val="00A45B9B"/>
    <w:rsid w:val="00A45EE4"/>
    <w:rsid w:val="00A462FE"/>
    <w:rsid w:val="00A501C9"/>
    <w:rsid w:val="00A50506"/>
    <w:rsid w:val="00A52A4C"/>
    <w:rsid w:val="00A53A0D"/>
    <w:rsid w:val="00A53F55"/>
    <w:rsid w:val="00A5417B"/>
    <w:rsid w:val="00A54599"/>
    <w:rsid w:val="00A54B82"/>
    <w:rsid w:val="00A54E68"/>
    <w:rsid w:val="00A569D4"/>
    <w:rsid w:val="00A571CC"/>
    <w:rsid w:val="00A57F1A"/>
    <w:rsid w:val="00A60163"/>
    <w:rsid w:val="00A6038D"/>
    <w:rsid w:val="00A60CF0"/>
    <w:rsid w:val="00A61429"/>
    <w:rsid w:val="00A61514"/>
    <w:rsid w:val="00A61645"/>
    <w:rsid w:val="00A62080"/>
    <w:rsid w:val="00A630A2"/>
    <w:rsid w:val="00A632B8"/>
    <w:rsid w:val="00A637A6"/>
    <w:rsid w:val="00A63BF3"/>
    <w:rsid w:val="00A64942"/>
    <w:rsid w:val="00A65911"/>
    <w:rsid w:val="00A6643C"/>
    <w:rsid w:val="00A67544"/>
    <w:rsid w:val="00A705CE"/>
    <w:rsid w:val="00A7075B"/>
    <w:rsid w:val="00A71CE6"/>
    <w:rsid w:val="00A71D23"/>
    <w:rsid w:val="00A72761"/>
    <w:rsid w:val="00A7333A"/>
    <w:rsid w:val="00A73C7E"/>
    <w:rsid w:val="00A73D0D"/>
    <w:rsid w:val="00A74088"/>
    <w:rsid w:val="00A74A92"/>
    <w:rsid w:val="00A75CC1"/>
    <w:rsid w:val="00A75E88"/>
    <w:rsid w:val="00A772DF"/>
    <w:rsid w:val="00A775C7"/>
    <w:rsid w:val="00A80540"/>
    <w:rsid w:val="00A8056E"/>
    <w:rsid w:val="00A81752"/>
    <w:rsid w:val="00A82158"/>
    <w:rsid w:val="00A82D58"/>
    <w:rsid w:val="00A8399D"/>
    <w:rsid w:val="00A83E3D"/>
    <w:rsid w:val="00A8443A"/>
    <w:rsid w:val="00A8479C"/>
    <w:rsid w:val="00A8557B"/>
    <w:rsid w:val="00A85A05"/>
    <w:rsid w:val="00A86D63"/>
    <w:rsid w:val="00A87797"/>
    <w:rsid w:val="00A90E72"/>
    <w:rsid w:val="00A922A2"/>
    <w:rsid w:val="00A92561"/>
    <w:rsid w:val="00A9327B"/>
    <w:rsid w:val="00A9332D"/>
    <w:rsid w:val="00A93B69"/>
    <w:rsid w:val="00A94366"/>
    <w:rsid w:val="00A95265"/>
    <w:rsid w:val="00A957E7"/>
    <w:rsid w:val="00A963C7"/>
    <w:rsid w:val="00AA1626"/>
    <w:rsid w:val="00AA19A6"/>
    <w:rsid w:val="00AA1C25"/>
    <w:rsid w:val="00AA36C4"/>
    <w:rsid w:val="00AA3CD1"/>
    <w:rsid w:val="00AA3DB7"/>
    <w:rsid w:val="00AA51F5"/>
    <w:rsid w:val="00AA57A7"/>
    <w:rsid w:val="00AA5BF7"/>
    <w:rsid w:val="00AA5E3B"/>
    <w:rsid w:val="00AA68B4"/>
    <w:rsid w:val="00AB0543"/>
    <w:rsid w:val="00AB0AC9"/>
    <w:rsid w:val="00AB185A"/>
    <w:rsid w:val="00AB1BA7"/>
    <w:rsid w:val="00AB1E04"/>
    <w:rsid w:val="00AB1ED4"/>
    <w:rsid w:val="00AB1FFA"/>
    <w:rsid w:val="00AB29CF"/>
    <w:rsid w:val="00AB3113"/>
    <w:rsid w:val="00AB348A"/>
    <w:rsid w:val="00AB3F38"/>
    <w:rsid w:val="00AB43EC"/>
    <w:rsid w:val="00AB4BF4"/>
    <w:rsid w:val="00AB5ADF"/>
    <w:rsid w:val="00AB5DE1"/>
    <w:rsid w:val="00AB5E57"/>
    <w:rsid w:val="00AB6EAA"/>
    <w:rsid w:val="00AB725F"/>
    <w:rsid w:val="00AC0705"/>
    <w:rsid w:val="00AC109B"/>
    <w:rsid w:val="00AC2291"/>
    <w:rsid w:val="00AC3396"/>
    <w:rsid w:val="00AC48CA"/>
    <w:rsid w:val="00AC53D0"/>
    <w:rsid w:val="00AC74DA"/>
    <w:rsid w:val="00AC74ED"/>
    <w:rsid w:val="00AC7A2B"/>
    <w:rsid w:val="00AC7C25"/>
    <w:rsid w:val="00AD0A51"/>
    <w:rsid w:val="00AD0B37"/>
    <w:rsid w:val="00AD106A"/>
    <w:rsid w:val="00AD11F7"/>
    <w:rsid w:val="00AD1DB7"/>
    <w:rsid w:val="00AD2852"/>
    <w:rsid w:val="00AD3147"/>
    <w:rsid w:val="00AD3976"/>
    <w:rsid w:val="00AD418B"/>
    <w:rsid w:val="00AD48E8"/>
    <w:rsid w:val="00AD4D2A"/>
    <w:rsid w:val="00AD542F"/>
    <w:rsid w:val="00AD7305"/>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F25D5"/>
    <w:rsid w:val="00AF397B"/>
    <w:rsid w:val="00AF3DBB"/>
    <w:rsid w:val="00AF3E74"/>
    <w:rsid w:val="00AF496E"/>
    <w:rsid w:val="00AF5194"/>
    <w:rsid w:val="00AF53EF"/>
    <w:rsid w:val="00AF73C3"/>
    <w:rsid w:val="00AF795C"/>
    <w:rsid w:val="00AF7D94"/>
    <w:rsid w:val="00B00752"/>
    <w:rsid w:val="00B026C1"/>
    <w:rsid w:val="00B02B9C"/>
    <w:rsid w:val="00B0353B"/>
    <w:rsid w:val="00B040B2"/>
    <w:rsid w:val="00B1000C"/>
    <w:rsid w:val="00B10558"/>
    <w:rsid w:val="00B10B8D"/>
    <w:rsid w:val="00B11F2F"/>
    <w:rsid w:val="00B147F5"/>
    <w:rsid w:val="00B14A7B"/>
    <w:rsid w:val="00B156A9"/>
    <w:rsid w:val="00B15F83"/>
    <w:rsid w:val="00B160FF"/>
    <w:rsid w:val="00B16322"/>
    <w:rsid w:val="00B1662E"/>
    <w:rsid w:val="00B16A6F"/>
    <w:rsid w:val="00B17C06"/>
    <w:rsid w:val="00B17D7E"/>
    <w:rsid w:val="00B221DF"/>
    <w:rsid w:val="00B22C0D"/>
    <w:rsid w:val="00B23AF4"/>
    <w:rsid w:val="00B23C15"/>
    <w:rsid w:val="00B25274"/>
    <w:rsid w:val="00B25762"/>
    <w:rsid w:val="00B25B40"/>
    <w:rsid w:val="00B25FDE"/>
    <w:rsid w:val="00B26AB0"/>
    <w:rsid w:val="00B26AD2"/>
    <w:rsid w:val="00B26CA2"/>
    <w:rsid w:val="00B30B4E"/>
    <w:rsid w:val="00B30F48"/>
    <w:rsid w:val="00B31246"/>
    <w:rsid w:val="00B31C2F"/>
    <w:rsid w:val="00B326FF"/>
    <w:rsid w:val="00B335C3"/>
    <w:rsid w:val="00B33D12"/>
    <w:rsid w:val="00B340AA"/>
    <w:rsid w:val="00B34A9F"/>
    <w:rsid w:val="00B34B80"/>
    <w:rsid w:val="00B35CDA"/>
    <w:rsid w:val="00B362D2"/>
    <w:rsid w:val="00B37D97"/>
    <w:rsid w:val="00B411BD"/>
    <w:rsid w:val="00B41559"/>
    <w:rsid w:val="00B418E8"/>
    <w:rsid w:val="00B42285"/>
    <w:rsid w:val="00B4274B"/>
    <w:rsid w:val="00B435B1"/>
    <w:rsid w:val="00B4367F"/>
    <w:rsid w:val="00B438BA"/>
    <w:rsid w:val="00B44F99"/>
    <w:rsid w:val="00B45655"/>
    <w:rsid w:val="00B45743"/>
    <w:rsid w:val="00B45876"/>
    <w:rsid w:val="00B45AD5"/>
    <w:rsid w:val="00B465EF"/>
    <w:rsid w:val="00B466FE"/>
    <w:rsid w:val="00B51542"/>
    <w:rsid w:val="00B51D1D"/>
    <w:rsid w:val="00B5310E"/>
    <w:rsid w:val="00B54ACC"/>
    <w:rsid w:val="00B54DCB"/>
    <w:rsid w:val="00B55AC2"/>
    <w:rsid w:val="00B560C9"/>
    <w:rsid w:val="00B56533"/>
    <w:rsid w:val="00B56CFC"/>
    <w:rsid w:val="00B57777"/>
    <w:rsid w:val="00B57A17"/>
    <w:rsid w:val="00B61BE2"/>
    <w:rsid w:val="00B6258D"/>
    <w:rsid w:val="00B6266F"/>
    <w:rsid w:val="00B62E0B"/>
    <w:rsid w:val="00B63C32"/>
    <w:rsid w:val="00B643B6"/>
    <w:rsid w:val="00B64434"/>
    <w:rsid w:val="00B66491"/>
    <w:rsid w:val="00B70197"/>
    <w:rsid w:val="00B711CE"/>
    <w:rsid w:val="00B71797"/>
    <w:rsid w:val="00B71DC8"/>
    <w:rsid w:val="00B73476"/>
    <w:rsid w:val="00B746C6"/>
    <w:rsid w:val="00B74EC2"/>
    <w:rsid w:val="00B75C3E"/>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53BE"/>
    <w:rsid w:val="00B86476"/>
    <w:rsid w:val="00B86A3D"/>
    <w:rsid w:val="00B875C7"/>
    <w:rsid w:val="00B90D10"/>
    <w:rsid w:val="00B90FE5"/>
    <w:rsid w:val="00B919AD"/>
    <w:rsid w:val="00B91A2B"/>
    <w:rsid w:val="00B93204"/>
    <w:rsid w:val="00B9346A"/>
    <w:rsid w:val="00B94E17"/>
    <w:rsid w:val="00B957FE"/>
    <w:rsid w:val="00B95F02"/>
    <w:rsid w:val="00B96BEF"/>
    <w:rsid w:val="00B96FC0"/>
    <w:rsid w:val="00B97260"/>
    <w:rsid w:val="00B97A69"/>
    <w:rsid w:val="00BA0632"/>
    <w:rsid w:val="00BA0AAA"/>
    <w:rsid w:val="00BA0DFB"/>
    <w:rsid w:val="00BA15D2"/>
    <w:rsid w:val="00BA2FEF"/>
    <w:rsid w:val="00BA3C50"/>
    <w:rsid w:val="00BA46A7"/>
    <w:rsid w:val="00BA6C5F"/>
    <w:rsid w:val="00BB0ADB"/>
    <w:rsid w:val="00BB1548"/>
    <w:rsid w:val="00BB1CE7"/>
    <w:rsid w:val="00BB2FD3"/>
    <w:rsid w:val="00BB2FDF"/>
    <w:rsid w:val="00BB2FFF"/>
    <w:rsid w:val="00BB3F65"/>
    <w:rsid w:val="00BB4E6A"/>
    <w:rsid w:val="00BB53EE"/>
    <w:rsid w:val="00BB5920"/>
    <w:rsid w:val="00BB5FCB"/>
    <w:rsid w:val="00BB604B"/>
    <w:rsid w:val="00BC00EC"/>
    <w:rsid w:val="00BC08C5"/>
    <w:rsid w:val="00BC12FB"/>
    <w:rsid w:val="00BC1B01"/>
    <w:rsid w:val="00BC1C3C"/>
    <w:rsid w:val="00BC2E9A"/>
    <w:rsid w:val="00BC307F"/>
    <w:rsid w:val="00BC3159"/>
    <w:rsid w:val="00BC3257"/>
    <w:rsid w:val="00BC3283"/>
    <w:rsid w:val="00BC39DB"/>
    <w:rsid w:val="00BC3A32"/>
    <w:rsid w:val="00BC3B07"/>
    <w:rsid w:val="00BC46EF"/>
    <w:rsid w:val="00BC6F50"/>
    <w:rsid w:val="00BC6FD6"/>
    <w:rsid w:val="00BD008E"/>
    <w:rsid w:val="00BD2F3B"/>
    <w:rsid w:val="00BD32A8"/>
    <w:rsid w:val="00BD3372"/>
    <w:rsid w:val="00BD3BEB"/>
    <w:rsid w:val="00BD410F"/>
    <w:rsid w:val="00BD462A"/>
    <w:rsid w:val="00BD50AA"/>
    <w:rsid w:val="00BD5135"/>
    <w:rsid w:val="00BD557D"/>
    <w:rsid w:val="00BD70F9"/>
    <w:rsid w:val="00BD7291"/>
    <w:rsid w:val="00BD7EA3"/>
    <w:rsid w:val="00BD7FE2"/>
    <w:rsid w:val="00BE0B19"/>
    <w:rsid w:val="00BE0DD8"/>
    <w:rsid w:val="00BE13F0"/>
    <w:rsid w:val="00BE15C1"/>
    <w:rsid w:val="00BE1BE8"/>
    <w:rsid w:val="00BE1D82"/>
    <w:rsid w:val="00BE1EE4"/>
    <w:rsid w:val="00BE1F8B"/>
    <w:rsid w:val="00BE2B4F"/>
    <w:rsid w:val="00BE2E57"/>
    <w:rsid w:val="00BE2F39"/>
    <w:rsid w:val="00BE332D"/>
    <w:rsid w:val="00BE3CF1"/>
    <w:rsid w:val="00BE4B20"/>
    <w:rsid w:val="00BE4FAD"/>
    <w:rsid w:val="00BE536C"/>
    <w:rsid w:val="00BE5379"/>
    <w:rsid w:val="00BE55F1"/>
    <w:rsid w:val="00BE5FC4"/>
    <w:rsid w:val="00BE7C4D"/>
    <w:rsid w:val="00BE7F6A"/>
    <w:rsid w:val="00BF0274"/>
    <w:rsid w:val="00BF08C4"/>
    <w:rsid w:val="00BF0BAF"/>
    <w:rsid w:val="00BF19CE"/>
    <w:rsid w:val="00BF2B6F"/>
    <w:rsid w:val="00BF3220"/>
    <w:rsid w:val="00BF351A"/>
    <w:rsid w:val="00BF3914"/>
    <w:rsid w:val="00BF49B1"/>
    <w:rsid w:val="00BF4E43"/>
    <w:rsid w:val="00BF5552"/>
    <w:rsid w:val="00BF6735"/>
    <w:rsid w:val="00BF73F2"/>
    <w:rsid w:val="00BF78F9"/>
    <w:rsid w:val="00BF7B3C"/>
    <w:rsid w:val="00C010E8"/>
    <w:rsid w:val="00C01671"/>
    <w:rsid w:val="00C02419"/>
    <w:rsid w:val="00C02766"/>
    <w:rsid w:val="00C035A9"/>
    <w:rsid w:val="00C03EE8"/>
    <w:rsid w:val="00C05BEC"/>
    <w:rsid w:val="00C06E7D"/>
    <w:rsid w:val="00C1112B"/>
    <w:rsid w:val="00C11A88"/>
    <w:rsid w:val="00C12012"/>
    <w:rsid w:val="00C12874"/>
    <w:rsid w:val="00C12BC1"/>
    <w:rsid w:val="00C13BDA"/>
    <w:rsid w:val="00C13FFD"/>
    <w:rsid w:val="00C14632"/>
    <w:rsid w:val="00C15EDB"/>
    <w:rsid w:val="00C164C4"/>
    <w:rsid w:val="00C16C30"/>
    <w:rsid w:val="00C17C22"/>
    <w:rsid w:val="00C20A00"/>
    <w:rsid w:val="00C21673"/>
    <w:rsid w:val="00C21C17"/>
    <w:rsid w:val="00C21C7A"/>
    <w:rsid w:val="00C2208F"/>
    <w:rsid w:val="00C23130"/>
    <w:rsid w:val="00C255A5"/>
    <w:rsid w:val="00C2584B"/>
    <w:rsid w:val="00C25942"/>
    <w:rsid w:val="00C25DD9"/>
    <w:rsid w:val="00C2663F"/>
    <w:rsid w:val="00C26A2B"/>
    <w:rsid w:val="00C26DB8"/>
    <w:rsid w:val="00C32FD4"/>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27AA"/>
    <w:rsid w:val="00C4304C"/>
    <w:rsid w:val="00C43315"/>
    <w:rsid w:val="00C44F98"/>
    <w:rsid w:val="00C452F5"/>
    <w:rsid w:val="00C46555"/>
    <w:rsid w:val="00C46B15"/>
    <w:rsid w:val="00C46F7D"/>
    <w:rsid w:val="00C479B5"/>
    <w:rsid w:val="00C47B60"/>
    <w:rsid w:val="00C50242"/>
    <w:rsid w:val="00C5034D"/>
    <w:rsid w:val="00C5050E"/>
    <w:rsid w:val="00C50E99"/>
    <w:rsid w:val="00C52744"/>
    <w:rsid w:val="00C53EB3"/>
    <w:rsid w:val="00C542D4"/>
    <w:rsid w:val="00C54D71"/>
    <w:rsid w:val="00C563F5"/>
    <w:rsid w:val="00C56498"/>
    <w:rsid w:val="00C570F7"/>
    <w:rsid w:val="00C60CE8"/>
    <w:rsid w:val="00C623FE"/>
    <w:rsid w:val="00C62810"/>
    <w:rsid w:val="00C62CD5"/>
    <w:rsid w:val="00C636E6"/>
    <w:rsid w:val="00C639D6"/>
    <w:rsid w:val="00C63F8E"/>
    <w:rsid w:val="00C647FB"/>
    <w:rsid w:val="00C654E0"/>
    <w:rsid w:val="00C65BFF"/>
    <w:rsid w:val="00C65C5D"/>
    <w:rsid w:val="00C67EAB"/>
    <w:rsid w:val="00C70DFF"/>
    <w:rsid w:val="00C7235E"/>
    <w:rsid w:val="00C727B6"/>
    <w:rsid w:val="00C73B4F"/>
    <w:rsid w:val="00C75A6B"/>
    <w:rsid w:val="00C763B6"/>
    <w:rsid w:val="00C7644F"/>
    <w:rsid w:val="00C768F6"/>
    <w:rsid w:val="00C80073"/>
    <w:rsid w:val="00C80DEA"/>
    <w:rsid w:val="00C81D67"/>
    <w:rsid w:val="00C826D8"/>
    <w:rsid w:val="00C82B6A"/>
    <w:rsid w:val="00C832DC"/>
    <w:rsid w:val="00C8377F"/>
    <w:rsid w:val="00C8646D"/>
    <w:rsid w:val="00C90D7B"/>
    <w:rsid w:val="00C91C13"/>
    <w:rsid w:val="00C91DE3"/>
    <w:rsid w:val="00C92C7F"/>
    <w:rsid w:val="00C9330E"/>
    <w:rsid w:val="00C9369D"/>
    <w:rsid w:val="00C944FA"/>
    <w:rsid w:val="00C94A9D"/>
    <w:rsid w:val="00C95854"/>
    <w:rsid w:val="00C95EFF"/>
    <w:rsid w:val="00C96E6F"/>
    <w:rsid w:val="00C97872"/>
    <w:rsid w:val="00CA0532"/>
    <w:rsid w:val="00CA0C22"/>
    <w:rsid w:val="00CA17D9"/>
    <w:rsid w:val="00CA21E6"/>
    <w:rsid w:val="00CA2241"/>
    <w:rsid w:val="00CA2993"/>
    <w:rsid w:val="00CA2EB3"/>
    <w:rsid w:val="00CA3CDD"/>
    <w:rsid w:val="00CA403B"/>
    <w:rsid w:val="00CA4F50"/>
    <w:rsid w:val="00CA505A"/>
    <w:rsid w:val="00CA59DD"/>
    <w:rsid w:val="00CA7DFF"/>
    <w:rsid w:val="00CB008E"/>
    <w:rsid w:val="00CB01FA"/>
    <w:rsid w:val="00CB0737"/>
    <w:rsid w:val="00CB097A"/>
    <w:rsid w:val="00CB26EC"/>
    <w:rsid w:val="00CB29F4"/>
    <w:rsid w:val="00CB2D2A"/>
    <w:rsid w:val="00CB5978"/>
    <w:rsid w:val="00CB5B1E"/>
    <w:rsid w:val="00CB683C"/>
    <w:rsid w:val="00CB72FA"/>
    <w:rsid w:val="00CB7346"/>
    <w:rsid w:val="00CB787A"/>
    <w:rsid w:val="00CC0C4A"/>
    <w:rsid w:val="00CC17F0"/>
    <w:rsid w:val="00CC1853"/>
    <w:rsid w:val="00CC1FAE"/>
    <w:rsid w:val="00CC3A23"/>
    <w:rsid w:val="00CC6A93"/>
    <w:rsid w:val="00CC737C"/>
    <w:rsid w:val="00CC7C88"/>
    <w:rsid w:val="00CD087D"/>
    <w:rsid w:val="00CD08A3"/>
    <w:rsid w:val="00CD0F5D"/>
    <w:rsid w:val="00CD199E"/>
    <w:rsid w:val="00CD1C0B"/>
    <w:rsid w:val="00CD239A"/>
    <w:rsid w:val="00CD3555"/>
    <w:rsid w:val="00CD42DC"/>
    <w:rsid w:val="00CD4F58"/>
    <w:rsid w:val="00CD5512"/>
    <w:rsid w:val="00CD6D73"/>
    <w:rsid w:val="00CD6E3D"/>
    <w:rsid w:val="00CD71AB"/>
    <w:rsid w:val="00CE0109"/>
    <w:rsid w:val="00CE09CA"/>
    <w:rsid w:val="00CE1856"/>
    <w:rsid w:val="00CE1FC5"/>
    <w:rsid w:val="00CE29AB"/>
    <w:rsid w:val="00CE46E5"/>
    <w:rsid w:val="00CE485A"/>
    <w:rsid w:val="00CE5279"/>
    <w:rsid w:val="00CE57B1"/>
    <w:rsid w:val="00CE5A78"/>
    <w:rsid w:val="00CE78AE"/>
    <w:rsid w:val="00CE7AD3"/>
    <w:rsid w:val="00CE7E62"/>
    <w:rsid w:val="00CF051E"/>
    <w:rsid w:val="00CF195E"/>
    <w:rsid w:val="00CF19DA"/>
    <w:rsid w:val="00CF1C7F"/>
    <w:rsid w:val="00CF1CC0"/>
    <w:rsid w:val="00CF1EEA"/>
    <w:rsid w:val="00CF24F8"/>
    <w:rsid w:val="00CF2653"/>
    <w:rsid w:val="00CF4247"/>
    <w:rsid w:val="00CF5263"/>
    <w:rsid w:val="00CF60B5"/>
    <w:rsid w:val="00CF6E82"/>
    <w:rsid w:val="00D004FA"/>
    <w:rsid w:val="00D01440"/>
    <w:rsid w:val="00D01B21"/>
    <w:rsid w:val="00D01DDD"/>
    <w:rsid w:val="00D01E2F"/>
    <w:rsid w:val="00D03102"/>
    <w:rsid w:val="00D03727"/>
    <w:rsid w:val="00D03740"/>
    <w:rsid w:val="00D0378A"/>
    <w:rsid w:val="00D05132"/>
    <w:rsid w:val="00D05EA9"/>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85"/>
    <w:rsid w:val="00D236DD"/>
    <w:rsid w:val="00D256F8"/>
    <w:rsid w:val="00D2685C"/>
    <w:rsid w:val="00D268E2"/>
    <w:rsid w:val="00D26A3B"/>
    <w:rsid w:val="00D27248"/>
    <w:rsid w:val="00D302FD"/>
    <w:rsid w:val="00D3038A"/>
    <w:rsid w:val="00D3098D"/>
    <w:rsid w:val="00D30D4B"/>
    <w:rsid w:val="00D31A02"/>
    <w:rsid w:val="00D31D06"/>
    <w:rsid w:val="00D3323C"/>
    <w:rsid w:val="00D33456"/>
    <w:rsid w:val="00D3348B"/>
    <w:rsid w:val="00D3396F"/>
    <w:rsid w:val="00D33D4D"/>
    <w:rsid w:val="00D34A0B"/>
    <w:rsid w:val="00D35205"/>
    <w:rsid w:val="00D36234"/>
    <w:rsid w:val="00D36371"/>
    <w:rsid w:val="00D40541"/>
    <w:rsid w:val="00D437D8"/>
    <w:rsid w:val="00D44944"/>
    <w:rsid w:val="00D44994"/>
    <w:rsid w:val="00D45DF3"/>
    <w:rsid w:val="00D46174"/>
    <w:rsid w:val="00D46A05"/>
    <w:rsid w:val="00D47DD0"/>
    <w:rsid w:val="00D50183"/>
    <w:rsid w:val="00D51D12"/>
    <w:rsid w:val="00D5362B"/>
    <w:rsid w:val="00D53722"/>
    <w:rsid w:val="00D55072"/>
    <w:rsid w:val="00D551B5"/>
    <w:rsid w:val="00D555B3"/>
    <w:rsid w:val="00D5566A"/>
    <w:rsid w:val="00D56DB2"/>
    <w:rsid w:val="00D5747F"/>
    <w:rsid w:val="00D57495"/>
    <w:rsid w:val="00D574FA"/>
    <w:rsid w:val="00D6045E"/>
    <w:rsid w:val="00D60C8D"/>
    <w:rsid w:val="00D61374"/>
    <w:rsid w:val="00D6168A"/>
    <w:rsid w:val="00D616A5"/>
    <w:rsid w:val="00D61738"/>
    <w:rsid w:val="00D61FF0"/>
    <w:rsid w:val="00D6211D"/>
    <w:rsid w:val="00D62C97"/>
    <w:rsid w:val="00D63517"/>
    <w:rsid w:val="00D63B75"/>
    <w:rsid w:val="00D6584E"/>
    <w:rsid w:val="00D659B1"/>
    <w:rsid w:val="00D66E18"/>
    <w:rsid w:val="00D6734D"/>
    <w:rsid w:val="00D679CF"/>
    <w:rsid w:val="00D679D3"/>
    <w:rsid w:val="00D70CC3"/>
    <w:rsid w:val="00D7356F"/>
    <w:rsid w:val="00D73587"/>
    <w:rsid w:val="00D73EBB"/>
    <w:rsid w:val="00D751FB"/>
    <w:rsid w:val="00D754D6"/>
    <w:rsid w:val="00D761AA"/>
    <w:rsid w:val="00D76FAE"/>
    <w:rsid w:val="00D777D7"/>
    <w:rsid w:val="00D80AB8"/>
    <w:rsid w:val="00D81792"/>
    <w:rsid w:val="00D819B1"/>
    <w:rsid w:val="00D82494"/>
    <w:rsid w:val="00D82919"/>
    <w:rsid w:val="00D83AE9"/>
    <w:rsid w:val="00D854A3"/>
    <w:rsid w:val="00D857B8"/>
    <w:rsid w:val="00D86351"/>
    <w:rsid w:val="00D87175"/>
    <w:rsid w:val="00D879CF"/>
    <w:rsid w:val="00D87ABF"/>
    <w:rsid w:val="00D90CD3"/>
    <w:rsid w:val="00D919E6"/>
    <w:rsid w:val="00D91BE1"/>
    <w:rsid w:val="00D92C29"/>
    <w:rsid w:val="00D93494"/>
    <w:rsid w:val="00D936E2"/>
    <w:rsid w:val="00D95104"/>
    <w:rsid w:val="00D95600"/>
    <w:rsid w:val="00D95805"/>
    <w:rsid w:val="00D9683C"/>
    <w:rsid w:val="00D97884"/>
    <w:rsid w:val="00DA0A7F"/>
    <w:rsid w:val="00DA16E4"/>
    <w:rsid w:val="00DA1C31"/>
    <w:rsid w:val="00DA20BC"/>
    <w:rsid w:val="00DA2ED7"/>
    <w:rsid w:val="00DA31B6"/>
    <w:rsid w:val="00DA3E7A"/>
    <w:rsid w:val="00DA430C"/>
    <w:rsid w:val="00DA615D"/>
    <w:rsid w:val="00DA6598"/>
    <w:rsid w:val="00DA6C0F"/>
    <w:rsid w:val="00DA6C79"/>
    <w:rsid w:val="00DA702F"/>
    <w:rsid w:val="00DA7571"/>
    <w:rsid w:val="00DA790C"/>
    <w:rsid w:val="00DA7F8A"/>
    <w:rsid w:val="00DB0176"/>
    <w:rsid w:val="00DB0404"/>
    <w:rsid w:val="00DB0AF7"/>
    <w:rsid w:val="00DB11F8"/>
    <w:rsid w:val="00DB18F8"/>
    <w:rsid w:val="00DB1F2A"/>
    <w:rsid w:val="00DB297F"/>
    <w:rsid w:val="00DB3153"/>
    <w:rsid w:val="00DB317A"/>
    <w:rsid w:val="00DB3B82"/>
    <w:rsid w:val="00DB485D"/>
    <w:rsid w:val="00DB6FF5"/>
    <w:rsid w:val="00DB7BF5"/>
    <w:rsid w:val="00DC1070"/>
    <w:rsid w:val="00DC1327"/>
    <w:rsid w:val="00DC1350"/>
    <w:rsid w:val="00DC2D35"/>
    <w:rsid w:val="00DC2E02"/>
    <w:rsid w:val="00DC3237"/>
    <w:rsid w:val="00DC40EC"/>
    <w:rsid w:val="00DC41A4"/>
    <w:rsid w:val="00DC5672"/>
    <w:rsid w:val="00DC60A2"/>
    <w:rsid w:val="00DC63DD"/>
    <w:rsid w:val="00DC6600"/>
    <w:rsid w:val="00DC67BD"/>
    <w:rsid w:val="00DC6924"/>
    <w:rsid w:val="00DC71F2"/>
    <w:rsid w:val="00DD1B7A"/>
    <w:rsid w:val="00DD2025"/>
    <w:rsid w:val="00DD22EA"/>
    <w:rsid w:val="00DD23A0"/>
    <w:rsid w:val="00DD2A2C"/>
    <w:rsid w:val="00DD3EF5"/>
    <w:rsid w:val="00DD463F"/>
    <w:rsid w:val="00DD53FA"/>
    <w:rsid w:val="00DD5F42"/>
    <w:rsid w:val="00DD617B"/>
    <w:rsid w:val="00DD6BF8"/>
    <w:rsid w:val="00DE07A2"/>
    <w:rsid w:val="00DE0E59"/>
    <w:rsid w:val="00DE0F6C"/>
    <w:rsid w:val="00DE219B"/>
    <w:rsid w:val="00DE2CE1"/>
    <w:rsid w:val="00DE52E3"/>
    <w:rsid w:val="00DE7C00"/>
    <w:rsid w:val="00DF03E9"/>
    <w:rsid w:val="00DF03ED"/>
    <w:rsid w:val="00DF04EE"/>
    <w:rsid w:val="00DF0BF4"/>
    <w:rsid w:val="00DF1407"/>
    <w:rsid w:val="00DF179D"/>
    <w:rsid w:val="00DF1E9C"/>
    <w:rsid w:val="00DF30BF"/>
    <w:rsid w:val="00DF4572"/>
    <w:rsid w:val="00DF4658"/>
    <w:rsid w:val="00DF6C8B"/>
    <w:rsid w:val="00DF6F17"/>
    <w:rsid w:val="00DF7858"/>
    <w:rsid w:val="00DF78FA"/>
    <w:rsid w:val="00E002F1"/>
    <w:rsid w:val="00E0082C"/>
    <w:rsid w:val="00E01DAA"/>
    <w:rsid w:val="00E023E5"/>
    <w:rsid w:val="00E02432"/>
    <w:rsid w:val="00E03321"/>
    <w:rsid w:val="00E04022"/>
    <w:rsid w:val="00E0728F"/>
    <w:rsid w:val="00E0755C"/>
    <w:rsid w:val="00E14A7E"/>
    <w:rsid w:val="00E151E1"/>
    <w:rsid w:val="00E15B06"/>
    <w:rsid w:val="00E16D35"/>
    <w:rsid w:val="00E17619"/>
    <w:rsid w:val="00E17805"/>
    <w:rsid w:val="00E20F79"/>
    <w:rsid w:val="00E21278"/>
    <w:rsid w:val="00E2150C"/>
    <w:rsid w:val="00E2174C"/>
    <w:rsid w:val="00E22CCD"/>
    <w:rsid w:val="00E23A11"/>
    <w:rsid w:val="00E23FB7"/>
    <w:rsid w:val="00E24A27"/>
    <w:rsid w:val="00E25F89"/>
    <w:rsid w:val="00E26150"/>
    <w:rsid w:val="00E32D62"/>
    <w:rsid w:val="00E3373D"/>
    <w:rsid w:val="00E339DC"/>
    <w:rsid w:val="00E33E15"/>
    <w:rsid w:val="00E35F53"/>
    <w:rsid w:val="00E361B8"/>
    <w:rsid w:val="00E36A1B"/>
    <w:rsid w:val="00E429ED"/>
    <w:rsid w:val="00E4318A"/>
    <w:rsid w:val="00E43F37"/>
    <w:rsid w:val="00E450ED"/>
    <w:rsid w:val="00E45980"/>
    <w:rsid w:val="00E476BA"/>
    <w:rsid w:val="00E4791B"/>
    <w:rsid w:val="00E47E31"/>
    <w:rsid w:val="00E50A97"/>
    <w:rsid w:val="00E50AC6"/>
    <w:rsid w:val="00E50F86"/>
    <w:rsid w:val="00E51DDD"/>
    <w:rsid w:val="00E51FDD"/>
    <w:rsid w:val="00E52435"/>
    <w:rsid w:val="00E52DA8"/>
    <w:rsid w:val="00E53122"/>
    <w:rsid w:val="00E532EE"/>
    <w:rsid w:val="00E5351B"/>
    <w:rsid w:val="00E53D5C"/>
    <w:rsid w:val="00E53FA9"/>
    <w:rsid w:val="00E5414C"/>
    <w:rsid w:val="00E547B3"/>
    <w:rsid w:val="00E55033"/>
    <w:rsid w:val="00E56515"/>
    <w:rsid w:val="00E5733D"/>
    <w:rsid w:val="00E60A8F"/>
    <w:rsid w:val="00E61CC0"/>
    <w:rsid w:val="00E6277B"/>
    <w:rsid w:val="00E63554"/>
    <w:rsid w:val="00E64424"/>
    <w:rsid w:val="00E64C99"/>
    <w:rsid w:val="00E64CD3"/>
    <w:rsid w:val="00E671C9"/>
    <w:rsid w:val="00E6743F"/>
    <w:rsid w:val="00E6758E"/>
    <w:rsid w:val="00E67B9E"/>
    <w:rsid w:val="00E67E23"/>
    <w:rsid w:val="00E70016"/>
    <w:rsid w:val="00E70BC7"/>
    <w:rsid w:val="00E70CC0"/>
    <w:rsid w:val="00E70FBC"/>
    <w:rsid w:val="00E71E2A"/>
    <w:rsid w:val="00E72C01"/>
    <w:rsid w:val="00E741AC"/>
    <w:rsid w:val="00E75174"/>
    <w:rsid w:val="00E75EBA"/>
    <w:rsid w:val="00E763B4"/>
    <w:rsid w:val="00E7694C"/>
    <w:rsid w:val="00E77848"/>
    <w:rsid w:val="00E80514"/>
    <w:rsid w:val="00E80960"/>
    <w:rsid w:val="00E80E5B"/>
    <w:rsid w:val="00E816C5"/>
    <w:rsid w:val="00E81958"/>
    <w:rsid w:val="00E81CE0"/>
    <w:rsid w:val="00E81E7C"/>
    <w:rsid w:val="00E82104"/>
    <w:rsid w:val="00E8224D"/>
    <w:rsid w:val="00E8496E"/>
    <w:rsid w:val="00E8519F"/>
    <w:rsid w:val="00E8582E"/>
    <w:rsid w:val="00E85CC3"/>
    <w:rsid w:val="00E8644A"/>
    <w:rsid w:val="00E90279"/>
    <w:rsid w:val="00E90635"/>
    <w:rsid w:val="00E909A1"/>
    <w:rsid w:val="00E90BFF"/>
    <w:rsid w:val="00E91851"/>
    <w:rsid w:val="00E91F04"/>
    <w:rsid w:val="00E91F35"/>
    <w:rsid w:val="00E9441F"/>
    <w:rsid w:val="00E94ECD"/>
    <w:rsid w:val="00E95BA6"/>
    <w:rsid w:val="00E97110"/>
    <w:rsid w:val="00E97648"/>
    <w:rsid w:val="00EA0E4A"/>
    <w:rsid w:val="00EA1A54"/>
    <w:rsid w:val="00EA2226"/>
    <w:rsid w:val="00EA26FC"/>
    <w:rsid w:val="00EA3B5A"/>
    <w:rsid w:val="00EA410E"/>
    <w:rsid w:val="00EA4FD1"/>
    <w:rsid w:val="00EA53C2"/>
    <w:rsid w:val="00EA565C"/>
    <w:rsid w:val="00EA5695"/>
    <w:rsid w:val="00EA5B0A"/>
    <w:rsid w:val="00EA65AD"/>
    <w:rsid w:val="00EA7FCF"/>
    <w:rsid w:val="00EB099F"/>
    <w:rsid w:val="00EB0CA3"/>
    <w:rsid w:val="00EB104F"/>
    <w:rsid w:val="00EB1B27"/>
    <w:rsid w:val="00EB1DA8"/>
    <w:rsid w:val="00EB4CFF"/>
    <w:rsid w:val="00EB5476"/>
    <w:rsid w:val="00EB70B0"/>
    <w:rsid w:val="00EB7633"/>
    <w:rsid w:val="00EB7736"/>
    <w:rsid w:val="00EC0454"/>
    <w:rsid w:val="00EC1BE5"/>
    <w:rsid w:val="00EC2E2D"/>
    <w:rsid w:val="00EC349E"/>
    <w:rsid w:val="00EC462B"/>
    <w:rsid w:val="00EC4723"/>
    <w:rsid w:val="00EC56E0"/>
    <w:rsid w:val="00EC6057"/>
    <w:rsid w:val="00EC6847"/>
    <w:rsid w:val="00EC7DB6"/>
    <w:rsid w:val="00ED0736"/>
    <w:rsid w:val="00ED162F"/>
    <w:rsid w:val="00ED2E52"/>
    <w:rsid w:val="00ED2FE0"/>
    <w:rsid w:val="00ED3024"/>
    <w:rsid w:val="00ED5FE4"/>
    <w:rsid w:val="00ED70F1"/>
    <w:rsid w:val="00ED71C5"/>
    <w:rsid w:val="00EE068B"/>
    <w:rsid w:val="00EE16FA"/>
    <w:rsid w:val="00EE3C42"/>
    <w:rsid w:val="00EE3D4F"/>
    <w:rsid w:val="00EE4720"/>
    <w:rsid w:val="00EE534D"/>
    <w:rsid w:val="00EE5560"/>
    <w:rsid w:val="00EE55FD"/>
    <w:rsid w:val="00EE6F1E"/>
    <w:rsid w:val="00EE7046"/>
    <w:rsid w:val="00EF0348"/>
    <w:rsid w:val="00EF0FC2"/>
    <w:rsid w:val="00EF1A1B"/>
    <w:rsid w:val="00EF1F9C"/>
    <w:rsid w:val="00EF4366"/>
    <w:rsid w:val="00EF4422"/>
    <w:rsid w:val="00EF4CD6"/>
    <w:rsid w:val="00EF55A0"/>
    <w:rsid w:val="00EF63D1"/>
    <w:rsid w:val="00EF6513"/>
    <w:rsid w:val="00EF661D"/>
    <w:rsid w:val="00EF6683"/>
    <w:rsid w:val="00EF7002"/>
    <w:rsid w:val="00EF769B"/>
    <w:rsid w:val="00EF77E1"/>
    <w:rsid w:val="00F027BA"/>
    <w:rsid w:val="00F033A2"/>
    <w:rsid w:val="00F03E79"/>
    <w:rsid w:val="00F049C2"/>
    <w:rsid w:val="00F04A2E"/>
    <w:rsid w:val="00F0523B"/>
    <w:rsid w:val="00F0628D"/>
    <w:rsid w:val="00F06651"/>
    <w:rsid w:val="00F07767"/>
    <w:rsid w:val="00F07DE6"/>
    <w:rsid w:val="00F1012D"/>
    <w:rsid w:val="00F1056C"/>
    <w:rsid w:val="00F107F1"/>
    <w:rsid w:val="00F10FC1"/>
    <w:rsid w:val="00F112FD"/>
    <w:rsid w:val="00F11C5A"/>
    <w:rsid w:val="00F120B1"/>
    <w:rsid w:val="00F133A1"/>
    <w:rsid w:val="00F13ECD"/>
    <w:rsid w:val="00F155CE"/>
    <w:rsid w:val="00F16BF2"/>
    <w:rsid w:val="00F17AFE"/>
    <w:rsid w:val="00F17EAE"/>
    <w:rsid w:val="00F218D4"/>
    <w:rsid w:val="00F22122"/>
    <w:rsid w:val="00F2250A"/>
    <w:rsid w:val="00F244A7"/>
    <w:rsid w:val="00F24788"/>
    <w:rsid w:val="00F24B19"/>
    <w:rsid w:val="00F24BFA"/>
    <w:rsid w:val="00F262C6"/>
    <w:rsid w:val="00F2640F"/>
    <w:rsid w:val="00F27C34"/>
    <w:rsid w:val="00F27E46"/>
    <w:rsid w:val="00F301C2"/>
    <w:rsid w:val="00F302E1"/>
    <w:rsid w:val="00F30B9F"/>
    <w:rsid w:val="00F30C22"/>
    <w:rsid w:val="00F31211"/>
    <w:rsid w:val="00F31B22"/>
    <w:rsid w:val="00F31B49"/>
    <w:rsid w:val="00F3233B"/>
    <w:rsid w:val="00F32F56"/>
    <w:rsid w:val="00F33993"/>
    <w:rsid w:val="00F33D4F"/>
    <w:rsid w:val="00F3458E"/>
    <w:rsid w:val="00F34CD6"/>
    <w:rsid w:val="00F350C7"/>
    <w:rsid w:val="00F35873"/>
    <w:rsid w:val="00F35920"/>
    <w:rsid w:val="00F3654C"/>
    <w:rsid w:val="00F366A5"/>
    <w:rsid w:val="00F36C5F"/>
    <w:rsid w:val="00F37259"/>
    <w:rsid w:val="00F37CD4"/>
    <w:rsid w:val="00F405A4"/>
    <w:rsid w:val="00F4099B"/>
    <w:rsid w:val="00F417A8"/>
    <w:rsid w:val="00F41F05"/>
    <w:rsid w:val="00F42378"/>
    <w:rsid w:val="00F433BD"/>
    <w:rsid w:val="00F44EC5"/>
    <w:rsid w:val="00F4729F"/>
    <w:rsid w:val="00F47498"/>
    <w:rsid w:val="00F512B2"/>
    <w:rsid w:val="00F5283D"/>
    <w:rsid w:val="00F52ABA"/>
    <w:rsid w:val="00F52BC7"/>
    <w:rsid w:val="00F530BB"/>
    <w:rsid w:val="00F53BF4"/>
    <w:rsid w:val="00F54266"/>
    <w:rsid w:val="00F55043"/>
    <w:rsid w:val="00F56DCF"/>
    <w:rsid w:val="00F57034"/>
    <w:rsid w:val="00F57B41"/>
    <w:rsid w:val="00F6056B"/>
    <w:rsid w:val="00F60BE9"/>
    <w:rsid w:val="00F61AE6"/>
    <w:rsid w:val="00F61FD8"/>
    <w:rsid w:val="00F629C8"/>
    <w:rsid w:val="00F62DBF"/>
    <w:rsid w:val="00F641FC"/>
    <w:rsid w:val="00F647F7"/>
    <w:rsid w:val="00F6583C"/>
    <w:rsid w:val="00F6589A"/>
    <w:rsid w:val="00F65AC8"/>
    <w:rsid w:val="00F65CF2"/>
    <w:rsid w:val="00F65E76"/>
    <w:rsid w:val="00F662F1"/>
    <w:rsid w:val="00F6783E"/>
    <w:rsid w:val="00F70DBE"/>
    <w:rsid w:val="00F71124"/>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80399"/>
    <w:rsid w:val="00F812C8"/>
    <w:rsid w:val="00F8132D"/>
    <w:rsid w:val="00F818AE"/>
    <w:rsid w:val="00F81B40"/>
    <w:rsid w:val="00F81C7F"/>
    <w:rsid w:val="00F820C4"/>
    <w:rsid w:val="00F83078"/>
    <w:rsid w:val="00F83540"/>
    <w:rsid w:val="00F83829"/>
    <w:rsid w:val="00F84069"/>
    <w:rsid w:val="00F843D7"/>
    <w:rsid w:val="00F85153"/>
    <w:rsid w:val="00F85536"/>
    <w:rsid w:val="00F8657A"/>
    <w:rsid w:val="00F8679A"/>
    <w:rsid w:val="00F87117"/>
    <w:rsid w:val="00F8736C"/>
    <w:rsid w:val="00F9030E"/>
    <w:rsid w:val="00F90ADB"/>
    <w:rsid w:val="00F90E78"/>
    <w:rsid w:val="00F91209"/>
    <w:rsid w:val="00F9221F"/>
    <w:rsid w:val="00F931C7"/>
    <w:rsid w:val="00F93559"/>
    <w:rsid w:val="00F93838"/>
    <w:rsid w:val="00F93D72"/>
    <w:rsid w:val="00F93E65"/>
    <w:rsid w:val="00F94070"/>
    <w:rsid w:val="00F9482A"/>
    <w:rsid w:val="00F950B5"/>
    <w:rsid w:val="00F9513F"/>
    <w:rsid w:val="00F977F2"/>
    <w:rsid w:val="00F97908"/>
    <w:rsid w:val="00F97B43"/>
    <w:rsid w:val="00FA07F8"/>
    <w:rsid w:val="00FA105C"/>
    <w:rsid w:val="00FA1475"/>
    <w:rsid w:val="00FA148A"/>
    <w:rsid w:val="00FA27C8"/>
    <w:rsid w:val="00FA3B76"/>
    <w:rsid w:val="00FA487C"/>
    <w:rsid w:val="00FA4D66"/>
    <w:rsid w:val="00FA5A4E"/>
    <w:rsid w:val="00FA7ED9"/>
    <w:rsid w:val="00FB0082"/>
    <w:rsid w:val="00FB0243"/>
    <w:rsid w:val="00FB1527"/>
    <w:rsid w:val="00FB2537"/>
    <w:rsid w:val="00FB33DC"/>
    <w:rsid w:val="00FB40A1"/>
    <w:rsid w:val="00FB4338"/>
    <w:rsid w:val="00FB477E"/>
    <w:rsid w:val="00FB4C9C"/>
    <w:rsid w:val="00FB6165"/>
    <w:rsid w:val="00FC0142"/>
    <w:rsid w:val="00FC0150"/>
    <w:rsid w:val="00FC03AB"/>
    <w:rsid w:val="00FC08C8"/>
    <w:rsid w:val="00FC31C2"/>
    <w:rsid w:val="00FC3CD3"/>
    <w:rsid w:val="00FC4729"/>
    <w:rsid w:val="00FC4A8C"/>
    <w:rsid w:val="00FC53DB"/>
    <w:rsid w:val="00FC5C08"/>
    <w:rsid w:val="00FC5F24"/>
    <w:rsid w:val="00FC5FC2"/>
    <w:rsid w:val="00FC6177"/>
    <w:rsid w:val="00FC63D1"/>
    <w:rsid w:val="00FC7528"/>
    <w:rsid w:val="00FD00AD"/>
    <w:rsid w:val="00FD00C7"/>
    <w:rsid w:val="00FD0572"/>
    <w:rsid w:val="00FD0FD3"/>
    <w:rsid w:val="00FD1A97"/>
    <w:rsid w:val="00FD1B33"/>
    <w:rsid w:val="00FD2D7B"/>
    <w:rsid w:val="00FD33D3"/>
    <w:rsid w:val="00FD37F6"/>
    <w:rsid w:val="00FD4589"/>
    <w:rsid w:val="00FD473E"/>
    <w:rsid w:val="00FD4E76"/>
    <w:rsid w:val="00FD7DF9"/>
    <w:rsid w:val="00FE0B03"/>
    <w:rsid w:val="00FE0B51"/>
    <w:rsid w:val="00FE0B78"/>
    <w:rsid w:val="00FE0ED4"/>
    <w:rsid w:val="00FE15C3"/>
    <w:rsid w:val="00FE1EAB"/>
    <w:rsid w:val="00FE29AE"/>
    <w:rsid w:val="00FE3465"/>
    <w:rsid w:val="00FE348A"/>
    <w:rsid w:val="00FE4376"/>
    <w:rsid w:val="00FE50FF"/>
    <w:rsid w:val="00FE58F7"/>
    <w:rsid w:val="00FE67CF"/>
    <w:rsid w:val="00FE6D20"/>
    <w:rsid w:val="00FE6FB9"/>
    <w:rsid w:val="00FE7507"/>
    <w:rsid w:val="00FE7549"/>
    <w:rsid w:val="00FE7BCC"/>
    <w:rsid w:val="00FF03AA"/>
    <w:rsid w:val="00FF0632"/>
    <w:rsid w:val="00FF126D"/>
    <w:rsid w:val="00FF1BD8"/>
    <w:rsid w:val="00FF2310"/>
    <w:rsid w:val="00FF2E73"/>
    <w:rsid w:val="00FF30FB"/>
    <w:rsid w:val="00FF418F"/>
    <w:rsid w:val="00FF425C"/>
    <w:rsid w:val="00FF4AE2"/>
    <w:rsid w:val="00FF50A8"/>
    <w:rsid w:val="00FF571E"/>
    <w:rsid w:val="00FF68AC"/>
    <w:rsid w:val="00FF6BD1"/>
    <w:rsid w:val="00FF6CC0"/>
    <w:rsid w:val="00FF7512"/>
    <w:rsid w:val="00FF7563"/>
    <w:rsid w:val="15CF22C6"/>
    <w:rsid w:val="44117097"/>
    <w:rsid w:val="5793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1B8063A"/>
  <w15:docId w15:val="{58437FF2-EF27-42E5-A480-4E20A75D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uiPriority w:val="9"/>
    <w:qFormat/>
    <w:pPr>
      <w:keepNext/>
      <w:numPr>
        <w:ilvl w:val="1"/>
        <w:numId w:val="1"/>
      </w:numPr>
      <w:tabs>
        <w:tab w:val="clear" w:pos="666"/>
        <w:tab w:val="left" w:pos="432"/>
        <w:tab w:val="left" w:pos="576"/>
      </w:tabs>
      <w:spacing w:before="120"/>
      <w:ind w:left="576"/>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uiPriority w:val="9"/>
    <w:qFormat/>
    <w:pPr>
      <w:keepNext/>
      <w:numPr>
        <w:ilvl w:val="3"/>
        <w:numId w:val="1"/>
      </w:numPr>
      <w:tabs>
        <w:tab w:val="left" w:pos="432"/>
      </w:tabs>
      <w:spacing w:before="120"/>
      <w:outlineLvl w:val="3"/>
    </w:pPr>
    <w:rPr>
      <w:b/>
      <w:bCs/>
      <w:szCs w:val="28"/>
    </w:rPr>
  </w:style>
  <w:style w:type="paragraph" w:styleId="Heading5">
    <w:name w:val="heading 5"/>
    <w:basedOn w:val="Normal"/>
    <w:next w:val="Normal"/>
    <w:uiPriority w:val="9"/>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1"/>
      </w:numPr>
      <w:spacing w:before="240" w:after="60"/>
      <w:outlineLvl w:val="5"/>
    </w:pPr>
    <w:rPr>
      <w:b/>
      <w:bCs/>
    </w:rPr>
  </w:style>
  <w:style w:type="paragraph" w:styleId="Heading7">
    <w:name w:val="heading 7"/>
    <w:basedOn w:val="Normal"/>
    <w:next w:val="Normal"/>
    <w:uiPriority w:val="9"/>
    <w:qFormat/>
    <w:pPr>
      <w:numPr>
        <w:ilvl w:val="6"/>
        <w:numId w:val="1"/>
      </w:numPr>
      <w:spacing w:before="240" w:after="60"/>
      <w:outlineLvl w:val="6"/>
    </w:pPr>
    <w:rPr>
      <w:sz w:val="24"/>
      <w:szCs w:val="24"/>
    </w:rPr>
  </w:style>
  <w:style w:type="paragraph" w:styleId="Heading8">
    <w:name w:val="heading 8"/>
    <w:basedOn w:val="Normal"/>
    <w:next w:val="Normal"/>
    <w:uiPriority w:val="9"/>
    <w:qFormat/>
    <w:pPr>
      <w:numPr>
        <w:ilvl w:val="7"/>
        <w:numId w:val="1"/>
      </w:numPr>
      <w:spacing w:before="240" w:after="60"/>
      <w:outlineLvl w:val="7"/>
    </w:pPr>
    <w:rPr>
      <w:i/>
      <w:iCs/>
      <w:sz w:val="24"/>
      <w:szCs w:val="24"/>
    </w:rPr>
  </w:style>
  <w:style w:type="paragraph" w:styleId="Heading9">
    <w:name w:val="heading 9"/>
    <w:basedOn w:val="Normal"/>
    <w:next w:val="Normal"/>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3,cap Char Char2,Caption Char1 Char Char1,cap Char Char1 Char1,Caption Char Char1 Char Char1,cap Char2 Char1,cap Char Char Char Char Char Char Char Char1,Caption Char2 Char Char1,Caption Char1 Char1 Char Char1,cap1 Char1"/>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qFormat/>
    <w:rPr>
      <w:rFonts w:eastAsia="SimSun" w:cs="Times New Roman"/>
      <w:b/>
      <w:bCs/>
      <w:sz w:val="20"/>
      <w:szCs w:val="20"/>
      <w:lang w:val="en-GB" w:eastAsia="zh-CN"/>
    </w:rPr>
  </w:style>
  <w:style w:type="paragraph" w:customStyle="1" w:styleId="TdocHeader2">
    <w:name w:val="Tdoc_Header_2"/>
    <w:basedOn w:val="Normal"/>
    <w:rsid w:val="00CB72FA"/>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styleId="ListBullet2">
    <w:name w:val="List Bullet 2"/>
    <w:aliases w:val="lb2"/>
    <w:basedOn w:val="Normal"/>
    <w:rsid w:val="006B460C"/>
    <w:pPr>
      <w:numPr>
        <w:numId w:val="11"/>
      </w:numPr>
      <w:autoSpaceDE/>
      <w:autoSpaceDN/>
      <w:adjustRightInd/>
      <w:snapToGrid/>
      <w:spacing w:after="240"/>
      <w:jc w:val="left"/>
    </w:pPr>
    <w:rPr>
      <w:rFonts w:eastAsia="Times New Roman"/>
      <w:sz w:val="24"/>
      <w:szCs w:val="24"/>
      <w:lang w:val="en-HK" w:eastAsia="zh-CN"/>
    </w:rPr>
  </w:style>
  <w:style w:type="paragraph" w:customStyle="1" w:styleId="TAL">
    <w:name w:val="TAL"/>
    <w:basedOn w:val="Normal"/>
    <w:link w:val="TALCar"/>
    <w:qFormat/>
    <w:rsid w:val="00CE29AB"/>
    <w:pPr>
      <w:keepNext/>
      <w:keepLines/>
      <w:overflowPunct w:val="0"/>
      <w:snapToGrid/>
      <w:spacing w:after="0"/>
      <w:jc w:val="left"/>
      <w:textAlignment w:val="baseline"/>
    </w:pPr>
    <w:rPr>
      <w:rFonts w:ascii="Arial" w:eastAsia="Times New Roman" w:hAnsi="Arial"/>
      <w:sz w:val="18"/>
      <w:szCs w:val="24"/>
      <w:lang w:val="en-HK" w:eastAsia="en-GB"/>
    </w:rPr>
  </w:style>
  <w:style w:type="paragraph" w:customStyle="1" w:styleId="TAH">
    <w:name w:val="TAH"/>
    <w:basedOn w:val="Normal"/>
    <w:link w:val="TAHCar"/>
    <w:qFormat/>
    <w:rsid w:val="00CE29AB"/>
    <w:pPr>
      <w:keepNext/>
      <w:keepLines/>
      <w:overflowPunct w:val="0"/>
      <w:snapToGrid/>
      <w:spacing w:after="0"/>
      <w:jc w:val="center"/>
      <w:textAlignment w:val="baseline"/>
    </w:pPr>
    <w:rPr>
      <w:rFonts w:ascii="Arial" w:eastAsia="Times New Roman" w:hAnsi="Arial"/>
      <w:b/>
      <w:sz w:val="18"/>
      <w:szCs w:val="24"/>
      <w:lang w:val="en-HK" w:eastAsia="en-GB"/>
    </w:rPr>
  </w:style>
  <w:style w:type="character" w:customStyle="1" w:styleId="TALCar">
    <w:name w:val="TAL Car"/>
    <w:link w:val="TAL"/>
    <w:qFormat/>
    <w:locked/>
    <w:rsid w:val="00CE29AB"/>
    <w:rPr>
      <w:rFonts w:ascii="Arial" w:eastAsia="Times New Roman" w:hAnsi="Arial"/>
      <w:sz w:val="18"/>
      <w:szCs w:val="24"/>
      <w:lang w:val="en-HK" w:eastAsia="en-GB"/>
    </w:rPr>
  </w:style>
  <w:style w:type="character" w:customStyle="1" w:styleId="TAHCar">
    <w:name w:val="TAH Car"/>
    <w:link w:val="TAH"/>
    <w:qFormat/>
    <w:locked/>
    <w:rsid w:val="00CE29AB"/>
    <w:rPr>
      <w:rFonts w:ascii="Arial" w:eastAsia="Times New Roman" w:hAnsi="Arial"/>
      <w:b/>
      <w:sz w:val="18"/>
      <w:szCs w:val="24"/>
      <w:lang w:val="en-HK" w:eastAsia="en-GB"/>
    </w:rPr>
  </w:style>
  <w:style w:type="paragraph" w:customStyle="1" w:styleId="PL">
    <w:name w:val="PL"/>
    <w:link w:val="PLChar"/>
    <w:qFormat/>
    <w:rsid w:val="00CE2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E29AB"/>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465294">
      <w:bodyDiv w:val="1"/>
      <w:marLeft w:val="0"/>
      <w:marRight w:val="0"/>
      <w:marTop w:val="0"/>
      <w:marBottom w:val="0"/>
      <w:divBdr>
        <w:top w:val="none" w:sz="0" w:space="0" w:color="auto"/>
        <w:left w:val="none" w:sz="0" w:space="0" w:color="auto"/>
        <w:bottom w:val="none" w:sz="0" w:space="0" w:color="auto"/>
        <w:right w:val="none" w:sz="0" w:space="0" w:color="auto"/>
      </w:divBdr>
    </w:div>
    <w:div w:id="9864733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__5.vsdx"/><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__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vsdx"/><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package" Target="embeddings/Microsoft_Visio___4.vsdx"/><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6E2198-7B59-4C15-8682-F9928EF97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2179</Words>
  <Characters>12422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JanShahid</cp:lastModifiedBy>
  <cp:revision>4</cp:revision>
  <cp:lastPrinted>2007-06-18T22:08:00Z</cp:lastPrinted>
  <dcterms:created xsi:type="dcterms:W3CDTF">2022-11-07T09:02:00Z</dcterms:created>
  <dcterms:modified xsi:type="dcterms:W3CDTF">2022-11-07T09:13:00Z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2052-11.1.0.11636</vt:lpwstr>
  </property>
  <property fmtid="{D5CDD505-2E9C-101B-9397-08002B2CF9AE}" pid="23" name="ICV">
    <vt:lpwstr>4A5D27D87F934F04A10DBE6DE35FAFD4</vt:lpwstr>
  </property>
</Properties>
</file>