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7365A0DF"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FB2F84" w:rsidRPr="000114C4">
        <w:rPr>
          <w:rFonts w:ascii="Arial" w:hAnsi="Arial" w:cs="Arial"/>
          <w:b/>
          <w:bCs/>
          <w:sz w:val="28"/>
        </w:rPr>
        <w:t>1</w:t>
      </w:r>
      <w:r w:rsidR="00FB2F84" w:rsidRPr="005F5598">
        <w:rPr>
          <w:rFonts w:ascii="Arial" w:hAnsi="Arial" w:cs="Arial"/>
          <w:b/>
          <w:bCs/>
          <w:sz w:val="28"/>
        </w:rPr>
        <w:t>1</w:t>
      </w:r>
      <w:r w:rsidR="00FB2F84">
        <w:rPr>
          <w:rFonts w:ascii="Arial" w:hAnsi="Arial" w:cs="Arial"/>
          <w:b/>
          <w:bCs/>
          <w:sz w:val="28"/>
        </w:rPr>
        <w:t>1</w:t>
      </w:r>
      <w:r w:rsidRPr="000114C4">
        <w:rPr>
          <w:rFonts w:ascii="Arial" w:hAnsi="Arial" w:cs="Arial"/>
          <w:b/>
          <w:bCs/>
          <w:sz w:val="28"/>
        </w:rPr>
        <w:tab/>
      </w:r>
      <w:r w:rsidR="0049485B" w:rsidRPr="000114C4">
        <w:rPr>
          <w:rFonts w:ascii="Arial" w:hAnsi="Arial" w:cs="Arial"/>
          <w:b/>
          <w:bCs/>
          <w:sz w:val="28"/>
        </w:rPr>
        <w:t>R1-</w:t>
      </w:r>
      <w:r w:rsidR="00FB2F84">
        <w:rPr>
          <w:rFonts w:ascii="Arial" w:hAnsi="Arial" w:cs="Arial"/>
          <w:b/>
          <w:bCs/>
          <w:sz w:val="28"/>
        </w:rPr>
        <w:t>2210965</w:t>
      </w:r>
    </w:p>
    <w:p w14:paraId="74D57662" w14:textId="1450AFDF" w:rsidR="0084067F" w:rsidRPr="000114C4" w:rsidRDefault="0027489E" w:rsidP="0084067F">
      <w:pPr>
        <w:tabs>
          <w:tab w:val="center" w:pos="4536"/>
          <w:tab w:val="right" w:pos="9072"/>
        </w:tabs>
        <w:rPr>
          <w:rFonts w:ascii="Arial" w:eastAsia="MS Mincho" w:hAnsi="Arial" w:cs="Arial"/>
          <w:b/>
          <w:bCs/>
          <w:sz w:val="28"/>
          <w:lang w:eastAsia="ja-JP"/>
        </w:rPr>
      </w:pPr>
      <w:r w:rsidRPr="0027489E">
        <w:rPr>
          <w:rFonts w:ascii="Arial" w:eastAsia="MS Mincho" w:hAnsi="Arial" w:cs="Arial"/>
          <w:b/>
          <w:bCs/>
          <w:sz w:val="28"/>
          <w:lang w:eastAsia="ja-JP"/>
        </w:rPr>
        <w:t xml:space="preserve">Toulouse, France, </w:t>
      </w:r>
      <w:r>
        <w:rPr>
          <w:rFonts w:ascii="Arial" w:eastAsia="MS Mincho" w:hAnsi="Arial" w:cs="Arial"/>
          <w:b/>
          <w:bCs/>
          <w:sz w:val="28"/>
          <w:lang w:eastAsia="ja-JP"/>
        </w:rPr>
        <w:t>November</w:t>
      </w:r>
      <w:r w:rsidRPr="0027489E">
        <w:rPr>
          <w:rFonts w:ascii="Arial" w:eastAsia="MS Mincho" w:hAnsi="Arial" w:cs="Arial"/>
          <w:b/>
          <w:bCs/>
          <w:sz w:val="28"/>
          <w:lang w:eastAsia="ja-JP"/>
        </w:rPr>
        <w:t xml:space="preserve"> </w:t>
      </w:r>
      <w:r>
        <w:rPr>
          <w:rFonts w:ascii="Arial" w:eastAsia="MS Mincho" w:hAnsi="Arial" w:cs="Arial"/>
          <w:b/>
          <w:bCs/>
          <w:sz w:val="28"/>
          <w:lang w:eastAsia="ja-JP"/>
        </w:rPr>
        <w:t>14th</w:t>
      </w:r>
      <w:r w:rsidRPr="0027489E">
        <w:rPr>
          <w:rFonts w:ascii="Arial" w:eastAsia="MS Mincho" w:hAnsi="Arial" w:cs="Arial"/>
          <w:b/>
          <w:bCs/>
          <w:sz w:val="28"/>
          <w:lang w:eastAsia="ja-JP"/>
        </w:rPr>
        <w:t xml:space="preserve"> – </w:t>
      </w:r>
      <w:r>
        <w:rPr>
          <w:rFonts w:ascii="Arial" w:eastAsia="MS Mincho" w:hAnsi="Arial" w:cs="Arial"/>
          <w:b/>
          <w:bCs/>
          <w:sz w:val="28"/>
          <w:lang w:eastAsia="ja-JP"/>
        </w:rPr>
        <w:t>18</w:t>
      </w:r>
      <w:r w:rsidRPr="0027489E">
        <w:rPr>
          <w:rFonts w:ascii="Arial" w:eastAsia="MS Mincho" w:hAnsi="Arial" w:cs="Arial"/>
          <w:b/>
          <w:bCs/>
          <w:sz w:val="28"/>
          <w:lang w:eastAsia="ja-JP"/>
        </w:rPr>
        <w:t>th, 2022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4CA472FC" w14:textId="3A539023" w:rsidR="002F170A" w:rsidRDefault="002F170A" w:rsidP="002F170A">
      <w:pPr>
        <w:pStyle w:val="a5"/>
        <w:tabs>
          <w:tab w:val="clear" w:pos="4536"/>
          <w:tab w:val="left" w:pos="1800"/>
        </w:tabs>
        <w:ind w:left="1798" w:hangingChars="814" w:hanging="1798"/>
        <w:rPr>
          <w:rFonts w:cs="Arial"/>
          <w:sz w:val="22"/>
          <w:szCs w:val="22"/>
        </w:rPr>
      </w:pPr>
      <w:r w:rsidRPr="000114C4">
        <w:rPr>
          <w:rFonts w:cs="Arial"/>
          <w:sz w:val="22"/>
          <w:szCs w:val="22"/>
        </w:rPr>
        <w:t>Title:</w:t>
      </w:r>
      <w:r w:rsidRPr="000114C4">
        <w:rPr>
          <w:rFonts w:cs="Arial"/>
          <w:sz w:val="22"/>
          <w:szCs w:val="22"/>
        </w:rPr>
        <w:tab/>
      </w:r>
      <w:r w:rsidR="005F5598" w:rsidRPr="005F5598">
        <w:rPr>
          <w:rFonts w:cs="Arial"/>
          <w:b w:val="0"/>
          <w:bCs/>
          <w:sz w:val="22"/>
          <w:szCs w:val="22"/>
        </w:rPr>
        <w:t>[Draft</w:t>
      </w:r>
      <w:r w:rsidR="005F5598">
        <w:rPr>
          <w:rFonts w:cs="Arial"/>
          <w:b w:val="0"/>
          <w:bCs/>
          <w:sz w:val="22"/>
          <w:szCs w:val="22"/>
        </w:rPr>
        <w:t>]</w:t>
      </w:r>
      <w:r w:rsidR="005F5598" w:rsidRPr="005F5598">
        <w:rPr>
          <w:rFonts w:cs="Arial"/>
          <w:b w:val="0"/>
          <w:bCs/>
          <w:sz w:val="22"/>
          <w:szCs w:val="22"/>
        </w:rPr>
        <w:t xml:space="preserve"> reply LS on </w:t>
      </w:r>
      <w:r w:rsidR="009F2CA2">
        <w:rPr>
          <w:rFonts w:cs="Arial"/>
          <w:b w:val="0"/>
          <w:bCs/>
          <w:sz w:val="22"/>
          <w:szCs w:val="22"/>
        </w:rPr>
        <w:t>FeMIMO RRC</w:t>
      </w:r>
      <w:r w:rsidR="005F5598" w:rsidRPr="005F5598">
        <w:rPr>
          <w:rFonts w:cs="Arial"/>
          <w:b w:val="0"/>
          <w:bCs/>
          <w:sz w:val="22"/>
          <w:szCs w:val="22"/>
        </w:rPr>
        <w:t xml:space="preserve"> </w:t>
      </w:r>
    </w:p>
    <w:p w14:paraId="08FE7BE3" w14:textId="6C80121F" w:rsidR="005F5598" w:rsidRPr="005F5598" w:rsidRDefault="005F5598" w:rsidP="002F170A">
      <w:pPr>
        <w:pStyle w:val="a5"/>
        <w:tabs>
          <w:tab w:val="clear" w:pos="4536"/>
          <w:tab w:val="left" w:pos="1800"/>
        </w:tabs>
        <w:ind w:left="1798" w:hangingChars="814" w:hanging="1798"/>
        <w:rPr>
          <w:rFonts w:eastAsiaTheme="minorEastAsia" w:cs="Arial"/>
          <w:b w:val="0"/>
          <w:bCs/>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esponse to:       </w:t>
      </w:r>
      <w:r w:rsidR="009F2CA2" w:rsidRPr="009F2CA2">
        <w:rPr>
          <w:rFonts w:eastAsiaTheme="minorEastAsia" w:cs="Arial"/>
          <w:b w:val="0"/>
          <w:bCs/>
          <w:sz w:val="22"/>
          <w:szCs w:val="22"/>
          <w:lang w:eastAsia="zh-CN"/>
        </w:rPr>
        <w:t>R2-2211028</w:t>
      </w:r>
    </w:p>
    <w:p w14:paraId="288FB7C3" w14:textId="319D5472"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elease:               </w:t>
      </w:r>
      <w:r w:rsidRPr="005F5598">
        <w:rPr>
          <w:rFonts w:eastAsiaTheme="minorEastAsia" w:cs="Arial"/>
          <w:b w:val="0"/>
          <w:bCs/>
          <w:sz w:val="22"/>
          <w:szCs w:val="22"/>
          <w:lang w:eastAsia="zh-CN"/>
        </w:rPr>
        <w:t>Rel-17</w:t>
      </w:r>
    </w:p>
    <w:p w14:paraId="7BBD792B" w14:textId="35979E9C"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W</w:t>
      </w:r>
      <w:r>
        <w:rPr>
          <w:rFonts w:eastAsiaTheme="minorEastAsia" w:cs="Arial"/>
          <w:sz w:val="22"/>
          <w:szCs w:val="22"/>
          <w:lang w:eastAsia="zh-CN"/>
        </w:rPr>
        <w:t xml:space="preserve">ork Item:           </w:t>
      </w:r>
      <w:r w:rsidRPr="005F5598">
        <w:rPr>
          <w:rFonts w:eastAsiaTheme="minorEastAsia" w:cs="Arial"/>
          <w:b w:val="0"/>
          <w:bCs/>
          <w:sz w:val="22"/>
          <w:szCs w:val="22"/>
          <w:lang w:eastAsia="zh-CN"/>
        </w:rPr>
        <w:t>NR_eMIMO</w:t>
      </w:r>
      <w:r>
        <w:rPr>
          <w:rFonts w:eastAsiaTheme="minorEastAsia" w:cs="Arial"/>
          <w:b w:val="0"/>
          <w:bCs/>
          <w:sz w:val="22"/>
          <w:szCs w:val="22"/>
          <w:lang w:eastAsia="zh-CN"/>
        </w:rPr>
        <w:t>-</w:t>
      </w:r>
      <w:r w:rsidRPr="005F5598">
        <w:rPr>
          <w:rFonts w:eastAsiaTheme="minorEastAsia" w:cs="Arial"/>
          <w:b w:val="0"/>
          <w:bCs/>
          <w:sz w:val="22"/>
          <w:szCs w:val="22"/>
          <w:lang w:eastAsia="zh-CN"/>
        </w:rPr>
        <w:t>Core</w:t>
      </w:r>
    </w:p>
    <w:p w14:paraId="7DA3A9D2" w14:textId="0AB6DB19"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p>
    <w:p w14:paraId="2F261E2D" w14:textId="654B7BFB" w:rsidR="005F5598" w:rsidRPr="000114C4" w:rsidRDefault="005F5598" w:rsidP="005F5598">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5F5598">
        <w:rPr>
          <w:rFonts w:eastAsia="宋体"/>
          <w:b w:val="0"/>
          <w:bCs/>
          <w:sz w:val="22"/>
          <w:szCs w:val="22"/>
          <w:lang w:eastAsia="zh-CN"/>
        </w:rPr>
        <w:t>vivo</w:t>
      </w:r>
      <w:r>
        <w:rPr>
          <w:rFonts w:eastAsia="宋体"/>
          <w:b w:val="0"/>
          <w:bCs/>
          <w:sz w:val="22"/>
          <w:szCs w:val="22"/>
          <w:lang w:eastAsia="zh-CN"/>
        </w:rPr>
        <w:t xml:space="preserve"> </w:t>
      </w:r>
      <w:r w:rsidRPr="005F5598">
        <w:rPr>
          <w:rFonts w:eastAsia="宋体"/>
          <w:b w:val="0"/>
          <w:bCs/>
          <w:sz w:val="22"/>
          <w:szCs w:val="22"/>
          <w:lang w:eastAsia="zh-CN"/>
        </w:rPr>
        <w:t>[</w:t>
      </w:r>
      <w:r w:rsidRPr="005F5598">
        <w:rPr>
          <w:rFonts w:eastAsiaTheme="minorEastAsia" w:cs="Arial"/>
          <w:b w:val="0"/>
          <w:bCs/>
          <w:sz w:val="22"/>
          <w:szCs w:val="22"/>
          <w:lang w:eastAsia="zh-CN"/>
        </w:rPr>
        <w:t>TSG RAN WG1]</w:t>
      </w:r>
    </w:p>
    <w:p w14:paraId="240000A9" w14:textId="3620B08E" w:rsidR="005F5598" w:rsidRP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sz w:val="22"/>
          <w:szCs w:val="22"/>
          <w:lang w:eastAsia="zh-CN"/>
        </w:rPr>
        <w:t xml:space="preserve">To:                        </w:t>
      </w:r>
      <w:r w:rsidRPr="005F5598">
        <w:rPr>
          <w:rFonts w:eastAsiaTheme="minorEastAsia" w:cs="Arial"/>
          <w:b w:val="0"/>
          <w:bCs/>
          <w:sz w:val="22"/>
          <w:szCs w:val="22"/>
          <w:lang w:eastAsia="zh-CN"/>
        </w:rPr>
        <w:t>TSG RAN WG</w:t>
      </w:r>
      <w:r w:rsidR="009F2CA2">
        <w:rPr>
          <w:rFonts w:eastAsiaTheme="minorEastAsia" w:cs="Arial"/>
          <w:b w:val="0"/>
          <w:bCs/>
          <w:sz w:val="22"/>
          <w:szCs w:val="22"/>
          <w:lang w:eastAsia="zh-CN"/>
        </w:rPr>
        <w:t>2</w:t>
      </w:r>
    </w:p>
    <w:p w14:paraId="02BD733C" w14:textId="77777777" w:rsidR="005F5598" w:rsidRDefault="005F5598" w:rsidP="002F170A">
      <w:pPr>
        <w:pStyle w:val="a5"/>
        <w:tabs>
          <w:tab w:val="left" w:pos="1800"/>
        </w:tabs>
        <w:rPr>
          <w:rFonts w:cs="Arial"/>
          <w:sz w:val="22"/>
          <w:szCs w:val="22"/>
        </w:rPr>
      </w:pPr>
    </w:p>
    <w:p w14:paraId="42DA4B38" w14:textId="77777777" w:rsidR="005F5598" w:rsidRDefault="005F5598" w:rsidP="002F170A">
      <w:pPr>
        <w:pStyle w:val="a5"/>
        <w:tabs>
          <w:tab w:val="left" w:pos="1800"/>
        </w:tabs>
        <w:rPr>
          <w:rFonts w:cs="Arial"/>
          <w:sz w:val="22"/>
          <w:szCs w:val="22"/>
        </w:rPr>
      </w:pPr>
      <w:r>
        <w:rPr>
          <w:rFonts w:cs="Arial"/>
          <w:sz w:val="22"/>
          <w:szCs w:val="22"/>
        </w:rPr>
        <w:t>Contact Person:</w:t>
      </w:r>
    </w:p>
    <w:p w14:paraId="7373E177" w14:textId="77777777" w:rsidR="005F5598"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Name: </w:t>
      </w:r>
    </w:p>
    <w:p w14:paraId="21B5826B" w14:textId="01A42F70" w:rsidR="002F170A"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Email Address:     </w:t>
      </w:r>
    </w:p>
    <w:p w14:paraId="3D7608DA" w14:textId="6B2037A5" w:rsidR="009A4884" w:rsidRDefault="005F5598" w:rsidP="00C914FE">
      <w:pPr>
        <w:pStyle w:val="title1"/>
      </w:pPr>
      <w:r>
        <w:t>Overall Description</w:t>
      </w:r>
    </w:p>
    <w:p w14:paraId="4E03948D" w14:textId="75D77E0C" w:rsidR="005F5598" w:rsidRDefault="005F5598" w:rsidP="00694792">
      <w:pPr>
        <w:rPr>
          <w:rFonts w:eastAsiaTheme="minorEastAsia"/>
          <w:lang w:eastAsia="zh-CN"/>
        </w:rPr>
      </w:pPr>
      <w:r>
        <w:rPr>
          <w:rFonts w:eastAsiaTheme="minorEastAsia" w:hint="eastAsia"/>
          <w:lang w:eastAsia="zh-CN"/>
        </w:rPr>
        <w:t>R</w:t>
      </w:r>
      <w:r>
        <w:rPr>
          <w:rFonts w:eastAsiaTheme="minorEastAsia"/>
          <w:lang w:eastAsia="zh-CN"/>
        </w:rPr>
        <w:t>AN1 would like to thank RAN</w:t>
      </w:r>
      <w:r w:rsidR="0027489E">
        <w:rPr>
          <w:rFonts w:eastAsiaTheme="minorEastAsia"/>
          <w:lang w:eastAsia="zh-CN"/>
        </w:rPr>
        <w:t>2</w:t>
      </w:r>
      <w:r>
        <w:rPr>
          <w:rFonts w:eastAsiaTheme="minorEastAsia"/>
          <w:lang w:eastAsia="zh-CN"/>
        </w:rPr>
        <w:t xml:space="preserve"> for the LS on </w:t>
      </w:r>
      <w:r w:rsidR="0027489E">
        <w:rPr>
          <w:rFonts w:eastAsiaTheme="minorEastAsia"/>
          <w:lang w:eastAsia="zh-CN"/>
        </w:rPr>
        <w:t>FeMIMO RRC parameters</w:t>
      </w:r>
      <w:r>
        <w:rPr>
          <w:rFonts w:eastAsiaTheme="minorEastAsia"/>
          <w:lang w:eastAsia="zh-CN"/>
        </w:rPr>
        <w:t>, and would like to provide the following answers:</w:t>
      </w:r>
    </w:p>
    <w:p w14:paraId="35B13657" w14:textId="7C9F4C3E" w:rsidR="005F5598" w:rsidRPr="005F5598" w:rsidRDefault="005F5598" w:rsidP="005F5598">
      <w:pPr>
        <w:spacing w:before="100" w:beforeAutospacing="1"/>
        <w:rPr>
          <w:rFonts w:eastAsia="宋体"/>
          <w:sz w:val="22"/>
          <w:szCs w:val="22"/>
          <w:lang w:eastAsia="zh-CN"/>
        </w:rPr>
      </w:pPr>
      <w:r w:rsidRPr="005F5598">
        <w:rPr>
          <w:rFonts w:eastAsia="宋体"/>
          <w:b/>
          <w:sz w:val="22"/>
          <w:szCs w:val="22"/>
          <w:lang w:eastAsia="zh-CN"/>
        </w:rPr>
        <w:t>Question 1</w:t>
      </w:r>
      <w:r w:rsidRPr="005F5598">
        <w:rPr>
          <w:rFonts w:eastAsia="宋体"/>
          <w:sz w:val="22"/>
          <w:szCs w:val="22"/>
          <w:lang w:eastAsia="zh-CN"/>
        </w:rPr>
        <w:t xml:space="preserve">: </w:t>
      </w:r>
      <w:r w:rsidR="0037769D" w:rsidRPr="0037769D">
        <w:rPr>
          <w:lang w:eastAsia="zh-CN"/>
        </w:rPr>
        <w:t>According to above RAN2 understandings, RAN2 would like to ask RAN1 to explain what the association of BWP and cell ID for srs-TCIState is.</w:t>
      </w:r>
    </w:p>
    <w:p w14:paraId="5E5720B4" w14:textId="1A46E328" w:rsidR="005F5598" w:rsidRP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nswer to Question 1</w:t>
      </w:r>
      <w:r w:rsidRPr="005F5598">
        <w:rPr>
          <w:rFonts w:eastAsiaTheme="minorEastAsia"/>
          <w:sz w:val="22"/>
          <w:szCs w:val="22"/>
          <w:lang w:eastAsia="zh-CN"/>
        </w:rPr>
        <w:t>:</w:t>
      </w:r>
    </w:p>
    <w:p w14:paraId="6B1AEC52" w14:textId="29EB9892" w:rsidR="00E34267" w:rsidRDefault="00390F64" w:rsidP="005F5598">
      <w:pPr>
        <w:rPr>
          <w:rFonts w:eastAsia="宋体"/>
          <w:szCs w:val="20"/>
          <w:lang w:eastAsia="zh-CN"/>
        </w:rPr>
      </w:pPr>
      <w:r>
        <w:rPr>
          <w:rFonts w:eastAsia="宋体" w:hint="eastAsia"/>
          <w:szCs w:val="20"/>
          <w:lang w:eastAsia="zh-CN"/>
        </w:rPr>
        <w:t>In</w:t>
      </w:r>
      <w:r w:rsidR="00735332">
        <w:rPr>
          <w:rFonts w:eastAsia="宋体"/>
          <w:szCs w:val="20"/>
          <w:lang w:eastAsia="zh-CN"/>
        </w:rPr>
        <w:t xml:space="preserve"> the case </w:t>
      </w:r>
      <w:r>
        <w:rPr>
          <w:rFonts w:eastAsia="宋体"/>
          <w:szCs w:val="20"/>
          <w:lang w:eastAsia="zh-CN"/>
        </w:rPr>
        <w:t>of</w:t>
      </w:r>
      <w:r w:rsidR="00735332">
        <w:rPr>
          <w:rFonts w:eastAsia="宋体"/>
          <w:szCs w:val="20"/>
          <w:lang w:eastAsia="zh-CN"/>
        </w:rPr>
        <w:t xml:space="preserve"> </w:t>
      </w:r>
      <w:r w:rsidR="00FE4BCF" w:rsidRPr="00E34267">
        <w:rPr>
          <w:rFonts w:eastAsia="宋体"/>
          <w:szCs w:val="20"/>
          <w:lang w:eastAsia="zh-CN"/>
        </w:rPr>
        <w:t>UL-TCI-State</w:t>
      </w:r>
      <w:r w:rsidR="00E34267" w:rsidRPr="00E34267">
        <w:t xml:space="preserve"> </w:t>
      </w:r>
      <w:r w:rsidR="00810C60">
        <w:t>of SRS</w:t>
      </w:r>
      <w:r w:rsidR="00E2416E">
        <w:t xml:space="preserve"> is present, RAN1 confirms </w:t>
      </w:r>
      <w:r>
        <w:t xml:space="preserve">that </w:t>
      </w:r>
      <w:r w:rsidRPr="0037769D">
        <w:rPr>
          <w:lang w:eastAsia="zh-CN"/>
        </w:rPr>
        <w:t>srs-TCIState</w:t>
      </w:r>
      <w:r w:rsidR="00E2416E">
        <w:t xml:space="preserve"> </w:t>
      </w:r>
      <w:r w:rsidR="00FE4BCF" w:rsidRPr="00E34267">
        <w:rPr>
          <w:rFonts w:eastAsia="宋体"/>
          <w:szCs w:val="20"/>
          <w:lang w:eastAsia="zh-CN"/>
        </w:rPr>
        <w:t xml:space="preserve">is </w:t>
      </w:r>
      <w:r w:rsidR="00FA3DE7">
        <w:rPr>
          <w:rFonts w:eastAsia="宋体"/>
          <w:szCs w:val="20"/>
          <w:lang w:eastAsia="zh-CN"/>
        </w:rPr>
        <w:t xml:space="preserve">either </w:t>
      </w:r>
      <w:r w:rsidR="00FE4BCF" w:rsidRPr="00E34267">
        <w:rPr>
          <w:rFonts w:eastAsia="宋体"/>
          <w:szCs w:val="20"/>
          <w:lang w:eastAsia="zh-CN"/>
        </w:rPr>
        <w:t xml:space="preserve">associated with the </w:t>
      </w:r>
      <w:r w:rsidR="005B3D66">
        <w:rPr>
          <w:rFonts w:eastAsia="宋体"/>
          <w:szCs w:val="20"/>
          <w:lang w:eastAsia="zh-CN"/>
        </w:rPr>
        <w:t xml:space="preserve">uplink </w:t>
      </w:r>
      <w:r w:rsidR="00FE4BCF" w:rsidRPr="00E34267">
        <w:rPr>
          <w:rFonts w:eastAsia="宋体"/>
          <w:szCs w:val="20"/>
          <w:lang w:eastAsia="zh-CN"/>
        </w:rPr>
        <w:t xml:space="preserve">BWP and serving cell where the </w:t>
      </w:r>
      <w:r w:rsidR="00FE4BCF" w:rsidRPr="00382147">
        <w:rPr>
          <w:rFonts w:eastAsia="宋体"/>
          <w:i/>
          <w:iCs/>
          <w:szCs w:val="20"/>
          <w:lang w:eastAsia="zh-CN"/>
        </w:rPr>
        <w:t>SRS-Config</w:t>
      </w:r>
      <w:r w:rsidR="00FE4BCF" w:rsidRPr="00E34267">
        <w:rPr>
          <w:rFonts w:eastAsia="宋体"/>
          <w:szCs w:val="20"/>
          <w:lang w:eastAsia="zh-CN"/>
        </w:rPr>
        <w:t xml:space="preserve"> </w:t>
      </w:r>
      <w:r w:rsidR="00382147">
        <w:rPr>
          <w:rFonts w:eastAsia="宋体"/>
          <w:szCs w:val="20"/>
          <w:lang w:eastAsia="zh-CN"/>
        </w:rPr>
        <w:t xml:space="preserve">and </w:t>
      </w:r>
      <w:r w:rsidR="00382147" w:rsidRPr="00382147">
        <w:rPr>
          <w:rFonts w:eastAsia="宋体"/>
          <w:i/>
          <w:iCs/>
          <w:szCs w:val="20"/>
          <w:lang w:eastAsia="zh-CN"/>
        </w:rPr>
        <w:t>ul-TCI-ToAddModList-r17</w:t>
      </w:r>
      <w:r w:rsidR="00382147" w:rsidRPr="00382147">
        <w:rPr>
          <w:rFonts w:eastAsia="宋体"/>
          <w:szCs w:val="20"/>
          <w:lang w:eastAsia="zh-CN"/>
        </w:rPr>
        <w:t xml:space="preserve"> </w:t>
      </w:r>
      <w:r w:rsidR="00CA72F5">
        <w:rPr>
          <w:rFonts w:eastAsia="宋体"/>
          <w:szCs w:val="20"/>
          <w:lang w:eastAsia="zh-CN"/>
        </w:rPr>
        <w:t>are</w:t>
      </w:r>
      <w:r w:rsidR="00CA72F5" w:rsidRPr="00E34267">
        <w:rPr>
          <w:rFonts w:eastAsia="宋体"/>
          <w:szCs w:val="20"/>
          <w:lang w:eastAsia="zh-CN"/>
        </w:rPr>
        <w:t xml:space="preserve"> </w:t>
      </w:r>
      <w:r w:rsidR="00FE4BCF" w:rsidRPr="00E34267">
        <w:rPr>
          <w:rFonts w:eastAsia="宋体"/>
          <w:szCs w:val="20"/>
          <w:lang w:eastAsia="zh-CN"/>
        </w:rPr>
        <w:t>configured</w:t>
      </w:r>
      <w:r w:rsidR="00382147">
        <w:rPr>
          <w:rFonts w:eastAsia="宋体"/>
          <w:szCs w:val="20"/>
          <w:lang w:eastAsia="zh-CN"/>
        </w:rPr>
        <w:t xml:space="preserve">, or </w:t>
      </w:r>
      <w:r w:rsidR="00945A44" w:rsidRPr="00E34267">
        <w:rPr>
          <w:rFonts w:eastAsia="宋体"/>
          <w:szCs w:val="20"/>
          <w:lang w:eastAsia="zh-CN"/>
        </w:rPr>
        <w:t xml:space="preserve">associated with the </w:t>
      </w:r>
      <w:r w:rsidR="005B3D66">
        <w:rPr>
          <w:rFonts w:eastAsia="宋体"/>
          <w:szCs w:val="20"/>
          <w:lang w:eastAsia="zh-CN"/>
        </w:rPr>
        <w:t xml:space="preserve">uplink </w:t>
      </w:r>
      <w:r w:rsidR="00945A44" w:rsidRPr="00E34267">
        <w:rPr>
          <w:rFonts w:eastAsia="宋体"/>
          <w:szCs w:val="20"/>
          <w:lang w:eastAsia="zh-CN"/>
        </w:rPr>
        <w:t>BWP and serving cell</w:t>
      </w:r>
      <w:r w:rsidR="00945A44">
        <w:rPr>
          <w:rFonts w:eastAsia="宋体"/>
          <w:szCs w:val="20"/>
          <w:lang w:eastAsia="zh-CN"/>
        </w:rPr>
        <w:t xml:space="preserve"> indicated by </w:t>
      </w:r>
      <w:r w:rsidR="00945A44" w:rsidRPr="00945A44">
        <w:rPr>
          <w:rFonts w:eastAsia="宋体"/>
          <w:i/>
          <w:iCs/>
          <w:szCs w:val="20"/>
          <w:lang w:eastAsia="zh-CN"/>
        </w:rPr>
        <w:t>unifiedTCI-StateRef-r17</w:t>
      </w:r>
      <w:r w:rsidR="005B3D66">
        <w:rPr>
          <w:rFonts w:eastAsia="宋体"/>
          <w:i/>
          <w:iCs/>
          <w:szCs w:val="20"/>
          <w:lang w:eastAsia="zh-CN"/>
        </w:rPr>
        <w:t xml:space="preserve">. </w:t>
      </w:r>
      <w:r>
        <w:rPr>
          <w:rFonts w:eastAsia="宋体"/>
          <w:szCs w:val="20"/>
          <w:lang w:eastAsia="zh-CN"/>
        </w:rPr>
        <w:t xml:space="preserve">In </w:t>
      </w:r>
      <w:r w:rsidR="00AE61A3">
        <w:rPr>
          <w:rFonts w:eastAsia="宋体"/>
          <w:szCs w:val="20"/>
          <w:lang w:eastAsia="zh-CN"/>
        </w:rPr>
        <w:t xml:space="preserve">the case </w:t>
      </w:r>
      <w:r>
        <w:rPr>
          <w:rFonts w:eastAsia="宋体"/>
          <w:szCs w:val="20"/>
          <w:lang w:eastAsia="zh-CN"/>
        </w:rPr>
        <w:t xml:space="preserve">of </w:t>
      </w:r>
      <w:r w:rsidR="00AE61A3">
        <w:rPr>
          <w:rFonts w:eastAsia="宋体"/>
          <w:szCs w:val="20"/>
          <w:lang w:eastAsia="zh-CN"/>
        </w:rPr>
        <w:t xml:space="preserve">the </w:t>
      </w:r>
      <w:r w:rsidR="00AE61A3" w:rsidRPr="00AE61A3">
        <w:rPr>
          <w:rFonts w:eastAsia="宋体"/>
          <w:szCs w:val="20"/>
          <w:lang w:eastAsia="zh-CN"/>
        </w:rPr>
        <w:t>Joint TCI state is present</w:t>
      </w:r>
      <w:r w:rsidR="00AE61A3">
        <w:rPr>
          <w:rFonts w:eastAsia="宋体"/>
          <w:szCs w:val="20"/>
          <w:lang w:eastAsia="zh-CN"/>
        </w:rPr>
        <w:t xml:space="preserve">, </w:t>
      </w:r>
      <w:r w:rsidR="00AE61A3" w:rsidRPr="00AE61A3">
        <w:rPr>
          <w:rFonts w:eastAsia="宋体"/>
          <w:szCs w:val="20"/>
          <w:lang w:eastAsia="zh-CN"/>
        </w:rPr>
        <w:t xml:space="preserve">RAN1 confirms </w:t>
      </w:r>
      <w:r w:rsidR="00184D3D">
        <w:t xml:space="preserve">that </w:t>
      </w:r>
      <w:r w:rsidR="00184D3D" w:rsidRPr="0037769D">
        <w:rPr>
          <w:lang w:eastAsia="zh-CN"/>
        </w:rPr>
        <w:t>srs-TCIState</w:t>
      </w:r>
      <w:r w:rsidR="00AE61A3" w:rsidRPr="00AE61A3">
        <w:rPr>
          <w:rFonts w:eastAsia="宋体"/>
          <w:szCs w:val="20"/>
          <w:lang w:eastAsia="zh-CN"/>
        </w:rPr>
        <w:t xml:space="preserve"> is </w:t>
      </w:r>
      <w:r w:rsidR="00F355C2">
        <w:rPr>
          <w:rFonts w:eastAsia="宋体"/>
          <w:szCs w:val="20"/>
          <w:lang w:eastAsia="zh-CN"/>
        </w:rPr>
        <w:t xml:space="preserve">either </w:t>
      </w:r>
      <w:r w:rsidR="00AE61A3" w:rsidRPr="00AE61A3">
        <w:rPr>
          <w:rFonts w:eastAsia="宋体"/>
          <w:szCs w:val="20"/>
          <w:lang w:eastAsia="zh-CN"/>
        </w:rPr>
        <w:t xml:space="preserve">associated with the </w:t>
      </w:r>
      <w:r w:rsidR="00AE61A3">
        <w:rPr>
          <w:rFonts w:eastAsia="宋体"/>
          <w:szCs w:val="20"/>
          <w:lang w:eastAsia="zh-CN"/>
        </w:rPr>
        <w:t>down</w:t>
      </w:r>
      <w:r w:rsidR="00AE61A3" w:rsidRPr="00AE61A3">
        <w:rPr>
          <w:rFonts w:eastAsia="宋体"/>
          <w:szCs w:val="20"/>
          <w:lang w:eastAsia="zh-CN"/>
        </w:rPr>
        <w:t xml:space="preserve">link BWP and serving cell where </w:t>
      </w:r>
      <w:r w:rsidR="00AE61A3" w:rsidRPr="00AE61A3">
        <w:rPr>
          <w:rFonts w:eastAsia="宋体"/>
          <w:i/>
          <w:iCs/>
          <w:szCs w:val="20"/>
          <w:lang w:eastAsia="zh-CN"/>
        </w:rPr>
        <w:t>dl-OrJoint-TCI-State-ToAddModList-r17</w:t>
      </w:r>
      <w:r w:rsidR="00AE61A3" w:rsidRPr="00AE61A3">
        <w:rPr>
          <w:rFonts w:eastAsia="宋体"/>
          <w:szCs w:val="20"/>
          <w:lang w:eastAsia="zh-CN"/>
        </w:rPr>
        <w:t xml:space="preserve"> is configured, or associated with the </w:t>
      </w:r>
      <w:r w:rsidR="00AE61A3">
        <w:rPr>
          <w:rFonts w:eastAsia="宋体"/>
          <w:szCs w:val="20"/>
          <w:lang w:eastAsia="zh-CN"/>
        </w:rPr>
        <w:t>down</w:t>
      </w:r>
      <w:r w:rsidR="00AE61A3" w:rsidRPr="00AE61A3">
        <w:rPr>
          <w:rFonts w:eastAsia="宋体"/>
          <w:szCs w:val="20"/>
          <w:lang w:eastAsia="zh-CN"/>
        </w:rPr>
        <w:t xml:space="preserve">link BWP and serving cell indicated by </w:t>
      </w:r>
      <w:r w:rsidR="00AE61A3" w:rsidRPr="00FA3DE7">
        <w:rPr>
          <w:rFonts w:eastAsia="宋体"/>
          <w:i/>
          <w:iCs/>
          <w:szCs w:val="20"/>
          <w:lang w:eastAsia="zh-CN"/>
        </w:rPr>
        <w:t>unifiedTCI-StateRef-r17</w:t>
      </w:r>
      <w:r w:rsidR="00AE61A3" w:rsidRPr="00AE61A3">
        <w:rPr>
          <w:rFonts w:eastAsia="宋体"/>
          <w:szCs w:val="20"/>
          <w:lang w:eastAsia="zh-CN"/>
        </w:rPr>
        <w:t>.</w:t>
      </w:r>
      <w:r w:rsidR="00FA3DE7">
        <w:rPr>
          <w:rFonts w:eastAsia="宋体"/>
          <w:szCs w:val="20"/>
          <w:lang w:eastAsia="zh-CN"/>
        </w:rPr>
        <w:t xml:space="preserve"> </w:t>
      </w:r>
      <w:r w:rsidR="004C3EDB">
        <w:rPr>
          <w:rFonts w:eastAsia="宋体"/>
          <w:szCs w:val="20"/>
          <w:lang w:eastAsia="zh-CN"/>
        </w:rPr>
        <w:t xml:space="preserve"> </w:t>
      </w:r>
    </w:p>
    <w:p w14:paraId="23A01AD7" w14:textId="374E82A8" w:rsidR="00AD5E5A" w:rsidRPr="004C3EDB" w:rsidRDefault="00AD5E5A" w:rsidP="00AD5E5A">
      <w:pPr>
        <w:rPr>
          <w:rFonts w:eastAsia="宋体"/>
          <w:szCs w:val="20"/>
          <w:lang w:eastAsia="zh-CN"/>
        </w:rPr>
      </w:pPr>
      <w:r>
        <w:rPr>
          <w:rFonts w:eastAsia="宋体"/>
          <w:szCs w:val="20"/>
          <w:lang w:eastAsia="zh-CN"/>
        </w:rPr>
        <w:t xml:space="preserve">Compared to </w:t>
      </w:r>
      <w:r w:rsidR="00CA11D3">
        <w:rPr>
          <w:rFonts w:eastAsia="宋体"/>
          <w:szCs w:val="20"/>
          <w:lang w:eastAsia="zh-CN"/>
        </w:rPr>
        <w:t xml:space="preserve">introducing </w:t>
      </w:r>
      <w:r w:rsidRPr="004C3EDB">
        <w:rPr>
          <w:rFonts w:eastAsia="宋体"/>
          <w:szCs w:val="20"/>
          <w:lang w:eastAsia="zh-CN"/>
        </w:rPr>
        <w:t xml:space="preserve">the separate fields BWP ID and Cell ID in </w:t>
      </w:r>
      <w:r w:rsidRPr="004C3EDB">
        <w:rPr>
          <w:rFonts w:eastAsia="宋体"/>
          <w:i/>
          <w:iCs/>
          <w:szCs w:val="20"/>
          <w:lang w:eastAsia="zh-CN"/>
        </w:rPr>
        <w:t>srs-UL-TCIState-r17</w:t>
      </w:r>
      <w:r>
        <w:rPr>
          <w:rFonts w:eastAsia="宋体"/>
          <w:szCs w:val="20"/>
          <w:lang w:eastAsia="zh-CN"/>
        </w:rPr>
        <w:t xml:space="preserve">, i.e., Alternative 1, </w:t>
      </w:r>
      <w:r>
        <w:rPr>
          <w:rFonts w:eastAsia="宋体" w:hint="eastAsia"/>
          <w:szCs w:val="20"/>
          <w:lang w:eastAsia="zh-CN"/>
        </w:rPr>
        <w:t>R</w:t>
      </w:r>
      <w:r>
        <w:rPr>
          <w:rFonts w:eastAsia="宋体"/>
          <w:szCs w:val="20"/>
          <w:lang w:eastAsia="zh-CN"/>
        </w:rPr>
        <w:t xml:space="preserve">AN1 thinks adding </w:t>
      </w:r>
      <w:r w:rsidR="004F3E75">
        <w:rPr>
          <w:rFonts w:eastAsia="宋体"/>
          <w:szCs w:val="20"/>
          <w:lang w:eastAsia="zh-CN"/>
        </w:rPr>
        <w:t xml:space="preserve">the </w:t>
      </w:r>
      <w:r>
        <w:rPr>
          <w:rFonts w:eastAsia="宋体"/>
          <w:szCs w:val="20"/>
          <w:lang w:eastAsia="zh-CN"/>
        </w:rPr>
        <w:t xml:space="preserve">above description for the field </w:t>
      </w:r>
      <w:r w:rsidR="004F3E75">
        <w:rPr>
          <w:rFonts w:eastAsia="宋体"/>
          <w:szCs w:val="20"/>
          <w:lang w:eastAsia="zh-CN"/>
        </w:rPr>
        <w:t xml:space="preserve">of </w:t>
      </w:r>
      <w:r w:rsidR="004F3E75" w:rsidRPr="004F3E75">
        <w:rPr>
          <w:rFonts w:eastAsia="宋体"/>
          <w:i/>
          <w:iCs/>
          <w:szCs w:val="20"/>
          <w:lang w:eastAsia="zh-CN"/>
        </w:rPr>
        <w:t>srs-TCIState-r17</w:t>
      </w:r>
      <w:r w:rsidR="004F3E75" w:rsidRPr="004F3E75">
        <w:rPr>
          <w:rFonts w:eastAsia="宋体"/>
          <w:szCs w:val="20"/>
          <w:lang w:eastAsia="zh-CN"/>
        </w:rPr>
        <w:t xml:space="preserve"> </w:t>
      </w:r>
      <w:r w:rsidR="004F3E75">
        <w:rPr>
          <w:rFonts w:eastAsia="宋体"/>
          <w:szCs w:val="20"/>
          <w:lang w:eastAsia="zh-CN"/>
        </w:rPr>
        <w:t>is sufficient to clarify the association.</w:t>
      </w:r>
      <w:r>
        <w:rPr>
          <w:rFonts w:eastAsia="宋体"/>
          <w:szCs w:val="20"/>
          <w:lang w:eastAsia="zh-CN"/>
        </w:rPr>
        <w:t xml:space="preserve">  </w:t>
      </w:r>
    </w:p>
    <w:p w14:paraId="7B7CF36B" w14:textId="77777777" w:rsidR="00AD5E5A" w:rsidRPr="00A676BA" w:rsidRDefault="00AD5E5A" w:rsidP="005F5598">
      <w:pPr>
        <w:rPr>
          <w:rFonts w:eastAsia="宋体"/>
          <w:i/>
          <w:iCs/>
          <w:szCs w:val="20"/>
          <w:lang w:eastAsia="zh-CN"/>
        </w:rPr>
      </w:pPr>
    </w:p>
    <w:p w14:paraId="4C2881F4" w14:textId="77777777" w:rsidR="00E9676D" w:rsidRPr="00E9676D" w:rsidRDefault="005F5598" w:rsidP="00E9676D">
      <w:pPr>
        <w:rPr>
          <w:rFonts w:eastAsia="宋体"/>
        </w:rPr>
      </w:pPr>
      <w:r w:rsidRPr="005F5598">
        <w:rPr>
          <w:rFonts w:eastAsia="宋体" w:hint="eastAsia"/>
          <w:b/>
          <w:bCs/>
          <w:sz w:val="22"/>
          <w:szCs w:val="22"/>
          <w:lang w:eastAsia="zh-CN"/>
        </w:rPr>
        <w:t>Q</w:t>
      </w:r>
      <w:r w:rsidRPr="005F5598">
        <w:rPr>
          <w:rFonts w:eastAsia="宋体"/>
          <w:b/>
          <w:bCs/>
          <w:sz w:val="22"/>
          <w:szCs w:val="22"/>
          <w:lang w:eastAsia="zh-CN"/>
        </w:rPr>
        <w:t xml:space="preserve">uestion 2: </w:t>
      </w:r>
      <w:r w:rsidR="00E9676D" w:rsidRPr="00E9676D">
        <w:rPr>
          <w:rFonts w:eastAsia="宋体"/>
        </w:rPr>
        <w:t>RAN2 would like to ask RAN1</w:t>
      </w:r>
    </w:p>
    <w:p w14:paraId="490E3D70" w14:textId="513C808E" w:rsidR="00E9676D" w:rsidRPr="00E9676D" w:rsidRDefault="00E9676D" w:rsidP="00E9676D">
      <w:pPr>
        <w:pStyle w:val="af2"/>
        <w:numPr>
          <w:ilvl w:val="0"/>
          <w:numId w:val="46"/>
        </w:numPr>
        <w:ind w:leftChars="300" w:left="1020" w:firstLineChars="0"/>
        <w:rPr>
          <w:rFonts w:ascii="Times New Roman" w:hAnsi="Times New Roman"/>
          <w:sz w:val="20"/>
          <w:szCs w:val="20"/>
        </w:rPr>
      </w:pPr>
      <w:r w:rsidRPr="00E9676D">
        <w:rPr>
          <w:rFonts w:ascii="Times New Roman" w:hAnsi="Times New Roman"/>
          <w:sz w:val="20"/>
          <w:szCs w:val="20"/>
        </w:rPr>
        <w:t>Is there a need to add the parameter codebookMode which selects mode1 or mode2 in the IE CodebookConfig-r17?</w:t>
      </w:r>
    </w:p>
    <w:p w14:paraId="4257DCAF" w14:textId="69511B50" w:rsidR="00E9676D" w:rsidRPr="00E9676D" w:rsidRDefault="00E9676D" w:rsidP="00E9676D">
      <w:pPr>
        <w:pStyle w:val="af2"/>
        <w:numPr>
          <w:ilvl w:val="0"/>
          <w:numId w:val="46"/>
        </w:numPr>
        <w:ind w:leftChars="300" w:left="1020" w:firstLineChars="0"/>
        <w:rPr>
          <w:rFonts w:ascii="Times New Roman" w:hAnsi="Times New Roman"/>
          <w:sz w:val="20"/>
          <w:szCs w:val="20"/>
        </w:rPr>
      </w:pPr>
      <w:r w:rsidRPr="00E9676D">
        <w:rPr>
          <w:rFonts w:ascii="Times New Roman" w:hAnsi="Times New Roman"/>
          <w:sz w:val="20"/>
          <w:szCs w:val="20"/>
        </w:rPr>
        <w:t>If a) is needed, which types of codebook the parameter is needed, for example:</w:t>
      </w:r>
    </w:p>
    <w:p w14:paraId="3FBA0E19" w14:textId="04406141" w:rsidR="00E9676D" w:rsidRPr="00E9676D" w:rsidRDefault="00E9676D" w:rsidP="00E9676D">
      <w:pPr>
        <w:pStyle w:val="af2"/>
        <w:numPr>
          <w:ilvl w:val="0"/>
          <w:numId w:val="49"/>
        </w:numPr>
        <w:ind w:leftChars="600" w:left="1620" w:firstLineChars="0"/>
        <w:rPr>
          <w:rFonts w:ascii="Times New Roman" w:hAnsi="Times New Roman"/>
          <w:sz w:val="20"/>
          <w:szCs w:val="20"/>
        </w:rPr>
      </w:pPr>
      <w:r w:rsidRPr="00E9676D">
        <w:rPr>
          <w:rFonts w:ascii="Times New Roman" w:hAnsi="Times New Roman"/>
          <w:sz w:val="20"/>
          <w:szCs w:val="20"/>
        </w:rPr>
        <w:t>typeI-SinglePanel-Group1-r17</w:t>
      </w:r>
    </w:p>
    <w:p w14:paraId="5FBBBDD5" w14:textId="2535557E" w:rsidR="00E9676D" w:rsidRPr="00E9676D" w:rsidRDefault="00E9676D" w:rsidP="00E9676D">
      <w:pPr>
        <w:pStyle w:val="af2"/>
        <w:numPr>
          <w:ilvl w:val="0"/>
          <w:numId w:val="49"/>
        </w:numPr>
        <w:ind w:leftChars="600" w:left="1620" w:firstLineChars="0"/>
        <w:rPr>
          <w:rFonts w:ascii="Times New Roman" w:hAnsi="Times New Roman"/>
          <w:sz w:val="20"/>
          <w:szCs w:val="20"/>
        </w:rPr>
      </w:pPr>
      <w:r w:rsidRPr="00E9676D">
        <w:rPr>
          <w:rFonts w:ascii="Times New Roman" w:hAnsi="Times New Roman"/>
          <w:sz w:val="20"/>
          <w:szCs w:val="20"/>
        </w:rPr>
        <w:t>typeI-SinglePanel-Group2-r17</w:t>
      </w:r>
    </w:p>
    <w:p w14:paraId="406E6BAC" w14:textId="14B9A74C" w:rsidR="00E9676D" w:rsidRPr="00E9676D" w:rsidRDefault="00E9676D" w:rsidP="00E9676D">
      <w:pPr>
        <w:pStyle w:val="af2"/>
        <w:numPr>
          <w:ilvl w:val="0"/>
          <w:numId w:val="49"/>
        </w:numPr>
        <w:ind w:leftChars="600" w:left="1620" w:firstLineChars="0"/>
        <w:rPr>
          <w:rFonts w:ascii="Times New Roman" w:hAnsi="Times New Roman"/>
          <w:sz w:val="20"/>
          <w:szCs w:val="20"/>
        </w:rPr>
      </w:pPr>
      <w:r w:rsidRPr="00E9676D">
        <w:rPr>
          <w:rFonts w:ascii="Times New Roman" w:hAnsi="Times New Roman"/>
          <w:sz w:val="20"/>
          <w:szCs w:val="20"/>
        </w:rPr>
        <w:t>typeII-PortSelection-r17</w:t>
      </w:r>
    </w:p>
    <w:p w14:paraId="1D2C8831" w14:textId="706482EB" w:rsidR="005F5598" w:rsidRPr="00E9676D" w:rsidRDefault="00E9676D" w:rsidP="00FB2F84">
      <w:pPr>
        <w:pStyle w:val="af2"/>
        <w:numPr>
          <w:ilvl w:val="0"/>
          <w:numId w:val="46"/>
        </w:numPr>
        <w:ind w:leftChars="300" w:left="1020" w:firstLineChars="0"/>
        <w:rPr>
          <w:rFonts w:ascii="Times New Roman" w:hAnsi="Times New Roman"/>
          <w:sz w:val="20"/>
          <w:szCs w:val="20"/>
        </w:rPr>
      </w:pPr>
      <w:r w:rsidRPr="00E9676D">
        <w:rPr>
          <w:rFonts w:ascii="Times New Roman" w:hAnsi="Times New Roman"/>
          <w:sz w:val="20"/>
          <w:szCs w:val="20"/>
        </w:rPr>
        <w:t>Additionally, if a) is needed, for each type of codebook that needs a parameter codebookMode, please confirm if a separate parameter is needed or if they share the same configuration of codebookMode.</w:t>
      </w:r>
    </w:p>
    <w:p w14:paraId="06F9F30A" w14:textId="46CE50FA" w:rsid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nswer to Question 2</w:t>
      </w:r>
      <w:r w:rsidRPr="005F5598">
        <w:rPr>
          <w:rFonts w:eastAsiaTheme="minorEastAsia"/>
          <w:sz w:val="22"/>
          <w:szCs w:val="22"/>
          <w:lang w:eastAsia="zh-CN"/>
        </w:rPr>
        <w:t>:</w:t>
      </w:r>
    </w:p>
    <w:p w14:paraId="43B6DD8D" w14:textId="77777777" w:rsidR="000171DA" w:rsidRDefault="000171DA" w:rsidP="005F5598">
      <w:pPr>
        <w:rPr>
          <w:rFonts w:eastAsia="宋体"/>
          <w:szCs w:val="20"/>
          <w:lang w:eastAsia="zh-CN"/>
        </w:rPr>
      </w:pPr>
      <w:r>
        <w:rPr>
          <w:rFonts w:eastAsia="宋体"/>
          <w:szCs w:val="20"/>
          <w:lang w:eastAsia="zh-CN"/>
        </w:rPr>
        <w:t>a) Yes.</w:t>
      </w:r>
    </w:p>
    <w:p w14:paraId="065B715E" w14:textId="7BA3EF5E" w:rsidR="000171DA" w:rsidRDefault="000171DA" w:rsidP="005F5598">
      <w:pPr>
        <w:rPr>
          <w:rFonts w:eastAsia="宋体"/>
          <w:szCs w:val="20"/>
          <w:lang w:eastAsia="zh-CN"/>
        </w:rPr>
      </w:pPr>
      <w:r>
        <w:rPr>
          <w:rFonts w:eastAsia="宋体"/>
          <w:szCs w:val="20"/>
          <w:lang w:eastAsia="zh-CN"/>
        </w:rPr>
        <w:t xml:space="preserve">b) </w:t>
      </w:r>
      <w:r w:rsidR="00FE7B19" w:rsidRPr="00B06155">
        <w:rPr>
          <w:rFonts w:eastAsia="宋体"/>
          <w:szCs w:val="20"/>
          <w:lang w:eastAsia="zh-CN"/>
        </w:rPr>
        <w:t>TypeI-SinglePanel-Group1-r17 and typeI-SinglePanel-Group2-r17 configured in the IE CodebookConfig-r17 need t</w:t>
      </w:r>
      <w:r w:rsidR="00DE75B9" w:rsidRPr="00B06155">
        <w:rPr>
          <w:rFonts w:eastAsia="宋体"/>
          <w:szCs w:val="20"/>
          <w:lang w:eastAsia="zh-CN"/>
        </w:rPr>
        <w:t>he</w:t>
      </w:r>
      <w:r w:rsidR="00C717D0">
        <w:rPr>
          <w:rFonts w:eastAsia="宋体"/>
          <w:szCs w:val="20"/>
          <w:lang w:eastAsia="zh-CN"/>
        </w:rPr>
        <w:t xml:space="preserve"> parameter</w:t>
      </w:r>
      <w:r w:rsidR="00DE75B9" w:rsidRPr="00B06155">
        <w:rPr>
          <w:rFonts w:eastAsia="宋体"/>
          <w:szCs w:val="20"/>
          <w:lang w:eastAsia="zh-CN"/>
        </w:rPr>
        <w:t xml:space="preserve"> codebookMode.</w:t>
      </w:r>
    </w:p>
    <w:p w14:paraId="7F59490A" w14:textId="657032AA" w:rsidR="005F5598" w:rsidRPr="00B06155" w:rsidRDefault="000171DA" w:rsidP="005F5598">
      <w:pPr>
        <w:rPr>
          <w:rFonts w:eastAsia="宋体"/>
          <w:szCs w:val="20"/>
          <w:lang w:eastAsia="zh-CN"/>
        </w:rPr>
      </w:pPr>
      <w:r>
        <w:rPr>
          <w:rFonts w:eastAsia="宋体"/>
          <w:szCs w:val="20"/>
          <w:lang w:eastAsia="zh-CN"/>
        </w:rPr>
        <w:lastRenderedPageBreak/>
        <w:t xml:space="preserve">c) </w:t>
      </w:r>
      <w:r w:rsidR="00DE75B9" w:rsidRPr="00B06155">
        <w:rPr>
          <w:rFonts w:eastAsia="宋体"/>
          <w:szCs w:val="20"/>
          <w:lang w:eastAsia="zh-CN"/>
        </w:rPr>
        <w:t>Considering the flexibility, codebookMode for each of typeI-SinglePanel-Group1-r17 and typeI-SinglePanel-Group2-r17</w:t>
      </w:r>
      <w:r>
        <w:rPr>
          <w:rFonts w:eastAsia="宋体"/>
          <w:szCs w:val="20"/>
          <w:lang w:eastAsia="zh-CN"/>
        </w:rPr>
        <w:t xml:space="preserve"> can be separately configured</w:t>
      </w:r>
      <w:r w:rsidR="00DE75B9" w:rsidRPr="00B06155">
        <w:rPr>
          <w:rFonts w:eastAsia="宋体"/>
          <w:szCs w:val="20"/>
          <w:lang w:eastAsia="zh-CN"/>
        </w:rPr>
        <w:t>, since the channel propagation condition of different TRP</w:t>
      </w:r>
      <w:r>
        <w:rPr>
          <w:rFonts w:eastAsia="宋体" w:hint="eastAsia"/>
          <w:szCs w:val="20"/>
          <w:lang w:eastAsia="zh-CN"/>
        </w:rPr>
        <w:t>s</w:t>
      </w:r>
      <w:r w:rsidR="00DE75B9" w:rsidRPr="00B06155">
        <w:rPr>
          <w:rFonts w:eastAsia="宋体"/>
          <w:szCs w:val="20"/>
          <w:lang w:eastAsia="zh-CN"/>
        </w:rPr>
        <w:t xml:space="preserve"> may be different.</w:t>
      </w:r>
    </w:p>
    <w:p w14:paraId="2C8BCA16" w14:textId="47C35952" w:rsidR="005F5598" w:rsidRDefault="005F5598" w:rsidP="005F5598">
      <w:pPr>
        <w:rPr>
          <w:rFonts w:eastAsia="宋体"/>
          <w:sz w:val="22"/>
          <w:szCs w:val="22"/>
          <w:lang w:eastAsia="zh-CN"/>
        </w:rPr>
      </w:pPr>
      <w:r w:rsidRPr="005F5598">
        <w:rPr>
          <w:rFonts w:eastAsia="宋体"/>
          <w:b/>
          <w:bCs/>
          <w:sz w:val="22"/>
          <w:szCs w:val="22"/>
          <w:lang w:eastAsia="zh-CN"/>
        </w:rPr>
        <w:t xml:space="preserve">Question 3: </w:t>
      </w:r>
      <w:r w:rsidR="00E9676D" w:rsidRPr="00E9676D">
        <w:rPr>
          <w:lang w:eastAsia="zh-CN"/>
        </w:rPr>
        <w:t>RAN2 assumes RAN1 informs RAN2 in case the above described pathloss reference signal configuration for unified TCI state is not what RAN1 has intended.</w:t>
      </w:r>
    </w:p>
    <w:p w14:paraId="781FBE88" w14:textId="7D8E59DD" w:rsid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 xml:space="preserve">nswer to Question </w:t>
      </w:r>
      <w:r>
        <w:rPr>
          <w:rFonts w:eastAsiaTheme="minorEastAsia"/>
          <w:b/>
          <w:bCs/>
          <w:sz w:val="22"/>
          <w:szCs w:val="22"/>
          <w:lang w:eastAsia="zh-CN"/>
        </w:rPr>
        <w:t>3</w:t>
      </w:r>
      <w:r w:rsidRPr="005F5598">
        <w:rPr>
          <w:rFonts w:eastAsiaTheme="minorEastAsia"/>
          <w:sz w:val="22"/>
          <w:szCs w:val="22"/>
          <w:lang w:eastAsia="zh-CN"/>
        </w:rPr>
        <w:t>:</w:t>
      </w:r>
    </w:p>
    <w:p w14:paraId="591A712A" w14:textId="63D7A3E7" w:rsidR="005F5598" w:rsidRDefault="00061C41" w:rsidP="00694792">
      <w:pPr>
        <w:rPr>
          <w:rFonts w:eastAsia="宋体"/>
          <w:lang w:eastAsia="zh-CN"/>
        </w:rPr>
      </w:pPr>
      <w:r>
        <w:rPr>
          <w:rFonts w:eastAsia="宋体"/>
          <w:lang w:eastAsia="zh-CN"/>
        </w:rPr>
        <w:t xml:space="preserve">RAN1 confirms that the existing </w:t>
      </w:r>
      <w:r w:rsidR="00C44C86">
        <w:rPr>
          <w:rFonts w:eastAsia="宋体"/>
          <w:lang w:eastAsia="zh-CN"/>
        </w:rPr>
        <w:t xml:space="preserve">determination mechanism of PL-RS is sufficient, and </w:t>
      </w:r>
      <w:r w:rsidR="00C44C86" w:rsidRPr="00C44C86">
        <w:rPr>
          <w:rFonts w:eastAsia="宋体"/>
          <w:lang w:eastAsia="zh-CN"/>
        </w:rPr>
        <w:t xml:space="preserve">further </w:t>
      </w:r>
      <w:r w:rsidR="009F27AE">
        <w:rPr>
          <w:rFonts w:eastAsia="宋体"/>
          <w:lang w:eastAsia="zh-CN"/>
        </w:rPr>
        <w:t>enhancement, e.</w:t>
      </w:r>
      <w:r w:rsidR="006C4FA0">
        <w:rPr>
          <w:rFonts w:eastAsia="宋体"/>
          <w:lang w:eastAsia="zh-CN"/>
        </w:rPr>
        <w:t>g.</w:t>
      </w:r>
      <w:r w:rsidR="009F27AE">
        <w:rPr>
          <w:rFonts w:eastAsia="宋体"/>
          <w:lang w:eastAsia="zh-CN"/>
        </w:rPr>
        <w:t xml:space="preserve">, dynamical indication, </w:t>
      </w:r>
      <w:r w:rsidR="00C44C86">
        <w:rPr>
          <w:rFonts w:eastAsia="宋体"/>
          <w:lang w:eastAsia="zh-CN"/>
        </w:rPr>
        <w:t>is not needed.</w:t>
      </w:r>
    </w:p>
    <w:p w14:paraId="6433227F" w14:textId="4A455E77" w:rsidR="005F5598" w:rsidRPr="005F5598" w:rsidRDefault="00694792" w:rsidP="00694792">
      <w:pPr>
        <w:rPr>
          <w:rFonts w:eastAsiaTheme="minorEastAsia"/>
          <w:lang w:eastAsia="zh-CN"/>
        </w:rPr>
      </w:pPr>
      <w:r>
        <w:rPr>
          <w:rFonts w:eastAsiaTheme="minorEastAsia"/>
          <w:lang w:eastAsia="zh-CN"/>
        </w:rPr>
        <w:t>RAN1 would</w:t>
      </w:r>
      <w:r w:rsidR="00F24EC2">
        <w:rPr>
          <w:rFonts w:eastAsiaTheme="minorEastAsia"/>
          <w:lang w:eastAsia="zh-CN"/>
        </w:rPr>
        <w:t xml:space="preserve"> respectfully</w:t>
      </w:r>
      <w:r>
        <w:rPr>
          <w:rFonts w:eastAsiaTheme="minorEastAsia"/>
          <w:lang w:eastAsia="zh-CN"/>
        </w:rPr>
        <w:t xml:space="preserve"> ask RAN</w:t>
      </w:r>
      <w:r w:rsidR="00425DA5">
        <w:rPr>
          <w:rFonts w:eastAsiaTheme="minorEastAsia"/>
          <w:lang w:eastAsia="zh-CN"/>
        </w:rPr>
        <w:t>2</w:t>
      </w:r>
      <w:r>
        <w:rPr>
          <w:rFonts w:eastAsiaTheme="minorEastAsia"/>
          <w:lang w:eastAsia="zh-CN"/>
        </w:rPr>
        <w:t xml:space="preserve"> to </w:t>
      </w:r>
      <w:r w:rsidR="00F24EC2">
        <w:rPr>
          <w:rFonts w:eastAsiaTheme="minorEastAsia"/>
          <w:lang w:eastAsia="zh-CN"/>
        </w:rPr>
        <w:t>take the above replies into their work</w:t>
      </w:r>
      <w:r>
        <w:rPr>
          <w:rFonts w:eastAsiaTheme="minorEastAsia"/>
          <w:lang w:eastAsia="zh-CN"/>
        </w:rPr>
        <w:t xml:space="preserve">. </w:t>
      </w:r>
    </w:p>
    <w:p w14:paraId="4160A964" w14:textId="0180F188" w:rsidR="00694792" w:rsidRPr="00694792" w:rsidRDefault="00694792" w:rsidP="00694792">
      <w:pPr>
        <w:pStyle w:val="title1"/>
        <w:rPr>
          <w:lang w:val="en-GB"/>
        </w:rPr>
      </w:pPr>
      <w:r w:rsidRPr="00694792">
        <w:rPr>
          <w:lang w:val="en-GB"/>
        </w:rPr>
        <w:t>Actions:</w:t>
      </w:r>
    </w:p>
    <w:p w14:paraId="544E13A8" w14:textId="77777777" w:rsidR="00694792" w:rsidRDefault="00694792" w:rsidP="00694792">
      <w:pPr>
        <w:rPr>
          <w:rFonts w:eastAsiaTheme="minorEastAsia"/>
          <w:b/>
          <w:bCs/>
          <w:szCs w:val="20"/>
          <w:lang w:eastAsia="zh-CN"/>
        </w:rPr>
      </w:pPr>
    </w:p>
    <w:p w14:paraId="1F9DF629" w14:textId="5D1D7B83" w:rsidR="00694792" w:rsidRPr="00694792" w:rsidRDefault="00694792" w:rsidP="00694792">
      <w:pPr>
        <w:rPr>
          <w:rFonts w:eastAsiaTheme="minorEastAsia"/>
          <w:b/>
          <w:bCs/>
          <w:szCs w:val="20"/>
          <w:lang w:eastAsia="zh-CN"/>
        </w:rPr>
      </w:pPr>
      <w:r w:rsidRPr="00694792">
        <w:rPr>
          <w:rFonts w:eastAsiaTheme="minorEastAsia"/>
          <w:b/>
          <w:bCs/>
          <w:szCs w:val="20"/>
          <w:lang w:eastAsia="zh-CN"/>
        </w:rPr>
        <w:t>To RAN</w:t>
      </w:r>
      <w:r w:rsidR="00425DA5">
        <w:rPr>
          <w:rFonts w:eastAsiaTheme="minorEastAsia"/>
          <w:b/>
          <w:bCs/>
          <w:szCs w:val="20"/>
          <w:lang w:eastAsia="zh-CN"/>
        </w:rPr>
        <w:t>2</w:t>
      </w:r>
    </w:p>
    <w:p w14:paraId="59FC66BF" w14:textId="1C5491C1" w:rsidR="00694792" w:rsidRPr="00694792" w:rsidRDefault="00694792" w:rsidP="00694792">
      <w:pPr>
        <w:rPr>
          <w:rFonts w:eastAsiaTheme="minorEastAsia"/>
          <w:b/>
          <w:bCs/>
          <w:sz w:val="22"/>
          <w:szCs w:val="22"/>
          <w:lang w:eastAsia="zh-CN"/>
        </w:rPr>
      </w:pPr>
      <w:r w:rsidRPr="00694792">
        <w:rPr>
          <w:rFonts w:eastAsiaTheme="minorEastAsia" w:hint="eastAsia"/>
          <w:b/>
          <w:bCs/>
          <w:szCs w:val="20"/>
          <w:lang w:eastAsia="zh-CN"/>
        </w:rPr>
        <w:t>A</w:t>
      </w:r>
      <w:r w:rsidRPr="00694792">
        <w:rPr>
          <w:rFonts w:eastAsiaTheme="minorEastAsia"/>
          <w:b/>
          <w:bCs/>
          <w:szCs w:val="20"/>
          <w:lang w:eastAsia="zh-CN"/>
        </w:rPr>
        <w:t>CTION</w:t>
      </w:r>
      <w:r w:rsidRPr="00694792">
        <w:rPr>
          <w:rFonts w:eastAsiaTheme="minorEastAsia"/>
          <w:b/>
          <w:bCs/>
          <w:sz w:val="22"/>
          <w:szCs w:val="22"/>
          <w:lang w:eastAsia="zh-CN"/>
        </w:rPr>
        <w:t xml:space="preserve">: </w:t>
      </w:r>
      <w:r w:rsidRPr="00694792">
        <w:rPr>
          <w:rFonts w:eastAsiaTheme="minorEastAsia"/>
        </w:rPr>
        <w:t xml:space="preserve">RAN1 </w:t>
      </w:r>
      <w:r w:rsidRPr="00694792">
        <w:rPr>
          <w:lang w:eastAsia="zh-CN"/>
        </w:rPr>
        <w:t>respectfully asks RAN</w:t>
      </w:r>
      <w:r w:rsidR="00425DA5">
        <w:rPr>
          <w:lang w:eastAsia="zh-CN"/>
        </w:rPr>
        <w:t>2</w:t>
      </w:r>
      <w:r w:rsidRPr="00694792">
        <w:rPr>
          <w:lang w:eastAsia="zh-CN"/>
        </w:rPr>
        <w:t xml:space="preserve"> to take the above information into account</w:t>
      </w:r>
      <w:r w:rsidR="009F4EC1">
        <w:rPr>
          <w:lang w:eastAsia="zh-CN"/>
        </w:rPr>
        <w:t xml:space="preserve"> in their work</w:t>
      </w:r>
      <w:r w:rsidRPr="00694792">
        <w:rPr>
          <w:lang w:eastAsia="zh-CN"/>
        </w:rPr>
        <w:t>.</w:t>
      </w:r>
    </w:p>
    <w:p w14:paraId="1639854F" w14:textId="6D61E41C" w:rsidR="00694792" w:rsidRDefault="00694792" w:rsidP="00694792">
      <w:pPr>
        <w:rPr>
          <w:rFonts w:eastAsiaTheme="minorEastAsia"/>
          <w:lang w:eastAsia="zh-CN"/>
        </w:rPr>
      </w:pPr>
    </w:p>
    <w:p w14:paraId="4118E112" w14:textId="56DD5309" w:rsidR="00694792" w:rsidRPr="0082406B" w:rsidRDefault="00694792" w:rsidP="00694792">
      <w:pPr>
        <w:pStyle w:val="title1"/>
        <w:rPr>
          <w:lang w:val="en-GB"/>
        </w:rPr>
      </w:pPr>
      <w:r w:rsidRPr="0082406B">
        <w:rPr>
          <w:lang w:val="en-GB"/>
        </w:rPr>
        <w:t>Date of Next TSG-RAN WG1 Meetings:</w:t>
      </w:r>
    </w:p>
    <w:p w14:paraId="177F87CD" w14:textId="0BF58F90" w:rsidR="00694792" w:rsidRPr="009F0EF3" w:rsidRDefault="00694792" w:rsidP="00694792">
      <w:pPr>
        <w:tabs>
          <w:tab w:val="left" w:pos="5103"/>
        </w:tabs>
        <w:ind w:left="2268" w:hanging="2268"/>
        <w:jc w:val="left"/>
        <w:rPr>
          <w:rFonts w:ascii="Arial" w:hAnsi="Arial" w:cs="Arial"/>
          <w:bCs/>
          <w:color w:val="000000"/>
          <w:szCs w:val="20"/>
          <w:lang w:val="en-GB" w:eastAsia="zh-CN"/>
        </w:rPr>
      </w:pPr>
      <w:r w:rsidRPr="00BB51D3">
        <w:rPr>
          <w:rFonts w:ascii="Arial" w:hAnsi="Arial" w:cs="Arial"/>
          <w:bCs/>
          <w:color w:val="000000"/>
          <w:szCs w:val="20"/>
          <w:lang w:val="en-GB" w:eastAsia="zh-CN"/>
        </w:rPr>
        <w:t>TSG-RAN WG1 Meeting #</w:t>
      </w:r>
      <w:r>
        <w:rPr>
          <w:rFonts w:ascii="Arial" w:hAnsi="Arial" w:cs="Arial"/>
          <w:bCs/>
          <w:color w:val="000000"/>
          <w:szCs w:val="20"/>
          <w:lang w:val="en-GB" w:eastAsia="zh-CN"/>
        </w:rPr>
        <w:t>11</w:t>
      </w:r>
      <w:r w:rsidR="00425DA5">
        <w:rPr>
          <w:rFonts w:ascii="Arial" w:hAnsi="Arial" w:cs="Arial"/>
          <w:bCs/>
          <w:color w:val="000000"/>
          <w:szCs w:val="20"/>
          <w:lang w:val="en-GB" w:eastAsia="zh-CN"/>
        </w:rPr>
        <w:t>2</w:t>
      </w:r>
      <w:r w:rsidRPr="00BB51D3">
        <w:rPr>
          <w:rFonts w:ascii="Arial" w:hAnsi="Arial" w:cs="Arial"/>
          <w:bCs/>
          <w:color w:val="000000"/>
          <w:szCs w:val="20"/>
          <w:lang w:val="en-GB" w:eastAsia="zh-CN"/>
        </w:rPr>
        <w:tab/>
      </w:r>
      <w:r w:rsidR="00952C2C" w:rsidRPr="00952C2C">
        <w:rPr>
          <w:rFonts w:ascii="Arial" w:hAnsi="Arial" w:cs="Arial"/>
          <w:bCs/>
          <w:color w:val="000000"/>
          <w:szCs w:val="20"/>
          <w:lang w:val="en-GB" w:eastAsia="zh-CN"/>
        </w:rPr>
        <w:t>February</w:t>
      </w:r>
      <w:r w:rsidR="00952C2C">
        <w:rPr>
          <w:rFonts w:ascii="Arial" w:hAnsi="Arial" w:cs="Arial"/>
          <w:bCs/>
          <w:color w:val="000000"/>
          <w:szCs w:val="20"/>
          <w:lang w:val="en-GB" w:eastAsia="zh-CN"/>
        </w:rPr>
        <w:t xml:space="preserve"> 27</w:t>
      </w:r>
      <w:r>
        <w:rPr>
          <w:rFonts w:ascii="Arial" w:hAnsi="Arial" w:cs="Arial"/>
          <w:bCs/>
          <w:color w:val="000000"/>
          <w:szCs w:val="20"/>
          <w:lang w:val="en-GB" w:eastAsia="zh-CN"/>
        </w:rPr>
        <w:t xml:space="preserve"> – </w:t>
      </w:r>
      <w:r w:rsidR="00952C2C">
        <w:rPr>
          <w:rFonts w:ascii="Arial" w:hAnsi="Arial" w:cs="Arial"/>
          <w:bCs/>
          <w:color w:val="000000"/>
          <w:szCs w:val="20"/>
          <w:lang w:val="en-GB" w:eastAsia="zh-CN"/>
        </w:rPr>
        <w:t>March 3</w:t>
      </w:r>
      <w:r>
        <w:rPr>
          <w:rFonts w:ascii="Arial" w:hAnsi="Arial" w:cs="Arial"/>
          <w:bCs/>
          <w:color w:val="000000"/>
          <w:szCs w:val="20"/>
          <w:lang w:val="en-GB" w:eastAsia="zh-CN"/>
        </w:rPr>
        <w:t xml:space="preserve"> 202</w:t>
      </w:r>
      <w:r w:rsidR="00425DA5">
        <w:rPr>
          <w:rFonts w:ascii="Arial" w:hAnsi="Arial" w:cs="Arial"/>
          <w:bCs/>
          <w:color w:val="000000"/>
          <w:szCs w:val="20"/>
          <w:lang w:val="en-GB" w:eastAsia="zh-CN"/>
        </w:rPr>
        <w:t>3</w:t>
      </w:r>
      <w:r w:rsidRPr="00BB51D3">
        <w:rPr>
          <w:rFonts w:ascii="Arial" w:hAnsi="Arial" w:cs="Arial"/>
          <w:bCs/>
          <w:color w:val="000000"/>
          <w:szCs w:val="20"/>
          <w:lang w:val="en-GB" w:eastAsia="zh-CN"/>
        </w:rPr>
        <w:tab/>
      </w:r>
      <w:r>
        <w:rPr>
          <w:rFonts w:ascii="Arial" w:hAnsi="Arial" w:cs="Arial"/>
          <w:bCs/>
          <w:color w:val="000000"/>
          <w:szCs w:val="20"/>
          <w:lang w:val="en-GB" w:eastAsia="zh-CN"/>
        </w:rPr>
        <w:t xml:space="preserve">        </w:t>
      </w:r>
      <w:r w:rsidRPr="00BB51D3">
        <w:rPr>
          <w:rFonts w:ascii="Arial" w:hAnsi="Arial" w:cs="Arial"/>
          <w:bCs/>
          <w:color w:val="000000"/>
          <w:szCs w:val="20"/>
          <w:lang w:val="en-GB" w:eastAsia="zh-CN"/>
        </w:rPr>
        <w:t>Meeting</w:t>
      </w:r>
    </w:p>
    <w:p w14:paraId="5F790746" w14:textId="77777777" w:rsidR="00694792" w:rsidRPr="00952C2C" w:rsidRDefault="00694792" w:rsidP="00694792">
      <w:pPr>
        <w:rPr>
          <w:rFonts w:eastAsiaTheme="minorEastAsia"/>
          <w:lang w:val="en-GB" w:eastAsia="zh-CN"/>
        </w:rPr>
      </w:pPr>
    </w:p>
    <w:sectPr w:rsidR="00694792" w:rsidRPr="00952C2C"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2A59A" w14:textId="77777777" w:rsidR="00B42D14" w:rsidRDefault="00B42D14">
      <w:r>
        <w:separator/>
      </w:r>
    </w:p>
  </w:endnote>
  <w:endnote w:type="continuationSeparator" w:id="0">
    <w:p w14:paraId="5702A95F" w14:textId="77777777" w:rsidR="00B42D14" w:rsidRDefault="00B4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496E3" w14:textId="77777777" w:rsidR="00B42D14" w:rsidRDefault="00B42D14">
      <w:r>
        <w:separator/>
      </w:r>
    </w:p>
  </w:footnote>
  <w:footnote w:type="continuationSeparator" w:id="0">
    <w:p w14:paraId="3F5DB913" w14:textId="77777777" w:rsidR="00B42D14" w:rsidRDefault="00B4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335990"/>
    <w:multiLevelType w:val="hybridMultilevel"/>
    <w:tmpl w:val="2154F9FC"/>
    <w:lvl w:ilvl="0" w:tplc="5ACCB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137556D"/>
    <w:multiLevelType w:val="hybridMultilevel"/>
    <w:tmpl w:val="17649706"/>
    <w:lvl w:ilvl="0" w:tplc="20000019">
      <w:start w:val="1"/>
      <w:numFmt w:val="lowerLetter"/>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520830"/>
    <w:multiLevelType w:val="hybridMultilevel"/>
    <w:tmpl w:val="A0263F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468568C"/>
    <w:multiLevelType w:val="hybridMultilevel"/>
    <w:tmpl w:val="8F7C116E"/>
    <w:lvl w:ilvl="0" w:tplc="0D1A0FB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B5506E"/>
    <w:multiLevelType w:val="hybridMultilevel"/>
    <w:tmpl w:val="C6E8613A"/>
    <w:lvl w:ilvl="0" w:tplc="0D1A0FB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E742C2"/>
    <w:multiLevelType w:val="hybridMultilevel"/>
    <w:tmpl w:val="7046BD92"/>
    <w:lvl w:ilvl="0" w:tplc="836C63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653437962">
    <w:abstractNumId w:val="28"/>
  </w:num>
  <w:num w:numId="2" w16cid:durableId="25059208">
    <w:abstractNumId w:val="40"/>
  </w:num>
  <w:num w:numId="3" w16cid:durableId="1659308252">
    <w:abstractNumId w:val="17"/>
  </w:num>
  <w:num w:numId="4" w16cid:durableId="169832276">
    <w:abstractNumId w:val="38"/>
  </w:num>
  <w:num w:numId="5" w16cid:durableId="1569219385">
    <w:abstractNumId w:val="26"/>
  </w:num>
  <w:num w:numId="6" w16cid:durableId="1704819302">
    <w:abstractNumId w:val="16"/>
  </w:num>
  <w:num w:numId="7" w16cid:durableId="1256863104">
    <w:abstractNumId w:val="15"/>
  </w:num>
  <w:num w:numId="8" w16cid:durableId="376930073">
    <w:abstractNumId w:val="22"/>
  </w:num>
  <w:num w:numId="9" w16cid:durableId="87505956">
    <w:abstractNumId w:val="33"/>
  </w:num>
  <w:num w:numId="10" w16cid:durableId="1389723504">
    <w:abstractNumId w:val="14"/>
  </w:num>
  <w:num w:numId="11" w16cid:durableId="377509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861240">
    <w:abstractNumId w:val="1"/>
  </w:num>
  <w:num w:numId="13" w16cid:durableId="1307510457">
    <w:abstractNumId w:val="31"/>
  </w:num>
  <w:num w:numId="14" w16cid:durableId="1382754932">
    <w:abstractNumId w:val="10"/>
  </w:num>
  <w:num w:numId="15" w16cid:durableId="855849781">
    <w:abstractNumId w:val="7"/>
  </w:num>
  <w:num w:numId="16" w16cid:durableId="1612588843">
    <w:abstractNumId w:val="30"/>
  </w:num>
  <w:num w:numId="17" w16cid:durableId="87119323">
    <w:abstractNumId w:val="9"/>
  </w:num>
  <w:num w:numId="18" w16cid:durableId="1742942897">
    <w:abstractNumId w:val="11"/>
  </w:num>
  <w:num w:numId="19" w16cid:durableId="1762020317">
    <w:abstractNumId w:val="19"/>
  </w:num>
  <w:num w:numId="20" w16cid:durableId="1533028678">
    <w:abstractNumId w:val="29"/>
  </w:num>
  <w:num w:numId="21" w16cid:durableId="1691642347">
    <w:abstractNumId w:val="7"/>
    <w:lvlOverride w:ilvl="0">
      <w:startOverride w:val="1"/>
    </w:lvlOverride>
  </w:num>
  <w:num w:numId="22" w16cid:durableId="1667051019">
    <w:abstractNumId w:val="14"/>
  </w:num>
  <w:num w:numId="23" w16cid:durableId="249627875">
    <w:abstractNumId w:val="14"/>
  </w:num>
  <w:num w:numId="24" w16cid:durableId="2001808977">
    <w:abstractNumId w:val="4"/>
  </w:num>
  <w:num w:numId="25" w16cid:durableId="127558268">
    <w:abstractNumId w:val="7"/>
    <w:lvlOverride w:ilvl="0">
      <w:startOverride w:val="1"/>
    </w:lvlOverride>
  </w:num>
  <w:num w:numId="26" w16cid:durableId="27295420">
    <w:abstractNumId w:val="7"/>
    <w:lvlOverride w:ilvl="0">
      <w:startOverride w:val="1"/>
    </w:lvlOverride>
  </w:num>
  <w:num w:numId="27" w16cid:durableId="1018965492">
    <w:abstractNumId w:val="36"/>
  </w:num>
  <w:num w:numId="28" w16cid:durableId="1094741079">
    <w:abstractNumId w:val="21"/>
  </w:num>
  <w:num w:numId="29" w16cid:durableId="131749032">
    <w:abstractNumId w:val="24"/>
  </w:num>
  <w:num w:numId="30" w16cid:durableId="916212055">
    <w:abstractNumId w:val="7"/>
    <w:lvlOverride w:ilvl="0">
      <w:startOverride w:val="1"/>
    </w:lvlOverride>
  </w:num>
  <w:num w:numId="31" w16cid:durableId="577136642">
    <w:abstractNumId w:val="3"/>
  </w:num>
  <w:num w:numId="32" w16cid:durableId="793063916">
    <w:abstractNumId w:val="34"/>
  </w:num>
  <w:num w:numId="33" w16cid:durableId="811675815">
    <w:abstractNumId w:val="35"/>
  </w:num>
  <w:num w:numId="34" w16cid:durableId="456149355">
    <w:abstractNumId w:val="18"/>
  </w:num>
  <w:num w:numId="35" w16cid:durableId="250547935">
    <w:abstractNumId w:val="14"/>
  </w:num>
  <w:num w:numId="36" w16cid:durableId="1844928139">
    <w:abstractNumId w:val="23"/>
  </w:num>
  <w:num w:numId="37" w16cid:durableId="117258465">
    <w:abstractNumId w:val="6"/>
  </w:num>
  <w:num w:numId="38" w16cid:durableId="1275554902">
    <w:abstractNumId w:val="5"/>
  </w:num>
  <w:num w:numId="39" w16cid:durableId="349069989">
    <w:abstractNumId w:val="12"/>
  </w:num>
  <w:num w:numId="40" w16cid:durableId="1149244133">
    <w:abstractNumId w:val="20"/>
  </w:num>
  <w:num w:numId="41" w16cid:durableId="371343852">
    <w:abstractNumId w:val="0"/>
  </w:num>
  <w:num w:numId="42" w16cid:durableId="835875444">
    <w:abstractNumId w:val="0"/>
    <w:lvlOverride w:ilvl="0">
      <w:startOverride w:val="1"/>
    </w:lvlOverride>
  </w:num>
  <w:num w:numId="43" w16cid:durableId="1762027660">
    <w:abstractNumId w:val="32"/>
  </w:num>
  <w:num w:numId="44" w16cid:durableId="1611231700">
    <w:abstractNumId w:val="2"/>
  </w:num>
  <w:num w:numId="45" w16cid:durableId="2092385366">
    <w:abstractNumId w:val="25"/>
  </w:num>
  <w:num w:numId="46" w16cid:durableId="331835590">
    <w:abstractNumId w:val="27"/>
  </w:num>
  <w:num w:numId="47" w16cid:durableId="1498421848">
    <w:abstractNumId w:val="39"/>
  </w:num>
  <w:num w:numId="48" w16cid:durableId="1542860527">
    <w:abstractNumId w:val="37"/>
  </w:num>
  <w:num w:numId="49" w16cid:durableId="567225204">
    <w:abstractNumId w:val="13"/>
  </w:num>
  <w:num w:numId="50" w16cid:durableId="880328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tzQxMzQ3NjEyNTFR0lEKTi0uzszPAykwNKgFAGM6440t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1D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1C41"/>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BDE"/>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E0F"/>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B51"/>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4D3D"/>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89E"/>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4E22"/>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DDC"/>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69D"/>
    <w:rsid w:val="00377CDF"/>
    <w:rsid w:val="003817C3"/>
    <w:rsid w:val="00381CCA"/>
    <w:rsid w:val="00382147"/>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0F64"/>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A5"/>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57F59"/>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DB"/>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E75"/>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D6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98"/>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792"/>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4FA0"/>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467"/>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332"/>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0DFC"/>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43D"/>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0C60"/>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4DB0"/>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379"/>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EF6"/>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1A3"/>
    <w:rsid w:val="008D44F7"/>
    <w:rsid w:val="008D4C63"/>
    <w:rsid w:val="008D4C85"/>
    <w:rsid w:val="008D4E04"/>
    <w:rsid w:val="008D50BB"/>
    <w:rsid w:val="008D5541"/>
    <w:rsid w:val="008D5C81"/>
    <w:rsid w:val="008D5EBF"/>
    <w:rsid w:val="008D63E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A44"/>
    <w:rsid w:val="00945D36"/>
    <w:rsid w:val="00945FC0"/>
    <w:rsid w:val="009463E2"/>
    <w:rsid w:val="009464C8"/>
    <w:rsid w:val="009465CB"/>
    <w:rsid w:val="00946B9E"/>
    <w:rsid w:val="00947469"/>
    <w:rsid w:val="009509FD"/>
    <w:rsid w:val="00950CE7"/>
    <w:rsid w:val="00951AE4"/>
    <w:rsid w:val="00952885"/>
    <w:rsid w:val="00952C2C"/>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3FFF"/>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0F7"/>
    <w:rsid w:val="009D01BF"/>
    <w:rsid w:val="009D0A75"/>
    <w:rsid w:val="009D111E"/>
    <w:rsid w:val="009D1270"/>
    <w:rsid w:val="009D1868"/>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27AE"/>
    <w:rsid w:val="009F2CA2"/>
    <w:rsid w:val="009F36C9"/>
    <w:rsid w:val="009F3991"/>
    <w:rsid w:val="009F3FBC"/>
    <w:rsid w:val="009F474D"/>
    <w:rsid w:val="009F4EC1"/>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0D"/>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694"/>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6BA"/>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5E5A"/>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1A3"/>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15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2D14"/>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4C86"/>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7D0"/>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1D3"/>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2F5"/>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47B"/>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5E"/>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4B2A"/>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232"/>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27E"/>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5B9"/>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AA7"/>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16E"/>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267"/>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BA8"/>
    <w:rsid w:val="00E95DC3"/>
    <w:rsid w:val="00E962F8"/>
    <w:rsid w:val="00E963DE"/>
    <w:rsid w:val="00E9676D"/>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5E49"/>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EC2"/>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5C2"/>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6FF1"/>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6C7F"/>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3DE7"/>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84"/>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4BCF"/>
    <w:rsid w:val="00FE54C1"/>
    <w:rsid w:val="00FE5EF4"/>
    <w:rsid w:val="00FE5F32"/>
    <w:rsid w:val="00FE6497"/>
    <w:rsid w:val="00FE6573"/>
    <w:rsid w:val="00FE6E8C"/>
    <w:rsid w:val="00FE6F49"/>
    <w:rsid w:val="00FE75BC"/>
    <w:rsid w:val="00FE7AB5"/>
    <w:rsid w:val="00FE7B19"/>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694792"/>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Cs w:val="20"/>
    </w:rPr>
  </w:style>
  <w:style w:type="paragraph" w:customStyle="1" w:styleId="title2">
    <w:name w:val="title 2"/>
    <w:basedOn w:val="20"/>
    <w:next w:val="a"/>
    <w:link w:val="title2Char"/>
    <w:qFormat/>
    <w:rsid w:val="006619BF"/>
    <w:pPr>
      <w:numPr>
        <w:ilvl w:val="1"/>
        <w:numId w:val="39"/>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94792"/>
    <w:rPr>
      <w:rFonts w:ascii="Arial" w:hAnsi="Arial"/>
      <w:sz w:val="28"/>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4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40"/>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4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4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454623">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60618-1C0A-4DF9-98E6-C58FEFE7E74F}">
  <ds:schemaRefs>
    <ds:schemaRef ds:uri="http://schemas.openxmlformats.org/package/2006/metadata/core-properties"/>
    <ds:schemaRef ds:uri="98194d48-cc26-4b7e-909f-baa95c83abfa"/>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1c248485-b98a-4513-a581-ff7cb1688d7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CAFBF23-CA73-4D65-A5CE-88CBB737B876}">
  <ds:schemaRefs>
    <ds:schemaRef ds:uri="http://schemas.microsoft.com/sharepoint/v3/contenttype/forms"/>
  </ds:schemaRefs>
</ds:datastoreItem>
</file>

<file path=customXml/itemProps3.xml><?xml version="1.0" encoding="utf-8"?>
<ds:datastoreItem xmlns:ds="http://schemas.openxmlformats.org/officeDocument/2006/customXml" ds:itemID="{6AC5FAF4-AE9A-4802-86F0-4A2B81FD9A42}">
  <ds:schemaRefs>
    <ds:schemaRef ds:uri="http://schemas.openxmlformats.org/officeDocument/2006/bibliography"/>
  </ds:schemaRefs>
</ds:datastoreItem>
</file>

<file path=customXml/itemProps4.xml><?xml version="1.0" encoding="utf-8"?>
<ds:datastoreItem xmlns:ds="http://schemas.openxmlformats.org/officeDocument/2006/customXml" ds:itemID="{BA0A515A-A195-4EF6-AE56-E1C3146AD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437</Words>
  <Characters>2539</Characters>
  <Application>Microsoft Office Word</Application>
  <DocSecurity>0</DocSecurity>
  <Lines>21</Lines>
  <Paragraphs>5</Paragraphs>
  <ScaleCrop>false</ScaleCrop>
  <Company>Vivo</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18</cp:revision>
  <cp:lastPrinted>2011-08-03T09:36:00Z</cp:lastPrinted>
  <dcterms:created xsi:type="dcterms:W3CDTF">2022-09-30T14:00:00Z</dcterms:created>
  <dcterms:modified xsi:type="dcterms:W3CDTF">2022-11-07T08:42:00Z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