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504" w14:textId="082C7D8E" w:rsidR="00E60D24" w:rsidRDefault="00AD32C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(RedCap)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AD32C9">
      <w:pPr>
        <w:rPr>
          <w:lang w:val="en-US"/>
        </w:rPr>
      </w:pPr>
      <w:r>
        <w:rPr>
          <w:lang w:val="en-US"/>
        </w:rPr>
        <w:t>This document summarizes contributions [6] – [21] submitted to agenda item 8.6 as well as RedCap-related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39DAC699" w14:textId="77777777" w:rsidR="00E60D24" w:rsidRDefault="00AD32C9">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Heading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proofErr w:type="spellStart"/>
            <w:r>
              <w:rPr>
                <w:rFonts w:cs="Arial"/>
                <w:b/>
                <w:i/>
                <w:szCs w:val="18"/>
                <w:lang w:eastAsia="sv-SE"/>
              </w:rPr>
              <w:t>nonCellDefiningSSB</w:t>
            </w:r>
            <w:proofErr w:type="spellEnd"/>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If configured, the RedCap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r>
              <w:rPr>
                <w:rFonts w:eastAsia="Yu Mincho"/>
                <w:i/>
                <w:iCs/>
                <w:color w:val="C00000"/>
                <w:u w:val="single"/>
                <w:lang w:val="en-US" w:eastAsia="ja-JP"/>
              </w:rPr>
              <w:t>NonCellDefiningSSB</w:t>
            </w:r>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 xml:space="preserve">We think that 213 and 331 would be complementary rather than </w:t>
            </w:r>
            <w:proofErr w:type="gramStart"/>
            <w:r>
              <w:rPr>
                <w:rFonts w:eastAsiaTheme="minorEastAsia"/>
                <w:lang w:val="en-US" w:eastAsia="zh-CN"/>
              </w:rPr>
              <w:t>double-specification</w:t>
            </w:r>
            <w:proofErr w:type="gramEnd"/>
            <w:r>
              <w:rPr>
                <w:rFonts w:eastAsiaTheme="minorEastAsia"/>
                <w:lang w:val="en-US" w:eastAsia="zh-CN"/>
              </w:rPr>
              <w:t>.</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Furthermore, other parts of the BWP configuration that refer to an SSB (</w:t>
            </w:r>
            <w:proofErr w:type="gramStart"/>
            <w:r>
              <w:rPr>
                <w:rFonts w:cs="Arial"/>
                <w:i/>
                <w:sz w:val="20"/>
                <w:szCs w:val="18"/>
                <w:highlight w:val="yellow"/>
                <w:lang w:val="en-US" w:eastAsia="sv-SE"/>
              </w:rPr>
              <w:t>e.g.</w:t>
            </w:r>
            <w:proofErr w:type="gramEnd"/>
            <w:r>
              <w:rPr>
                <w:rFonts w:cs="Arial"/>
                <w:i/>
                <w:sz w:val="20"/>
                <w:szCs w:val="18"/>
                <w:highlight w:val="yellow"/>
                <w:lang w:val="en-US" w:eastAsia="sv-SE"/>
              </w:rPr>
              <w:t xml:space="preserve">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r>
              <w:rPr>
                <w:rFonts w:cs="Arial"/>
                <w:i/>
                <w:iCs/>
                <w:sz w:val="20"/>
                <w:szCs w:val="18"/>
                <w:highlight w:val="yellow"/>
                <w:lang w:val="en-US"/>
              </w:rPr>
              <w:t>ssb-PositionsInBurst</w:t>
            </w:r>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r>
              <w:rPr>
                <w:rFonts w:eastAsiaTheme="minorEastAsia"/>
                <w:lang w:val="en-US" w:eastAsia="zh-CN"/>
              </w:rPr>
              <w:t>Spreadtrum</w:t>
            </w:r>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w:t>
            </w:r>
            <w:proofErr w:type="gramStart"/>
            <w:r>
              <w:rPr>
                <w:rFonts w:eastAsia="Malgun Gothic"/>
                <w:lang w:val="en-US" w:eastAsia="ko-KR"/>
              </w:rPr>
              <w:t>quasi ”</w:t>
            </w:r>
            <w:proofErr w:type="gramEnd"/>
            <w:r>
              <w:rPr>
                <w:rFonts w:eastAsia="Malgun Gothic"/>
                <w:lang w:val="en-US" w:eastAsia="ko-KR"/>
              </w:rPr>
              <w:t xml:space="preserve">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B5078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CE24C0" w14:paraId="5DC89A84" w14:textId="77777777" w:rsidTr="00D959A6">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r>
                    <w:rPr>
                      <w:rFonts w:eastAsia="Yu Mincho"/>
                      <w:i/>
                      <w:iCs/>
                      <w:lang w:val="en-US" w:eastAsia="ja-JP"/>
                    </w:rPr>
                    <w:t>NonCellDefiningSSB</w:t>
                  </w:r>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PMingLiU"/>
                <w:lang w:val="en-US" w:eastAsia="zh-TW"/>
              </w:rPr>
            </w:pPr>
            <w:r>
              <w:rPr>
                <w:rFonts w:eastAsia="PMingLiU"/>
                <w:lang w:val="en-US" w:eastAsia="zh-TW"/>
              </w:rPr>
              <w:t>Huawei</w:t>
            </w:r>
          </w:p>
        </w:tc>
        <w:tc>
          <w:tcPr>
            <w:tcW w:w="1372" w:type="dxa"/>
          </w:tcPr>
          <w:p w14:paraId="433CA7DB" w14:textId="4C70069D"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09005008" w14:textId="77777777" w:rsidR="00E7370F" w:rsidRDefault="00E7370F" w:rsidP="00E7370F">
            <w:pPr>
              <w:rPr>
                <w:rFonts w:eastAsia="Yu Mincho"/>
                <w:lang w:val="en-US" w:eastAsia="ja-JP"/>
              </w:rPr>
            </w:pPr>
          </w:p>
        </w:tc>
      </w:tr>
    </w:tbl>
    <w:p w14:paraId="7779AE66" w14:textId="77777777" w:rsidR="00E60D24" w:rsidRDefault="00E60D24">
      <w:pPr>
        <w:rPr>
          <w:lang w:val="en-US"/>
        </w:rPr>
      </w:pPr>
    </w:p>
    <w:p w14:paraId="12247884" w14:textId="77777777" w:rsidR="00E60D24" w:rsidRDefault="00AD32C9">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AD32C9">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ListParagraph"/>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xml:space="preserve">, the UE assumptions on the SS/PBCH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AD32C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w:t>
            </w:r>
            <w:r>
              <w:rPr>
                <w:lang w:val="en-US" w:eastAsia="zh-CN"/>
              </w:rPr>
              <w:lastRenderedPageBreak/>
              <w:t xml:space="preserve">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lastRenderedPageBreak/>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lastRenderedPageBreak/>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lastRenderedPageBreak/>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FA342C">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7D08A2" w14:paraId="22BACB23" w14:textId="77777777" w:rsidTr="00D959A6">
              <w:tc>
                <w:tcPr>
                  <w:tcW w:w="7370" w:type="dxa"/>
                </w:tcPr>
                <w:p w14:paraId="60E74123" w14:textId="1FEF885B" w:rsidR="007D08A2" w:rsidRDefault="007D08A2" w:rsidP="007D08A2">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w:t>
                  </w:r>
                  <w:r>
                    <w:rPr>
                      <w:lang w:val="en-US" w:eastAsia="zh-CN"/>
                    </w:rPr>
                    <w:lastRenderedPageBreak/>
                    <w:t xml:space="preserve">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lastRenderedPageBreak/>
              <w:t xml:space="preserve"> </w:t>
            </w:r>
          </w:p>
        </w:tc>
      </w:tr>
      <w:tr w:rsidR="00E7370F" w14:paraId="557E8150" w14:textId="77777777">
        <w:tc>
          <w:tcPr>
            <w:tcW w:w="1446" w:type="dxa"/>
          </w:tcPr>
          <w:p w14:paraId="486FC9AD" w14:textId="13193A79" w:rsidR="00E7370F" w:rsidRDefault="00E7370F" w:rsidP="00E7370F">
            <w:pPr>
              <w:rPr>
                <w:rFonts w:eastAsia="PMingLiU"/>
                <w:lang w:val="en-US" w:eastAsia="zh-TW"/>
              </w:rPr>
            </w:pPr>
            <w:r>
              <w:rPr>
                <w:rFonts w:eastAsia="PMingLiU"/>
                <w:lang w:val="en-US" w:eastAsia="zh-TW"/>
              </w:rPr>
              <w:lastRenderedPageBreak/>
              <w:t>Huawei</w:t>
            </w:r>
          </w:p>
        </w:tc>
        <w:tc>
          <w:tcPr>
            <w:tcW w:w="1342" w:type="dxa"/>
          </w:tcPr>
          <w:p w14:paraId="0398D1AF" w14:textId="49E4FC1D" w:rsidR="00E7370F" w:rsidRDefault="00E7370F" w:rsidP="00E7370F">
            <w:pPr>
              <w:tabs>
                <w:tab w:val="left" w:pos="551"/>
              </w:tabs>
              <w:rPr>
                <w:rFonts w:eastAsia="PMingLiU"/>
                <w:lang w:val="en-US" w:eastAsia="zh-TW"/>
              </w:rPr>
            </w:pPr>
            <w:r>
              <w:rPr>
                <w:rFonts w:eastAsia="PMingLiU"/>
                <w:lang w:val="en-US" w:eastAsia="zh-TW"/>
              </w:rPr>
              <w:t>Ok</w:t>
            </w:r>
          </w:p>
        </w:tc>
        <w:tc>
          <w:tcPr>
            <w:tcW w:w="6608" w:type="dxa"/>
          </w:tcPr>
          <w:p w14:paraId="18B0E644" w14:textId="77777777" w:rsidR="00E7370F" w:rsidRDefault="00E7370F" w:rsidP="00E7370F">
            <w:pPr>
              <w:rPr>
                <w:rFonts w:eastAsia="PMingLiU"/>
                <w:lang w:val="en-US" w:eastAsia="zh-TW"/>
              </w:rPr>
            </w:pPr>
          </w:p>
        </w:tc>
      </w:tr>
    </w:tbl>
    <w:p w14:paraId="667AFF69" w14:textId="77777777" w:rsidR="00E60D24" w:rsidRDefault="00E60D24">
      <w:pPr>
        <w:rPr>
          <w:lang w:val="en-US"/>
        </w:rPr>
      </w:pPr>
    </w:p>
    <w:p w14:paraId="17A54BCB" w14:textId="77777777" w:rsidR="00E60D24" w:rsidRDefault="00AD32C9">
      <w:pPr>
        <w:pStyle w:val="Heading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A (and TBoMS) in HD-FDD:</w:t>
      </w:r>
    </w:p>
    <w:p w14:paraId="6472DB6A" w14:textId="77777777" w:rsidR="00E60D24" w:rsidRDefault="00AD32C9">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AD32C9">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lastRenderedPageBreak/>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311AA0">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80312C" w14:paraId="241F223B" w14:textId="77777777" w:rsidTr="00D959A6">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w:t>
                  </w:r>
                  <w:r>
                    <w:rPr>
                      <w:lang w:val="en-US"/>
                    </w:rPr>
                    <w:lastRenderedPageBreak/>
                    <w:t xml:space="preserve">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lastRenderedPageBreak/>
              <w:t xml:space="preserve"> </w:t>
            </w:r>
          </w:p>
        </w:tc>
      </w:tr>
      <w:tr w:rsidR="00E7370F" w14:paraId="2231874E" w14:textId="77777777">
        <w:tc>
          <w:tcPr>
            <w:tcW w:w="1479" w:type="dxa"/>
          </w:tcPr>
          <w:p w14:paraId="0A4B1143" w14:textId="4488370F" w:rsidR="00E7370F" w:rsidRDefault="00E7370F" w:rsidP="00E7370F">
            <w:pPr>
              <w:rPr>
                <w:rFonts w:eastAsia="Malgun Gothic"/>
                <w:lang w:val="en-US" w:eastAsia="ko-KR"/>
              </w:rPr>
            </w:pPr>
            <w:r>
              <w:rPr>
                <w:rFonts w:eastAsia="Malgun Gothic"/>
                <w:lang w:val="en-US" w:eastAsia="ko-KR"/>
              </w:rPr>
              <w:lastRenderedPageBreak/>
              <w:t>Huawei</w:t>
            </w:r>
          </w:p>
        </w:tc>
        <w:tc>
          <w:tcPr>
            <w:tcW w:w="1372" w:type="dxa"/>
          </w:tcPr>
          <w:p w14:paraId="7CE1DAED" w14:textId="38B504A1"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7F98C103" w14:textId="77777777" w:rsidR="00E7370F" w:rsidRDefault="00E7370F" w:rsidP="00E7370F">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Heading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27314ECA" w14:textId="77777777" w:rsidR="00E60D24" w:rsidRDefault="00AD32C9">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29A851B5" w14:textId="77777777" w:rsidR="00E60D24" w:rsidRDefault="00AD32C9">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xml:space="preserve">] is unnecessary given </w:t>
            </w:r>
            <w:r>
              <w:rPr>
                <w:szCs w:val="22"/>
                <w:lang w:val="en-US"/>
              </w:rPr>
              <w:lastRenderedPageBreak/>
              <w:t>the relevant description is for half-duplex TDD CA where RedCap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lastRenderedPageBreak/>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BD5F55">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Malgun Gothic"/>
                <w:lang w:val="en-US" w:eastAsia="ko-KR"/>
              </w:rPr>
            </w:pPr>
            <w:r>
              <w:rPr>
                <w:rFonts w:eastAsia="Malgun Gothic"/>
                <w:lang w:val="en-US" w:eastAsia="ko-KR"/>
              </w:rPr>
              <w:t>Huawei</w:t>
            </w:r>
          </w:p>
        </w:tc>
        <w:tc>
          <w:tcPr>
            <w:tcW w:w="1372" w:type="dxa"/>
          </w:tcPr>
          <w:p w14:paraId="27BEDA6B" w14:textId="5FDFFF62"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5FCDF9E2" w14:textId="77777777" w:rsidR="00E7370F" w:rsidRDefault="00E7370F" w:rsidP="00E7370F">
            <w:pPr>
              <w:rPr>
                <w:rFonts w:eastAsia="Malgun Gothic"/>
                <w:lang w:val="en-US" w:eastAsia="ko-KR"/>
              </w:rPr>
            </w:pPr>
          </w:p>
        </w:tc>
      </w:tr>
    </w:tbl>
    <w:p w14:paraId="0CF194FB" w14:textId="77777777" w:rsidR="00E60D24" w:rsidRDefault="00E60D24">
      <w:pPr>
        <w:rPr>
          <w:lang w:val="en-US"/>
        </w:rPr>
      </w:pPr>
    </w:p>
    <w:p w14:paraId="2AED2931" w14:textId="77777777" w:rsidR="00E60D24" w:rsidRDefault="00AD32C9">
      <w:pPr>
        <w:pStyle w:val="Heading1"/>
        <w:numPr>
          <w:ilvl w:val="0"/>
          <w:numId w:val="0"/>
        </w:numPr>
        <w:ind w:left="1134" w:hanging="1134"/>
        <w:rPr>
          <w:lang w:val="en-US"/>
        </w:rPr>
      </w:pPr>
      <w:r>
        <w:rPr>
          <w:lang w:val="en-US"/>
        </w:rPr>
        <w:lastRenderedPageBreak/>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Hyperlink"/>
            <w:lang w:val="en-US"/>
          </w:rPr>
          <w:t>6</w:t>
        </w:r>
      </w:hyperlink>
      <w:r>
        <w:rPr>
          <w:lang w:val="en-US"/>
        </w:rPr>
        <w:t>]</w:t>
      </w:r>
      <w:r>
        <w:rPr>
          <w:rFonts w:eastAsia="Yu Mincho"/>
          <w:lang w:val="en-US" w:eastAsia="ja-JP"/>
        </w:rPr>
        <w:t xml:space="preserve"> proposes to clarify in </w:t>
      </w:r>
      <w:hyperlink r:id="rId53" w:history="1">
        <w:r>
          <w:rPr>
            <w:rStyle w:val="Hyperlink"/>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w:t>
                  </w:r>
                  <w:r>
                    <w:rPr>
                      <w:lang w:eastAsia="zh-CN"/>
                    </w:rPr>
                    <w:lastRenderedPageBreak/>
                    <w:t xml:space="preserve">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lastRenderedPageBreak/>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lastRenderedPageBreak/>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1F2E82">
        <w:trPr>
          <w:trHeight w:val="3767"/>
        </w:trPr>
        <w:tc>
          <w:tcPr>
            <w:tcW w:w="1479" w:type="dxa"/>
          </w:tcPr>
          <w:p w14:paraId="21EF78DF" w14:textId="1E71853A" w:rsidR="0025567C" w:rsidRDefault="0025567C" w:rsidP="0025567C">
            <w:pPr>
              <w:rPr>
                <w:rFonts w:eastAsia="PMingLiU"/>
                <w:lang w:val="en-US" w:eastAsia="zh-TW"/>
              </w:rPr>
            </w:pPr>
            <w:r>
              <w:rPr>
                <w:rFonts w:eastAsia="Malgun Gothic"/>
                <w:lang w:val="en-US" w:eastAsia="ko-KR"/>
              </w:rPr>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25567C" w14:paraId="03DFACC3" w14:textId="77777777" w:rsidTr="00D959A6">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E7370F" w14:paraId="0B8695E4" w14:textId="77777777">
        <w:tc>
          <w:tcPr>
            <w:tcW w:w="1479" w:type="dxa"/>
          </w:tcPr>
          <w:p w14:paraId="7107157B" w14:textId="7BB5F5E8" w:rsidR="00E7370F" w:rsidRDefault="00E7370F" w:rsidP="00E7370F">
            <w:pPr>
              <w:rPr>
                <w:rFonts w:eastAsia="PMingLiU"/>
                <w:lang w:val="en-US" w:eastAsia="zh-TW"/>
              </w:rPr>
            </w:pPr>
            <w:r>
              <w:rPr>
                <w:rFonts w:eastAsia="PMingLiU"/>
                <w:lang w:val="en-US" w:eastAsia="zh-TW"/>
              </w:rPr>
              <w:lastRenderedPageBreak/>
              <w:t>Huawei</w:t>
            </w:r>
          </w:p>
        </w:tc>
        <w:tc>
          <w:tcPr>
            <w:tcW w:w="1372" w:type="dxa"/>
          </w:tcPr>
          <w:p w14:paraId="37D00852" w14:textId="0EA7AEA2"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42DBF659" w14:textId="77777777" w:rsidR="00E7370F" w:rsidRDefault="00E7370F" w:rsidP="00E7370F">
            <w:pPr>
              <w:rPr>
                <w:rFonts w:eastAsia="Malgun Gothic"/>
                <w:lang w:val="en-US" w:eastAsia="ko-KR"/>
              </w:rPr>
            </w:pPr>
          </w:p>
        </w:tc>
      </w:tr>
      <w:tr w:rsidR="001F2E82" w14:paraId="1CACB08C" w14:textId="77777777">
        <w:tc>
          <w:tcPr>
            <w:tcW w:w="1479" w:type="dxa"/>
          </w:tcPr>
          <w:p w14:paraId="4B20A8BC" w14:textId="25270906" w:rsidR="001F2E82" w:rsidRDefault="001F2E82" w:rsidP="00E7370F">
            <w:pPr>
              <w:rPr>
                <w:rFonts w:eastAsia="PMingLiU"/>
                <w:lang w:val="en-US" w:eastAsia="zh-TW"/>
              </w:rPr>
            </w:pPr>
            <w:r>
              <w:rPr>
                <w:rFonts w:eastAsia="PMingLiU"/>
                <w:lang w:val="en-US" w:eastAsia="zh-TW"/>
              </w:rPr>
              <w:t>Qualcomm</w:t>
            </w:r>
          </w:p>
        </w:tc>
        <w:tc>
          <w:tcPr>
            <w:tcW w:w="1372" w:type="dxa"/>
          </w:tcPr>
          <w:p w14:paraId="3EF6116F" w14:textId="6591F2A9" w:rsidR="001F2E82" w:rsidRDefault="001F2E82" w:rsidP="00E7370F">
            <w:pPr>
              <w:tabs>
                <w:tab w:val="left" w:pos="551"/>
              </w:tabs>
              <w:rPr>
                <w:rFonts w:eastAsia="PMingLiU"/>
                <w:lang w:val="en-US" w:eastAsia="zh-TW"/>
              </w:rPr>
            </w:pPr>
            <w:r>
              <w:rPr>
                <w:rFonts w:eastAsia="PMingLiU"/>
                <w:lang w:val="en-US" w:eastAsia="zh-TW"/>
              </w:rPr>
              <w:t>Y</w:t>
            </w:r>
          </w:p>
        </w:tc>
        <w:tc>
          <w:tcPr>
            <w:tcW w:w="6780" w:type="dxa"/>
          </w:tcPr>
          <w:p w14:paraId="0107A0B3" w14:textId="77777777" w:rsidR="001F2E82" w:rsidRDefault="001F2E82" w:rsidP="00E7370F">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Heading1"/>
        <w:numPr>
          <w:ilvl w:val="0"/>
          <w:numId w:val="0"/>
        </w:numPr>
        <w:ind w:left="1134" w:hanging="1134"/>
        <w:rPr>
          <w:lang w:val="en-US"/>
        </w:rPr>
      </w:pPr>
      <w:r>
        <w:rPr>
          <w:lang w:val="en-US"/>
        </w:rPr>
        <w:t>Issue #8: Msg1/MsgA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Hyperlink"/>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5" w:history="1">
        <w:r>
          <w:rPr>
            <w:rStyle w:val="Hyperlink"/>
            <w:rFonts w:eastAsia="Yu Mincho"/>
            <w:lang w:val="en-US" w:eastAsia="ja-JP"/>
          </w:rPr>
          <w:t>38.213</w:t>
        </w:r>
      </w:hyperlink>
      <w:r>
        <w:rPr>
          <w:lang w:val="en-US" w:eastAsia="ja-JP"/>
        </w:rPr>
        <w:t xml:space="preserve"> clause 17.1, corresponding to the text in clauses 8.2 and 8.2A for non-RedCap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96"/>
        <w:gridCol w:w="6756"/>
      </w:tblGrid>
      <w:tr w:rsidR="00E60D24" w14:paraId="0AE6063D" w14:textId="77777777" w:rsidTr="001751F5">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96"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56"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rsidTr="001751F5">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96"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0F850D63" w14:textId="77777777" w:rsidR="00E60D24" w:rsidRDefault="00AD32C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E60D24" w14:paraId="51FFAAAA" w14:textId="77777777" w:rsidTr="001751F5">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56" w:type="dxa"/>
          </w:tcPr>
          <w:p w14:paraId="5C4158FC" w14:textId="77777777" w:rsidR="00E60D24" w:rsidRDefault="00E60D24">
            <w:pPr>
              <w:rPr>
                <w:rFonts w:eastAsiaTheme="minorEastAsia"/>
                <w:lang w:val="en-US" w:eastAsia="zh-CN"/>
              </w:rPr>
            </w:pPr>
          </w:p>
        </w:tc>
      </w:tr>
      <w:tr w:rsidR="00E60D24" w14:paraId="67670651" w14:textId="77777777" w:rsidTr="001751F5">
        <w:tc>
          <w:tcPr>
            <w:tcW w:w="1479" w:type="dxa"/>
          </w:tcPr>
          <w:p w14:paraId="584323E8"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96"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rsidTr="001751F5">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44E4D1C3" w14:textId="77777777" w:rsidR="00E60D24" w:rsidRDefault="00E60D24">
            <w:pPr>
              <w:rPr>
                <w:rFonts w:eastAsiaTheme="minorEastAsia"/>
                <w:lang w:val="en-US" w:eastAsia="zh-CN"/>
              </w:rPr>
            </w:pPr>
          </w:p>
        </w:tc>
      </w:tr>
      <w:tr w:rsidR="00E60D24" w14:paraId="16856BF9" w14:textId="77777777" w:rsidTr="001751F5">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96"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356FA122" w14:textId="77777777" w:rsidR="00E60D24" w:rsidRDefault="00E60D24">
            <w:pPr>
              <w:rPr>
                <w:rFonts w:eastAsiaTheme="minorEastAsia"/>
                <w:lang w:val="en-US" w:eastAsia="zh-CN"/>
              </w:rPr>
            </w:pPr>
          </w:p>
        </w:tc>
      </w:tr>
      <w:tr w:rsidR="00E60D24" w14:paraId="33D6484E" w14:textId="77777777" w:rsidTr="001751F5">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56"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rsidTr="001751F5">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96"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56"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rsidTr="001751F5">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rsidTr="001751F5">
        <w:tc>
          <w:tcPr>
            <w:tcW w:w="1479" w:type="dxa"/>
          </w:tcPr>
          <w:p w14:paraId="44573615" w14:textId="77777777" w:rsidR="00E60D24" w:rsidRDefault="00AD32C9">
            <w:pPr>
              <w:rPr>
                <w:rFonts w:eastAsiaTheme="minorEastAsia"/>
                <w:lang w:val="en-US" w:eastAsia="zh-CN"/>
              </w:rPr>
            </w:pPr>
            <w:r>
              <w:rPr>
                <w:rFonts w:eastAsiaTheme="minorEastAsia"/>
                <w:lang w:val="en-US" w:eastAsia="zh-CN"/>
              </w:rPr>
              <w:t>OPPO</w:t>
            </w:r>
          </w:p>
        </w:tc>
        <w:tc>
          <w:tcPr>
            <w:tcW w:w="1396"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25E62D58" w14:textId="77777777" w:rsidR="00E60D24" w:rsidRDefault="00E60D24">
            <w:pPr>
              <w:rPr>
                <w:rFonts w:eastAsiaTheme="minorEastAsia"/>
                <w:lang w:val="en-US" w:eastAsia="zh-CN"/>
              </w:rPr>
            </w:pPr>
          </w:p>
        </w:tc>
      </w:tr>
      <w:tr w:rsidR="00E60D24" w14:paraId="07B8BBF3" w14:textId="77777777" w:rsidTr="001751F5">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604BE5A4" w14:textId="77777777" w:rsidR="00E60D24" w:rsidRDefault="00AD32C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RedCap UEs with any constraints (HD-FDD or lack of SSB in DL BWP) can be addressed by UE implementation. </w:t>
            </w:r>
          </w:p>
        </w:tc>
      </w:tr>
      <w:tr w:rsidR="00E60D24" w14:paraId="189C2897" w14:textId="77777777" w:rsidTr="001751F5">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96" w:type="dxa"/>
          </w:tcPr>
          <w:p w14:paraId="3B0A9513" w14:textId="77777777" w:rsidR="00E60D24" w:rsidRDefault="00E60D24">
            <w:pPr>
              <w:tabs>
                <w:tab w:val="left" w:pos="551"/>
              </w:tabs>
              <w:rPr>
                <w:rFonts w:eastAsiaTheme="minorEastAsia"/>
                <w:lang w:val="en-US" w:eastAsia="zh-CN"/>
              </w:rPr>
            </w:pPr>
          </w:p>
        </w:tc>
        <w:tc>
          <w:tcPr>
            <w:tcW w:w="6756"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rsidTr="001751F5">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96"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rsidTr="001751F5">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rsidTr="001751F5">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56"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rsidTr="001751F5">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96"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56"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lastRenderedPageBreak/>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rsidTr="001751F5">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092B252" w14:textId="77777777" w:rsidR="00E60D24" w:rsidRDefault="00E60D24">
            <w:pPr>
              <w:tabs>
                <w:tab w:val="left" w:pos="551"/>
              </w:tabs>
              <w:rPr>
                <w:rFonts w:eastAsia="Malgun Gothic"/>
                <w:lang w:val="en-US" w:eastAsia="ko-KR"/>
              </w:rPr>
            </w:pPr>
          </w:p>
        </w:tc>
        <w:tc>
          <w:tcPr>
            <w:tcW w:w="6756"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E60D24" w14:paraId="0E2D625B" w14:textId="77777777" w:rsidTr="001751F5">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13BAABD8" w14:textId="77777777" w:rsidR="00E60D24" w:rsidRDefault="00E60D24">
            <w:pPr>
              <w:tabs>
                <w:tab w:val="left" w:pos="551"/>
              </w:tabs>
              <w:rPr>
                <w:rFonts w:eastAsia="Malgun Gothic"/>
                <w:lang w:val="en-US" w:eastAsia="ko-KR"/>
              </w:rPr>
            </w:pPr>
          </w:p>
        </w:tc>
        <w:tc>
          <w:tcPr>
            <w:tcW w:w="6756"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rsidTr="001751F5">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96" w:type="dxa"/>
          </w:tcPr>
          <w:p w14:paraId="1F32F545" w14:textId="77777777" w:rsidR="00E60D24" w:rsidRDefault="00E60D24">
            <w:pPr>
              <w:tabs>
                <w:tab w:val="left" w:pos="551"/>
              </w:tabs>
              <w:rPr>
                <w:rFonts w:eastAsia="Malgun Gothic"/>
                <w:lang w:val="en-US" w:eastAsia="ko-KR"/>
              </w:rPr>
            </w:pPr>
          </w:p>
        </w:tc>
        <w:tc>
          <w:tcPr>
            <w:tcW w:w="6756"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DengXian"/>
                <w:b/>
                <w:bCs/>
                <w:color w:val="FF0000"/>
              </w:rPr>
            </w:pPr>
          </w:p>
        </w:tc>
      </w:tr>
      <w:tr w:rsidR="00E60D24" w14:paraId="294D09D2" w14:textId="77777777" w:rsidTr="001751F5">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56" w:type="dxa"/>
          </w:tcPr>
          <w:p w14:paraId="3AFA1A61" w14:textId="77777777" w:rsidR="00E60D24" w:rsidRDefault="00AD32C9">
            <w:pPr>
              <w:rPr>
                <w:rFonts w:eastAsiaTheme="minorEastAsia"/>
                <w:lang w:val="en-US" w:eastAsia="zh-CN"/>
              </w:rPr>
            </w:pPr>
            <w:r>
              <w:rPr>
                <w:rFonts w:eastAsiaTheme="minorEastAsia"/>
                <w:lang w:val="en-US" w:eastAsia="zh-CN"/>
              </w:rPr>
              <w:t>@Vivo, we have a different view from you. Based on RAN1 agreements for R17 UE features, FG 6-1a does not apply to RedCap UE. Therefore, we are not convinced to couple the discussion for RedCap UE procedure with a feature that applies to non-RedCap UE. Besides, please note in discussing the R16 CR (R1-2205297) for msg1/msgA retransmission timeline of non-RedCap UE, it is your suggestion to discuss the proposal for RedCap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zh-CN"/>
              </w:rPr>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RedCap UE includes SSB, RedCap UE shall be able to maintain the same timeline as legacy (eMBB) UE in msg1/msgA retransmission. </w:t>
            </w:r>
          </w:p>
          <w:p w14:paraId="66BE303A" w14:textId="77777777" w:rsidR="00E60D24" w:rsidRDefault="00AD32C9">
            <w:pPr>
              <w:rPr>
                <w:rFonts w:eastAsiaTheme="minorEastAsia"/>
                <w:lang w:val="en-US" w:eastAsia="zh-CN"/>
              </w:rPr>
            </w:pPr>
            <w:r>
              <w:rPr>
                <w:rFonts w:eastAsiaTheme="minorEastAsia"/>
                <w:lang w:val="en-US" w:eastAsia="zh-CN"/>
              </w:rPr>
              <w:lastRenderedPageBreak/>
              <w:t xml:space="preserve">Our intention is to clarify RedCap UE’s behavior for RA and minimize the specification impacts. For the case that RedCap UE is performing RA in an SSB-less active DL BWP, we agree with other companies that it can be left to RedCap UE implementation. </w:t>
            </w:r>
          </w:p>
        </w:tc>
      </w:tr>
      <w:tr w:rsidR="00E60D24" w14:paraId="1CBF5D19" w14:textId="77777777" w:rsidTr="001751F5">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96" w:type="dxa"/>
          </w:tcPr>
          <w:p w14:paraId="1216E30F" w14:textId="77777777" w:rsidR="00E60D24" w:rsidRDefault="00E60D24">
            <w:pPr>
              <w:tabs>
                <w:tab w:val="left" w:pos="551"/>
              </w:tabs>
              <w:rPr>
                <w:rFonts w:eastAsia="Malgun Gothic"/>
                <w:lang w:val="en-US" w:eastAsia="ko-KR"/>
              </w:rPr>
            </w:pPr>
          </w:p>
        </w:tc>
        <w:tc>
          <w:tcPr>
            <w:tcW w:w="6756"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w:t>
            </w:r>
            <w:proofErr w:type="gramStart"/>
            <w:r>
              <w:rPr>
                <w:rFonts w:eastAsiaTheme="minorEastAsia" w:hint="eastAsia"/>
                <w:lang w:val="en-US" w:eastAsia="zh-CN"/>
              </w:rPr>
              <w:t>a</w:t>
            </w:r>
            <w:proofErr w:type="gramEnd"/>
            <w:r>
              <w:rPr>
                <w:rFonts w:eastAsiaTheme="minorEastAsia" w:hint="eastAsia"/>
                <w:lang w:val="en-US" w:eastAsia="zh-CN"/>
              </w:rPr>
              <w:t xml:space="preserve">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w:t>
            </w:r>
            <w:proofErr w:type="gramStart"/>
            <w:r>
              <w:rPr>
                <w:rFonts w:eastAsiaTheme="minorEastAsia" w:hint="eastAsia"/>
                <w:lang w:val="en-US" w:eastAsia="zh-CN"/>
              </w:rPr>
              <w:t>helps, since</w:t>
            </w:r>
            <w:proofErr w:type="gramEnd"/>
            <w:r>
              <w:rPr>
                <w:rFonts w:eastAsiaTheme="minorEastAsia" w:hint="eastAsia"/>
                <w:lang w:val="en-US" w:eastAsia="zh-CN"/>
              </w:rPr>
              <w:t xml:space="preserv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rsidTr="001751F5">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56" w:type="dxa"/>
          </w:tcPr>
          <w:p w14:paraId="3D60CACE" w14:textId="77777777" w:rsidR="00E60D24" w:rsidRDefault="00AD32C9">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absence of the TP, a RedCap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rsidTr="001751F5">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10B198B5" w14:textId="77777777" w:rsidR="00E60D24" w:rsidRDefault="00E60D24">
            <w:pPr>
              <w:tabs>
                <w:tab w:val="left" w:pos="551"/>
              </w:tabs>
              <w:rPr>
                <w:rFonts w:eastAsia="Malgun Gothic"/>
                <w:lang w:val="en-US" w:eastAsia="ko-KR"/>
              </w:rPr>
            </w:pPr>
          </w:p>
        </w:tc>
        <w:tc>
          <w:tcPr>
            <w:tcW w:w="6756" w:type="dxa"/>
          </w:tcPr>
          <w:p w14:paraId="083C00F8" w14:textId="77777777" w:rsidR="00E60D24" w:rsidRDefault="00AD32C9">
            <w:pPr>
              <w:rPr>
                <w:rFonts w:eastAsiaTheme="minorEastAsia"/>
                <w:lang w:val="en-US" w:eastAsia="zh-CN"/>
              </w:rPr>
            </w:pPr>
            <w:proofErr w:type="gramStart"/>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proofErr w:type="gramEnd"/>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RedCap related issues should be brought up and can be in Rel-17 RedCap session, since Rel-16 CR is not right place to discuss Rel-17 issue. But whether the RedCap “issue” is essential and need to be discussed should assessed by all companies who join in Rel-17 RedCap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the RedCap UE behavior is the same as legacy UE, we think it </w:t>
            </w:r>
            <w:proofErr w:type="gramStart"/>
            <w:r>
              <w:rPr>
                <w:rFonts w:eastAsiaTheme="minorEastAsia"/>
                <w:lang w:val="en-US" w:eastAsia="zh-CN"/>
              </w:rPr>
              <w:t>is not need</w:t>
            </w:r>
            <w:proofErr w:type="gramEnd"/>
            <w:r>
              <w:rPr>
                <w:rFonts w:eastAsiaTheme="minorEastAsia"/>
                <w:lang w:val="en-US" w:eastAsia="zh-CN"/>
              </w:rPr>
              <w:t xml:space="preserve"> to be captured in the specification.  </w:t>
            </w:r>
          </w:p>
        </w:tc>
      </w:tr>
      <w:tr w:rsidR="00E60D24" w14:paraId="2DB2F206" w14:textId="77777777" w:rsidTr="001751F5">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96" w:type="dxa"/>
          </w:tcPr>
          <w:p w14:paraId="754B1C97" w14:textId="77777777" w:rsidR="00E60D24" w:rsidRDefault="00E60D24">
            <w:pPr>
              <w:tabs>
                <w:tab w:val="left" w:pos="551"/>
              </w:tabs>
              <w:rPr>
                <w:rFonts w:eastAsia="Malgun Gothic"/>
                <w:lang w:val="en-US" w:eastAsia="ko-KR"/>
              </w:rPr>
            </w:pPr>
          </w:p>
        </w:tc>
        <w:tc>
          <w:tcPr>
            <w:tcW w:w="6756"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rsidTr="001751F5">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016F24C4" w14:textId="77777777" w:rsidR="00E60D24" w:rsidRDefault="00E60D24">
            <w:pPr>
              <w:tabs>
                <w:tab w:val="left" w:pos="551"/>
              </w:tabs>
              <w:rPr>
                <w:rFonts w:eastAsia="Malgun Gothic"/>
                <w:lang w:val="en-US" w:eastAsia="ko-KR"/>
              </w:rPr>
            </w:pPr>
          </w:p>
        </w:tc>
        <w:tc>
          <w:tcPr>
            <w:tcW w:w="6756" w:type="dxa"/>
          </w:tcPr>
          <w:p w14:paraId="1FE22376" w14:textId="77777777" w:rsidR="00E60D24" w:rsidRDefault="00AD32C9">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RedCap UEs and non-RedCap UEs lies in the fact that the RedCap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RedCap UE are same as described for a UE in all other clauses of this document unless stated otherwise.” in clause 17.1, the RedCap UEs follow the same behaviors as non-RedCap UEs in clauses 8.2 and 8.2A.</w:t>
            </w:r>
          </w:p>
        </w:tc>
      </w:tr>
      <w:tr w:rsidR="00E60D24" w14:paraId="40CBB271" w14:textId="77777777" w:rsidTr="001751F5">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2478C62B" w14:textId="77777777" w:rsidR="00E60D24" w:rsidRDefault="00E60D24">
            <w:pPr>
              <w:tabs>
                <w:tab w:val="left" w:pos="551"/>
              </w:tabs>
              <w:rPr>
                <w:rFonts w:eastAsia="Malgun Gothic"/>
                <w:lang w:val="en-US" w:eastAsia="ko-KR"/>
              </w:rPr>
            </w:pPr>
          </w:p>
        </w:tc>
        <w:tc>
          <w:tcPr>
            <w:tcW w:w="6756"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w:t>
            </w:r>
            <w:proofErr w:type="gramStart"/>
            <w:r>
              <w:rPr>
                <w:rFonts w:eastAsiaTheme="minorEastAsia"/>
                <w:lang w:val="en-US" w:eastAsia="zh-CN"/>
              </w:rPr>
              <w:t>to have</w:t>
            </w:r>
            <w:proofErr w:type="gramEnd"/>
            <w:r>
              <w:rPr>
                <w:rFonts w:eastAsiaTheme="minorEastAsia"/>
                <w:lang w:val="en-US" w:eastAsia="zh-CN"/>
              </w:rPr>
              <w:t xml:space="preserve"> some common understanding first, then discuss whether/how to have CR. </w:t>
            </w:r>
          </w:p>
        </w:tc>
      </w:tr>
      <w:tr w:rsidR="00E60D24" w14:paraId="157FB403" w14:textId="77777777" w:rsidTr="001751F5">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lastRenderedPageBreak/>
              <w:t>N</w:t>
            </w:r>
            <w:r>
              <w:rPr>
                <w:rFonts w:eastAsia="Yu Mincho"/>
                <w:lang w:val="en-US" w:eastAsia="ja-JP"/>
              </w:rPr>
              <w:t>EC</w:t>
            </w:r>
          </w:p>
        </w:tc>
        <w:tc>
          <w:tcPr>
            <w:tcW w:w="1396" w:type="dxa"/>
          </w:tcPr>
          <w:p w14:paraId="6EECFED0" w14:textId="77777777" w:rsidR="00E60D24" w:rsidRDefault="00E60D24">
            <w:pPr>
              <w:tabs>
                <w:tab w:val="left" w:pos="551"/>
              </w:tabs>
              <w:rPr>
                <w:rFonts w:eastAsia="Malgun Gothic"/>
                <w:lang w:val="en-US" w:eastAsia="ko-KR"/>
              </w:rPr>
            </w:pPr>
          </w:p>
        </w:tc>
        <w:tc>
          <w:tcPr>
            <w:tcW w:w="6756"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non-RedCap UE does not need to be captured in sub-clause 17.1. We are fine with capturing it into chairman’s notes as conclusion as suggested by ZTE.</w:t>
            </w:r>
          </w:p>
        </w:tc>
      </w:tr>
      <w:tr w:rsidR="00E60D24" w14:paraId="21C8CFF0" w14:textId="77777777" w:rsidTr="001751F5">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58200990" w14:textId="77777777" w:rsidR="00E60D24" w:rsidRDefault="00E60D24">
            <w:pPr>
              <w:tabs>
                <w:tab w:val="left" w:pos="551"/>
              </w:tabs>
              <w:rPr>
                <w:rFonts w:eastAsia="Malgun Gothic"/>
                <w:lang w:val="en-US" w:eastAsia="ko-KR"/>
              </w:rPr>
            </w:pPr>
          </w:p>
        </w:tc>
        <w:tc>
          <w:tcPr>
            <w:tcW w:w="6756" w:type="dxa"/>
          </w:tcPr>
          <w:p w14:paraId="601BB3AD" w14:textId="77777777" w:rsidR="00E60D24" w:rsidRDefault="00AD32C9">
            <w:pPr>
              <w:rPr>
                <w:rFonts w:eastAsia="Yu Mincho"/>
                <w:lang w:val="en-US" w:eastAsia="ja-JP"/>
              </w:rPr>
            </w:pPr>
            <w:r>
              <w:rPr>
                <w:rFonts w:eastAsia="Yu Mincho"/>
                <w:lang w:val="en-US" w:eastAsia="ja-JP"/>
              </w:rPr>
              <w:t xml:space="preserve">We think the clarification of timeline requirement for RedCap UE especially for the SSB-less BWP operation would be helpful since it was not concluded yet. If </w:t>
            </w:r>
            <w:proofErr w:type="gramStart"/>
            <w:r>
              <w:rPr>
                <w:rFonts w:eastAsia="Yu Mincho"/>
                <w:lang w:val="en-US" w:eastAsia="ja-JP"/>
              </w:rPr>
              <w:t>the majority of</w:t>
            </w:r>
            <w:proofErr w:type="gramEnd"/>
            <w:r>
              <w:rPr>
                <w:rFonts w:eastAsia="Yu Mincho"/>
                <w:lang w:val="en-US" w:eastAsia="ja-JP"/>
              </w:rPr>
              <w:t xml:space="preserve"> companies think it should be up to UE implementation for the case where the DL BWP does not include SSB, we think any TP is not required. However, if the timeline needs to be extended for RedCap UE from that for legacy UE, we need to specify it.</w:t>
            </w:r>
          </w:p>
        </w:tc>
      </w:tr>
      <w:tr w:rsidR="00E60D24" w14:paraId="54DF489B" w14:textId="77777777" w:rsidTr="001751F5">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96" w:type="dxa"/>
          </w:tcPr>
          <w:p w14:paraId="6EE964C7" w14:textId="77777777" w:rsidR="00E60D24" w:rsidRDefault="00E60D24">
            <w:pPr>
              <w:tabs>
                <w:tab w:val="left" w:pos="551"/>
              </w:tabs>
              <w:rPr>
                <w:rFonts w:eastAsia="Malgun Gothic"/>
                <w:lang w:val="en-US" w:eastAsia="ko-KR"/>
              </w:rPr>
            </w:pPr>
          </w:p>
        </w:tc>
        <w:tc>
          <w:tcPr>
            <w:tcW w:w="6756" w:type="dxa"/>
          </w:tcPr>
          <w:p w14:paraId="0ACC2620" w14:textId="77777777" w:rsidR="00E60D24" w:rsidRDefault="00AD32C9">
            <w:pPr>
              <w:rPr>
                <w:rFonts w:eastAsia="Yu Mincho"/>
                <w:lang w:val="en-US" w:eastAsia="ja-JP"/>
              </w:rPr>
            </w:pPr>
            <w:r>
              <w:rPr>
                <w:rFonts w:eastAsia="Yu Mincho"/>
                <w:lang w:val="en-US" w:eastAsia="ja-JP"/>
              </w:rPr>
              <w:t>Same view as Sharp. We should clarify in TP or conclusion the RedCap UE msg1/A retransmission timeline requirement in case of initial DL BWP without SSB.</w:t>
            </w:r>
          </w:p>
        </w:tc>
      </w:tr>
      <w:tr w:rsidR="00E60D24" w14:paraId="55353CC9" w14:textId="77777777" w:rsidTr="001751F5">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96" w:type="dxa"/>
          </w:tcPr>
          <w:p w14:paraId="04F976DA" w14:textId="77777777" w:rsidR="00E60D24" w:rsidRDefault="00E60D24">
            <w:pPr>
              <w:tabs>
                <w:tab w:val="left" w:pos="551"/>
              </w:tabs>
              <w:rPr>
                <w:rFonts w:eastAsia="Malgun Gothic"/>
                <w:lang w:val="en-US" w:eastAsia="ko-KR"/>
              </w:rPr>
            </w:pPr>
          </w:p>
        </w:tc>
        <w:tc>
          <w:tcPr>
            <w:tcW w:w="6756"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rsidTr="001751F5">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96" w:type="dxa"/>
          </w:tcPr>
          <w:p w14:paraId="51EE8663" w14:textId="77777777" w:rsidR="00E60D24" w:rsidRDefault="00E60D24">
            <w:pPr>
              <w:tabs>
                <w:tab w:val="left" w:pos="551"/>
              </w:tabs>
              <w:rPr>
                <w:rFonts w:eastAsia="Malgun Gothic"/>
                <w:lang w:val="en-US" w:eastAsia="ko-KR"/>
              </w:rPr>
            </w:pPr>
          </w:p>
        </w:tc>
        <w:tc>
          <w:tcPr>
            <w:tcW w:w="6756"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rsidTr="001751F5">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96" w:type="dxa"/>
          </w:tcPr>
          <w:p w14:paraId="1ECF9F85" w14:textId="77777777" w:rsidR="00E60D24" w:rsidRDefault="00E60D24">
            <w:pPr>
              <w:tabs>
                <w:tab w:val="left" w:pos="551"/>
              </w:tabs>
              <w:rPr>
                <w:rFonts w:eastAsia="Malgun Gothic"/>
                <w:lang w:val="en-US" w:eastAsia="ko-KR"/>
              </w:rPr>
            </w:pPr>
          </w:p>
        </w:tc>
        <w:tc>
          <w:tcPr>
            <w:tcW w:w="6756"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rsidTr="001751F5">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96"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56" w:type="dxa"/>
          </w:tcPr>
          <w:p w14:paraId="4D962170" w14:textId="3C32A9F3" w:rsidR="00C61262" w:rsidRDefault="00C61262">
            <w:pPr>
              <w:rPr>
                <w:rFonts w:eastAsia="Yu Mincho"/>
                <w:lang w:val="en-US" w:eastAsia="ja-JP"/>
              </w:rPr>
            </w:pPr>
            <w:r>
              <w:rPr>
                <w:rFonts w:eastAsia="Yu Mincho"/>
                <w:lang w:val="en-US" w:eastAsia="ja-JP"/>
              </w:rPr>
              <w:t>Thanks for the comments above on Proposal 8-1b. We think the RA of a R17 RedCap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RedCap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rsidTr="001751F5">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t>M</w:t>
            </w:r>
            <w:r>
              <w:rPr>
                <w:rFonts w:eastAsia="PMingLiU"/>
                <w:lang w:val="en-US" w:eastAsia="zh-TW"/>
              </w:rPr>
              <w:t>ediaTek</w:t>
            </w:r>
          </w:p>
        </w:tc>
        <w:tc>
          <w:tcPr>
            <w:tcW w:w="1396" w:type="dxa"/>
          </w:tcPr>
          <w:p w14:paraId="67E5C1B0" w14:textId="77777777" w:rsidR="00BA23B1" w:rsidRDefault="00BA23B1" w:rsidP="00BA23B1">
            <w:pPr>
              <w:tabs>
                <w:tab w:val="left" w:pos="551"/>
              </w:tabs>
              <w:rPr>
                <w:rFonts w:eastAsia="Malgun Gothic"/>
                <w:lang w:val="en-US" w:eastAsia="ko-KR"/>
              </w:rPr>
            </w:pPr>
          </w:p>
        </w:tc>
        <w:tc>
          <w:tcPr>
            <w:tcW w:w="6756"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RedCap UEs operating on a BWP </w:t>
            </w:r>
            <w:r w:rsidRPr="00C016FF">
              <w:rPr>
                <w:rFonts w:eastAsia="PMingLiU"/>
                <w:i/>
                <w:iCs/>
                <w:lang w:val="en-US" w:eastAsia="zh-TW"/>
              </w:rPr>
              <w:t>without</w:t>
            </w:r>
            <w:r>
              <w:rPr>
                <w:rFonts w:eastAsia="PMingLiU"/>
                <w:lang w:val="en-US" w:eastAsia="zh-TW"/>
              </w:rPr>
              <w:t xml:space="preserve"> SSB, RedCap is not required to follow the timeline for PRACH retransmission specified in Clause 8. Maybe adding another paragraph after the proposed TP to describe the case of SSB-less BWP for completeness?</w:t>
            </w:r>
          </w:p>
        </w:tc>
      </w:tr>
      <w:tr w:rsidR="00B45488" w14:paraId="25F77B08" w14:textId="77777777" w:rsidTr="001751F5">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96" w:type="dxa"/>
          </w:tcPr>
          <w:p w14:paraId="2F3CB796" w14:textId="77777777" w:rsidR="00B45488" w:rsidRDefault="00B45488" w:rsidP="00B45488">
            <w:pPr>
              <w:tabs>
                <w:tab w:val="left" w:pos="551"/>
              </w:tabs>
              <w:rPr>
                <w:rFonts w:eastAsia="Malgun Gothic"/>
                <w:lang w:val="en-US" w:eastAsia="ko-KR"/>
              </w:rPr>
            </w:pPr>
          </w:p>
        </w:tc>
        <w:tc>
          <w:tcPr>
            <w:tcW w:w="6756" w:type="dxa"/>
          </w:tcPr>
          <w:p w14:paraId="0DE35888" w14:textId="77777777" w:rsidR="00B45488" w:rsidRDefault="00B45488" w:rsidP="00B45488">
            <w:pPr>
              <w:rPr>
                <w:rFonts w:eastAsia="PMingLiU"/>
                <w:lang w:val="en-US" w:eastAsia="zh-TW"/>
              </w:rPr>
            </w:pPr>
            <w:r>
              <w:rPr>
                <w:rFonts w:eastAsia="PMingLiU"/>
                <w:lang w:val="en-US" w:eastAsia="zh-TW"/>
              </w:rPr>
              <w:t>It is brought up an interesting question about the case of a BWP without SSB, which although part of RedCap but also part of eMBB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RedCap is captured, otherwise same as eMBB. We wonder this needs to be reclarified whenever a spec already tells. </w:t>
            </w:r>
          </w:p>
        </w:tc>
      </w:tr>
      <w:tr w:rsidR="00DB12AA" w14:paraId="28CD06BB" w14:textId="77777777" w:rsidTr="00205CD5">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Msg1/MsgA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RedCap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E7370F" w14:paraId="421FFFB6" w14:textId="77777777" w:rsidTr="001751F5">
        <w:tc>
          <w:tcPr>
            <w:tcW w:w="1479" w:type="dxa"/>
          </w:tcPr>
          <w:p w14:paraId="28969B4F" w14:textId="19128CDA" w:rsidR="00E7370F" w:rsidRDefault="00E7370F" w:rsidP="00E7370F">
            <w:pPr>
              <w:rPr>
                <w:rFonts w:eastAsia="PMingLiU"/>
                <w:lang w:val="en-US" w:eastAsia="zh-TW"/>
              </w:rPr>
            </w:pPr>
            <w:r>
              <w:rPr>
                <w:rFonts w:eastAsia="PMingLiU"/>
                <w:lang w:val="en-US" w:eastAsia="zh-TW"/>
              </w:rPr>
              <w:t>Huawei</w:t>
            </w:r>
          </w:p>
        </w:tc>
        <w:tc>
          <w:tcPr>
            <w:tcW w:w="1396" w:type="dxa"/>
          </w:tcPr>
          <w:p w14:paraId="34D0E05E" w14:textId="77B24263" w:rsidR="00E7370F" w:rsidRDefault="00E7370F" w:rsidP="00E7370F">
            <w:pPr>
              <w:tabs>
                <w:tab w:val="left" w:pos="551"/>
              </w:tabs>
              <w:rPr>
                <w:rFonts w:eastAsia="Malgun Gothic"/>
                <w:lang w:val="en-US" w:eastAsia="ko-KR"/>
              </w:rPr>
            </w:pPr>
            <w:r>
              <w:rPr>
                <w:rFonts w:eastAsia="Malgun Gothic"/>
                <w:lang w:val="en-US" w:eastAsia="ko-KR"/>
              </w:rPr>
              <w:t xml:space="preserve">OK for </w:t>
            </w:r>
            <w:proofErr w:type="spellStart"/>
            <w:r>
              <w:rPr>
                <w:rFonts w:eastAsia="Malgun Gothic"/>
                <w:lang w:val="en-US" w:eastAsia="ko-KR"/>
              </w:rPr>
              <w:t>withoutSSB</w:t>
            </w:r>
            <w:proofErr w:type="spellEnd"/>
          </w:p>
        </w:tc>
        <w:tc>
          <w:tcPr>
            <w:tcW w:w="6756" w:type="dxa"/>
          </w:tcPr>
          <w:p w14:paraId="4C3C589B" w14:textId="0CA9BCD7" w:rsidR="00E7370F" w:rsidRDefault="00E7370F" w:rsidP="00E7370F">
            <w:pPr>
              <w:rPr>
                <w:rFonts w:eastAsia="PMingLiU"/>
                <w:lang w:val="en-US" w:eastAsia="zh-TW"/>
              </w:rPr>
            </w:pPr>
            <w:r>
              <w:rPr>
                <w:rFonts w:eastAsia="PMingLiU"/>
                <w:lang w:val="en-US" w:eastAsia="zh-TW"/>
              </w:rPr>
              <w:t>Also wondering for eMBB UEs with BWP without SSB in connected state (if can be configured to send Msg1)</w:t>
            </w:r>
          </w:p>
        </w:tc>
      </w:tr>
      <w:tr w:rsidR="003C60C3" w14:paraId="0D801C9F" w14:textId="77777777" w:rsidTr="001751F5">
        <w:tc>
          <w:tcPr>
            <w:tcW w:w="1479" w:type="dxa"/>
          </w:tcPr>
          <w:p w14:paraId="4AD35981" w14:textId="10184BCA" w:rsidR="003C60C3" w:rsidRDefault="003C60C3" w:rsidP="00E7370F">
            <w:pPr>
              <w:rPr>
                <w:rFonts w:eastAsia="PMingLiU"/>
                <w:lang w:val="en-US" w:eastAsia="zh-TW"/>
              </w:rPr>
            </w:pPr>
            <w:r>
              <w:rPr>
                <w:rFonts w:eastAsia="PMingLiU"/>
                <w:lang w:val="en-US" w:eastAsia="zh-TW"/>
              </w:rPr>
              <w:t>Qualcomm</w:t>
            </w:r>
          </w:p>
        </w:tc>
        <w:tc>
          <w:tcPr>
            <w:tcW w:w="1396" w:type="dxa"/>
          </w:tcPr>
          <w:p w14:paraId="291D9A08" w14:textId="4B7AEDF3" w:rsidR="003C60C3" w:rsidRDefault="003C60C3" w:rsidP="001751F5">
            <w:pPr>
              <w:tabs>
                <w:tab w:val="left" w:pos="551"/>
              </w:tabs>
              <w:jc w:val="left"/>
              <w:rPr>
                <w:rFonts w:eastAsia="Malgun Gothic"/>
                <w:lang w:val="en-US" w:eastAsia="ko-KR"/>
              </w:rPr>
            </w:pPr>
            <w:r>
              <w:rPr>
                <w:rFonts w:eastAsia="Malgun Gothic"/>
                <w:lang w:val="en-US" w:eastAsia="ko-KR"/>
              </w:rPr>
              <w:t xml:space="preserve">Both cases should be clarified, to cover all SSB </w:t>
            </w:r>
            <w:r>
              <w:rPr>
                <w:rFonts w:eastAsia="Malgun Gothic"/>
                <w:lang w:val="en-US" w:eastAsia="ko-KR"/>
              </w:rPr>
              <w:lastRenderedPageBreak/>
              <w:t>types (CD-SSB, NCD-SSB) and all duplex modes (TDD, FD-FDD, HD-FDD) supported by RedCap UE</w:t>
            </w:r>
          </w:p>
        </w:tc>
        <w:tc>
          <w:tcPr>
            <w:tcW w:w="6756" w:type="dxa"/>
          </w:tcPr>
          <w:p w14:paraId="2867E982" w14:textId="1D0E483C" w:rsidR="003C60C3" w:rsidRPr="003C60C3" w:rsidRDefault="003C60C3" w:rsidP="003C60C3">
            <w:pPr>
              <w:rPr>
                <w:rFonts w:eastAsia="PMingLiU"/>
                <w:lang w:val="en-US" w:eastAsia="zh-TW"/>
              </w:rPr>
            </w:pPr>
            <w:r>
              <w:rPr>
                <w:rFonts w:eastAsia="PMingLiU"/>
                <w:lang w:val="en-US" w:eastAsia="zh-TW"/>
              </w:rPr>
              <w:lastRenderedPageBreak/>
              <w:t>We think the following TPs should be added to TS 38.213 for clarification:</w:t>
            </w:r>
          </w:p>
          <w:p w14:paraId="26B51A40" w14:textId="21C1CA50" w:rsidR="003C60C3" w:rsidRDefault="003C60C3" w:rsidP="003C60C3">
            <w:pPr>
              <w:pStyle w:val="ListParagraph"/>
              <w:numPr>
                <w:ilvl w:val="0"/>
                <w:numId w:val="19"/>
              </w:numPr>
              <w:rPr>
                <w:rFonts w:eastAsia="PMingLiU"/>
                <w:sz w:val="20"/>
                <w:szCs w:val="22"/>
                <w:lang w:val="en-US" w:eastAsia="zh-TW"/>
              </w:rPr>
            </w:pPr>
            <w:r w:rsidRPr="003C60C3">
              <w:rPr>
                <w:rFonts w:eastAsia="PMingLiU"/>
                <w:sz w:val="20"/>
                <w:szCs w:val="22"/>
                <w:lang w:val="en-US" w:eastAsia="zh-TW"/>
              </w:rPr>
              <w:t xml:space="preserve">When a RedCap UE is performing random access procedure </w:t>
            </w:r>
            <w:r w:rsidRPr="003C60C3">
              <w:rPr>
                <w:rFonts w:eastAsia="PMingLiU"/>
                <w:sz w:val="20"/>
                <w:szCs w:val="22"/>
                <w:lang w:val="en-US" w:eastAsia="zh-TW"/>
              </w:rPr>
              <w:t xml:space="preserve">in TDD, FD-FDD </w:t>
            </w:r>
            <w:r w:rsidRPr="003C60C3">
              <w:rPr>
                <w:rFonts w:eastAsia="PMingLiU"/>
                <w:sz w:val="20"/>
                <w:szCs w:val="22"/>
                <w:lang w:val="en-US" w:eastAsia="zh-TW"/>
              </w:rPr>
              <w:t>or</w:t>
            </w:r>
            <w:r w:rsidRPr="003C60C3">
              <w:rPr>
                <w:rFonts w:eastAsia="PMingLiU"/>
                <w:sz w:val="20"/>
                <w:szCs w:val="22"/>
                <w:lang w:val="en-US" w:eastAsia="zh-TW"/>
              </w:rPr>
              <w:t xml:space="preserve"> HD-FDD modes</w:t>
            </w:r>
            <w:r w:rsidRPr="003C60C3">
              <w:rPr>
                <w:rFonts w:eastAsia="PMingLiU"/>
                <w:sz w:val="20"/>
                <w:szCs w:val="22"/>
                <w:lang w:val="en-US" w:eastAsia="zh-TW"/>
              </w:rPr>
              <w:t xml:space="preserve"> within an active DL BWP, the </w:t>
            </w:r>
            <w:r w:rsidRPr="003C60C3">
              <w:rPr>
                <w:rFonts w:eastAsia="PMingLiU"/>
                <w:sz w:val="20"/>
                <w:szCs w:val="22"/>
                <w:lang w:val="en-US" w:eastAsia="zh-TW"/>
              </w:rPr>
              <w:t xml:space="preserve">UE shall be ready </w:t>
            </w:r>
            <w:r w:rsidRPr="003C60C3">
              <w:rPr>
                <w:rFonts w:eastAsia="PMingLiU"/>
                <w:sz w:val="20"/>
                <w:szCs w:val="22"/>
                <w:lang w:val="en-US" w:eastAsia="zh-TW"/>
              </w:rPr>
              <w:lastRenderedPageBreak/>
              <w:t>to retransmit a PRACH according to the timeline in clauses 8.2 and 8.2A</w:t>
            </w:r>
            <w:r w:rsidRPr="003C60C3">
              <w:rPr>
                <w:rFonts w:eastAsia="PMingLiU"/>
                <w:sz w:val="20"/>
                <w:szCs w:val="22"/>
                <w:lang w:val="en-US" w:eastAsia="zh-TW"/>
              </w:rPr>
              <w:t xml:space="preserve">, if the active DL BWP includes the </w:t>
            </w:r>
            <w:r w:rsidRPr="003C60C3">
              <w:rPr>
                <w:rFonts w:eastAsia="PMingLiU"/>
                <w:sz w:val="20"/>
                <w:szCs w:val="22"/>
                <w:lang w:val="en-US" w:eastAsia="zh-TW"/>
              </w:rPr>
              <w:t>SS/PBCH blocks</w:t>
            </w:r>
            <w:r w:rsidRPr="003C60C3">
              <w:rPr>
                <w:rFonts w:eastAsia="PMingLiU"/>
                <w:sz w:val="20"/>
                <w:szCs w:val="22"/>
                <w:lang w:val="en-US" w:eastAsia="zh-TW"/>
              </w:rPr>
              <w:t xml:space="preserve"> that </w:t>
            </w:r>
            <w:r w:rsidRPr="003C60C3">
              <w:rPr>
                <w:rFonts w:eastAsia="PMingLiU"/>
                <w:sz w:val="20"/>
                <w:szCs w:val="22"/>
                <w:lang w:val="en-US" w:eastAsia="zh-TW"/>
              </w:rPr>
              <w:t>the UE used to obtain SIB1 or the SS/PBCH blocks provided by</w:t>
            </w:r>
            <w:r w:rsidRPr="003C60C3">
              <w:rPr>
                <w:rFonts w:eastAsia="PMingLiU"/>
                <w:sz w:val="20"/>
                <w:szCs w:val="22"/>
                <w:lang w:val="en-US" w:eastAsia="zh-TW"/>
              </w:rPr>
              <w:t xml:space="preserve"> </w:t>
            </w:r>
            <w:r w:rsidRPr="003C60C3">
              <w:rPr>
                <w:rFonts w:eastAsia="PMingLiU"/>
                <w:i/>
                <w:iCs/>
                <w:sz w:val="20"/>
                <w:szCs w:val="22"/>
                <w:lang w:val="en-US" w:eastAsia="zh-TW"/>
              </w:rPr>
              <w:t>NonCellDefiningSSB</w:t>
            </w:r>
            <w:r w:rsidRPr="003C60C3">
              <w:rPr>
                <w:rFonts w:eastAsia="PMingLiU"/>
                <w:sz w:val="20"/>
                <w:szCs w:val="22"/>
                <w:lang w:val="en-US" w:eastAsia="zh-TW"/>
              </w:rPr>
              <w:t>.</w:t>
            </w:r>
          </w:p>
          <w:p w14:paraId="227B2C77" w14:textId="57471B65" w:rsidR="005A0836" w:rsidRPr="003C60C3" w:rsidRDefault="005A0836" w:rsidP="005A0836">
            <w:pPr>
              <w:pStyle w:val="ListParagraph"/>
              <w:rPr>
                <w:rFonts w:eastAsia="PMingLiU"/>
                <w:sz w:val="20"/>
                <w:szCs w:val="22"/>
                <w:lang w:val="en-US" w:eastAsia="zh-TW"/>
              </w:rPr>
            </w:pPr>
          </w:p>
          <w:p w14:paraId="356BB713" w14:textId="56B5B5B4" w:rsidR="003C60C3" w:rsidRPr="003C60C3" w:rsidRDefault="003C60C3" w:rsidP="005A0836">
            <w:pPr>
              <w:pStyle w:val="ListParagraph"/>
              <w:numPr>
                <w:ilvl w:val="0"/>
                <w:numId w:val="19"/>
              </w:numPr>
              <w:spacing w:before="120"/>
              <w:rPr>
                <w:rFonts w:eastAsia="PMingLiU"/>
                <w:sz w:val="20"/>
                <w:szCs w:val="22"/>
                <w:lang w:val="en-US" w:eastAsia="zh-TW"/>
              </w:rPr>
            </w:pPr>
            <w:r w:rsidRPr="003C60C3">
              <w:rPr>
                <w:rFonts w:eastAsia="PMingLiU"/>
                <w:sz w:val="20"/>
                <w:szCs w:val="22"/>
                <w:lang w:val="en-US" w:eastAsia="zh-TW"/>
              </w:rPr>
              <w:t xml:space="preserve">When a RedCap UE is performing random access procedure in TDD, FD-FDD or HD-FDD modes </w:t>
            </w:r>
            <w:r>
              <w:rPr>
                <w:rFonts w:eastAsia="PMingLiU"/>
                <w:sz w:val="20"/>
                <w:szCs w:val="22"/>
                <w:lang w:val="en-US" w:eastAsia="zh-TW"/>
              </w:rPr>
              <w:t>with</w:t>
            </w:r>
            <w:r w:rsidRPr="003C60C3">
              <w:rPr>
                <w:rFonts w:eastAsia="PMingLiU"/>
                <w:sz w:val="20"/>
                <w:szCs w:val="22"/>
                <w:lang w:val="en-US" w:eastAsia="zh-TW"/>
              </w:rPr>
              <w:t>in an active DL BWP</w:t>
            </w:r>
            <w:r w:rsidRPr="003C60C3">
              <w:rPr>
                <w:rFonts w:eastAsia="PMingLiU"/>
                <w:sz w:val="20"/>
                <w:szCs w:val="22"/>
                <w:lang w:val="en-US" w:eastAsia="zh-TW"/>
              </w:rPr>
              <w:t xml:space="preserve"> without </w:t>
            </w:r>
            <w:r w:rsidRPr="003C60C3">
              <w:rPr>
                <w:rFonts w:eastAsia="PMingLiU"/>
                <w:sz w:val="20"/>
                <w:szCs w:val="22"/>
                <w:lang w:val="en-US" w:eastAsia="zh-TW"/>
              </w:rPr>
              <w:t xml:space="preserve">the SS/PBCH blocks that the UE used to obtain SIB1 or the SS/PBCH blocks provided by </w:t>
            </w:r>
            <w:r w:rsidRPr="003C60C3">
              <w:rPr>
                <w:rFonts w:eastAsia="PMingLiU"/>
                <w:i/>
                <w:iCs/>
                <w:sz w:val="20"/>
                <w:szCs w:val="22"/>
                <w:lang w:val="en-US" w:eastAsia="zh-TW"/>
              </w:rPr>
              <w:t>NonCellDefiningSSB</w:t>
            </w:r>
            <w:r w:rsidRPr="003C60C3">
              <w:rPr>
                <w:rFonts w:eastAsia="PMingLiU"/>
                <w:sz w:val="20"/>
                <w:szCs w:val="22"/>
                <w:lang w:val="en-US" w:eastAsia="zh-TW"/>
              </w:rPr>
              <w:t xml:space="preserve">, the UE shall be ready to retransmit a PRACH </w:t>
            </w:r>
            <w:r w:rsidRPr="003C60C3">
              <w:rPr>
                <w:rFonts w:eastAsia="PMingLiU"/>
                <w:sz w:val="20"/>
                <w:szCs w:val="22"/>
                <w:lang w:val="en-US" w:eastAsia="zh-TW"/>
              </w:rPr>
              <w:t>based on its implementation.</w:t>
            </w:r>
          </w:p>
          <w:p w14:paraId="6FAAFB85" w14:textId="543607F2" w:rsidR="003C60C3" w:rsidRPr="003C60C3" w:rsidRDefault="003C60C3" w:rsidP="003C60C3">
            <w:pPr>
              <w:pStyle w:val="ListParagraph"/>
              <w:ind w:left="1440"/>
              <w:jc w:val="left"/>
              <w:rPr>
                <w:rFonts w:eastAsia="PMingLiU"/>
                <w:lang w:val="en-US" w:eastAsia="zh-TW"/>
              </w:rPr>
            </w:pPr>
          </w:p>
        </w:tc>
      </w:tr>
    </w:tbl>
    <w:p w14:paraId="39EDF90B" w14:textId="77777777" w:rsidR="00E60D24" w:rsidRDefault="00E60D24">
      <w:pPr>
        <w:rPr>
          <w:lang w:val="en-US"/>
        </w:rPr>
      </w:pPr>
    </w:p>
    <w:p w14:paraId="7977F522" w14:textId="77777777" w:rsidR="00E60D24" w:rsidRDefault="00AD32C9">
      <w:pPr>
        <w:pStyle w:val="Heading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4"/>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000000">
            <w:pPr>
              <w:jc w:val="left"/>
              <w:rPr>
                <w:color w:val="0000FF"/>
                <w:u w:val="single"/>
                <w:lang w:val="en-US"/>
              </w:rPr>
            </w:pPr>
            <w:hyperlink r:id="rId57" w:history="1">
              <w:r w:rsidR="00AD32C9">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000000">
            <w:pPr>
              <w:jc w:val="left"/>
              <w:rPr>
                <w:lang w:val="en-US"/>
              </w:rPr>
            </w:pPr>
            <w:hyperlink r:id="rId58" w:history="1">
              <w:r w:rsidR="00AD32C9">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000000">
            <w:pPr>
              <w:jc w:val="left"/>
              <w:rPr>
                <w:rFonts w:eastAsia="Calibri"/>
                <w:color w:val="0000FF"/>
                <w:szCs w:val="22"/>
                <w:u w:val="single"/>
                <w:lang w:val="en-US"/>
              </w:rPr>
            </w:pPr>
            <w:hyperlink r:id="rId59" w:history="1">
              <w:r w:rsidR="00AD32C9">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RAN1 agreements for Rel-17 NR RedCap</w:t>
            </w:r>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000000">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FL summary #3 for Rel-17 RedCap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000000">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000000">
            <w:pPr>
              <w:jc w:val="left"/>
              <w:rPr>
                <w:rStyle w:val="Hyperlink"/>
                <w:color w:val="0000FF"/>
                <w:lang w:val="en-US" w:eastAsia="sv-SE"/>
              </w:rPr>
            </w:pPr>
            <w:hyperlink r:id="rId62" w:history="1">
              <w:r w:rsidR="00AD32C9">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Corrections and clarifications of RedCap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000000">
            <w:pPr>
              <w:jc w:val="left"/>
              <w:rPr>
                <w:rStyle w:val="Hyperlink"/>
                <w:color w:val="0000FF"/>
                <w:lang w:val="en-US" w:eastAsia="sv-SE"/>
              </w:rPr>
            </w:pPr>
            <w:hyperlink r:id="rId63" w:history="1">
              <w:r w:rsidR="00AD32C9">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r>
              <w:t>Spreadtrum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000000">
            <w:pPr>
              <w:jc w:val="left"/>
              <w:rPr>
                <w:rStyle w:val="Hyperlink"/>
                <w:color w:val="0000FF"/>
                <w:lang w:val="en-US" w:eastAsia="sv-SE"/>
              </w:rPr>
            </w:pPr>
            <w:hyperlink r:id="rId64" w:history="1">
              <w:r w:rsidR="00AD32C9">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000000">
            <w:pPr>
              <w:jc w:val="left"/>
              <w:rPr>
                <w:rStyle w:val="Hyperlink"/>
                <w:color w:val="0000FF"/>
                <w:lang w:val="en-US" w:eastAsia="sv-SE"/>
              </w:rPr>
            </w:pPr>
            <w:hyperlink r:id="rId65" w:history="1">
              <w:r w:rsidR="00AD32C9">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000000">
            <w:pPr>
              <w:jc w:val="left"/>
              <w:rPr>
                <w:rStyle w:val="Hyperlink"/>
                <w:color w:val="0000FF"/>
                <w:lang w:val="en-US" w:eastAsia="sv-SE"/>
              </w:rPr>
            </w:pPr>
            <w:hyperlink r:id="rId66" w:history="1">
              <w:r w:rsidR="00AD32C9">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000000">
            <w:pPr>
              <w:jc w:val="left"/>
              <w:rPr>
                <w:rStyle w:val="Hyperlink"/>
                <w:color w:val="0000FF"/>
                <w:lang w:val="en-US" w:eastAsia="sv-SE"/>
              </w:rPr>
            </w:pPr>
            <w:hyperlink r:id="rId67" w:history="1">
              <w:r w:rsidR="00AD32C9">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Discussion on RedCap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 xml:space="preserve">ZTE, </w:t>
            </w:r>
            <w:proofErr w:type="spellStart"/>
            <w:r>
              <w:t>Sanechips</w:t>
            </w:r>
            <w:proofErr w:type="spellEnd"/>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000000">
            <w:pPr>
              <w:jc w:val="left"/>
              <w:rPr>
                <w:rStyle w:val="Hyperlink"/>
                <w:color w:val="0000FF"/>
                <w:lang w:val="en-US" w:eastAsia="sv-SE"/>
              </w:rPr>
            </w:pPr>
            <w:hyperlink r:id="rId68" w:history="1">
              <w:r w:rsidR="00AD32C9">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Correction on NCD-SSB related spec for RedCap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 xml:space="preserve">ZTE, </w:t>
            </w:r>
            <w:proofErr w:type="spellStart"/>
            <w:r>
              <w:t>Sanechips</w:t>
            </w:r>
            <w:proofErr w:type="spellEnd"/>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000000">
            <w:pPr>
              <w:jc w:val="left"/>
              <w:rPr>
                <w:rStyle w:val="Hyperlink"/>
                <w:color w:val="0000FF"/>
                <w:lang w:val="en-US" w:eastAsia="sv-SE"/>
              </w:rPr>
            </w:pPr>
            <w:hyperlink r:id="rId69" w:history="1">
              <w:r w:rsidR="00AD32C9">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Correction on NCD-SSB related spec for RedCap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 xml:space="preserve">ZTE, </w:t>
            </w:r>
            <w:proofErr w:type="spellStart"/>
            <w:r>
              <w:t>Sanechips</w:t>
            </w:r>
            <w:proofErr w:type="spellEnd"/>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000000">
            <w:pPr>
              <w:jc w:val="left"/>
              <w:rPr>
                <w:rStyle w:val="Hyperlink"/>
                <w:color w:val="0000FF"/>
                <w:lang w:val="en-US" w:eastAsia="sv-SE"/>
              </w:rPr>
            </w:pPr>
            <w:hyperlink r:id="rId70" w:history="1">
              <w:r w:rsidR="00AD32C9">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Correction on TDRA misalignment of PUSCH for RedCap</w:t>
            </w:r>
          </w:p>
        </w:tc>
        <w:tc>
          <w:tcPr>
            <w:tcW w:w="2551" w:type="dxa"/>
            <w:tcMar>
              <w:top w:w="0" w:type="dxa"/>
              <w:left w:w="70" w:type="dxa"/>
              <w:bottom w:w="0" w:type="dxa"/>
              <w:right w:w="70" w:type="dxa"/>
            </w:tcMar>
          </w:tcPr>
          <w:p w14:paraId="12F969C0" w14:textId="77777777" w:rsidR="00E60D24" w:rsidRDefault="00AD32C9">
            <w:pPr>
              <w:jc w:val="left"/>
              <w:rPr>
                <w:lang w:val="en-US"/>
              </w:rPr>
            </w:pPr>
            <w:r>
              <w:t xml:space="preserve">ZTE, </w:t>
            </w:r>
            <w:proofErr w:type="spellStart"/>
            <w:r>
              <w:t>Sanechips</w:t>
            </w:r>
            <w:proofErr w:type="spellEnd"/>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000000">
            <w:pPr>
              <w:jc w:val="left"/>
              <w:rPr>
                <w:rStyle w:val="Hyperlink"/>
                <w:color w:val="0000FF"/>
                <w:lang w:val="en-US" w:eastAsia="sv-SE"/>
              </w:rPr>
            </w:pPr>
            <w:hyperlink r:id="rId71" w:history="1">
              <w:r w:rsidR="00AD32C9">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000000">
            <w:pPr>
              <w:jc w:val="left"/>
              <w:rPr>
                <w:rStyle w:val="Hyperlink"/>
                <w:color w:val="0000FF"/>
                <w:lang w:val="en-US" w:eastAsia="sv-SE"/>
              </w:rPr>
            </w:pPr>
            <w:hyperlink r:id="rId72" w:history="1">
              <w:r w:rsidR="00AD32C9">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Editorial corrections for RedCap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000000">
            <w:pPr>
              <w:jc w:val="left"/>
              <w:rPr>
                <w:rStyle w:val="Hyperlink"/>
                <w:color w:val="0000FF"/>
                <w:lang w:val="en-US" w:eastAsia="sv-SE"/>
              </w:rPr>
            </w:pPr>
            <w:hyperlink r:id="rId73" w:history="1">
              <w:r w:rsidR="00AD32C9">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000000">
            <w:pPr>
              <w:jc w:val="left"/>
              <w:rPr>
                <w:rStyle w:val="Hyperlink"/>
                <w:color w:val="0000FF"/>
                <w:lang w:val="en-US" w:eastAsia="sv-SE"/>
              </w:rPr>
            </w:pPr>
            <w:hyperlink r:id="rId74" w:history="1">
              <w:r w:rsidR="00AD32C9">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lastRenderedPageBreak/>
              <w:t>[19]</w:t>
            </w:r>
          </w:p>
        </w:tc>
        <w:tc>
          <w:tcPr>
            <w:tcW w:w="1456" w:type="dxa"/>
            <w:tcMar>
              <w:top w:w="0" w:type="dxa"/>
              <w:left w:w="70" w:type="dxa"/>
              <w:bottom w:w="0" w:type="dxa"/>
              <w:right w:w="70" w:type="dxa"/>
            </w:tcMar>
          </w:tcPr>
          <w:p w14:paraId="377DAAD6" w14:textId="77777777" w:rsidR="00E60D24" w:rsidRDefault="00000000">
            <w:pPr>
              <w:jc w:val="left"/>
              <w:rPr>
                <w:rStyle w:val="Hyperlink"/>
                <w:color w:val="0000FF"/>
                <w:lang w:val="en-US" w:eastAsia="sv-SE"/>
              </w:rPr>
            </w:pPr>
            <w:hyperlink r:id="rId75" w:history="1">
              <w:r w:rsidR="00AD32C9">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000000">
            <w:pPr>
              <w:jc w:val="left"/>
              <w:rPr>
                <w:rStyle w:val="Hyperlink"/>
                <w:color w:val="0000FF"/>
                <w:lang w:val="en-US" w:eastAsia="sv-SE"/>
              </w:rPr>
            </w:pPr>
            <w:hyperlink r:id="rId76" w:history="1">
              <w:r w:rsidR="00AD32C9">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Correction on NCD-SSB for RedCap UE</w:t>
            </w:r>
          </w:p>
        </w:tc>
        <w:tc>
          <w:tcPr>
            <w:tcW w:w="2551" w:type="dxa"/>
            <w:tcMar>
              <w:top w:w="0" w:type="dxa"/>
              <w:left w:w="70" w:type="dxa"/>
              <w:bottom w:w="0" w:type="dxa"/>
              <w:right w:w="70" w:type="dxa"/>
            </w:tcMar>
          </w:tcPr>
          <w:p w14:paraId="3A0C59CD" w14:textId="77777777" w:rsidR="00E60D24" w:rsidRDefault="00AD32C9">
            <w:pPr>
              <w:jc w:val="left"/>
              <w:rPr>
                <w:lang w:val="en-US"/>
              </w:rPr>
            </w:pPr>
            <w:r>
              <w:t xml:space="preserve">Huawei, </w:t>
            </w:r>
            <w:proofErr w:type="spellStart"/>
            <w:r>
              <w:t>HiSilicon</w:t>
            </w:r>
            <w:proofErr w:type="spellEnd"/>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000000">
            <w:pPr>
              <w:jc w:val="left"/>
              <w:rPr>
                <w:rStyle w:val="Hyperlink"/>
                <w:color w:val="0000FF"/>
                <w:lang w:val="en-US" w:eastAsia="sv-SE"/>
              </w:rPr>
            </w:pPr>
            <w:hyperlink r:id="rId77" w:history="1">
              <w:r w:rsidR="00AD32C9">
                <w:rPr>
                  <w:rStyle w:val="Hyperlink"/>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Remaining issues on procedures of RedCap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000000">
            <w:pPr>
              <w:jc w:val="left"/>
            </w:pPr>
            <w:hyperlink r:id="rId78" w:history="1">
              <w:r w:rsidR="00AD32C9">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Correction on cancellation of PUSCH repetitions and TBoMS</w:t>
            </w:r>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000000">
            <w:pPr>
              <w:jc w:val="left"/>
            </w:pPr>
            <w:hyperlink r:id="rId79" w:history="1">
              <w:r w:rsidR="00AD32C9">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 xml:space="preserve">ZTE, </w:t>
            </w:r>
            <w:proofErr w:type="spellStart"/>
            <w:r>
              <w:t>Sanechips</w:t>
            </w:r>
            <w:proofErr w:type="spellEnd"/>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000000">
            <w:pPr>
              <w:jc w:val="left"/>
            </w:pPr>
            <w:hyperlink r:id="rId80" w:history="1">
              <w:r w:rsidR="00AD32C9">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 xml:space="preserve">ZTE, </w:t>
            </w:r>
            <w:proofErr w:type="spellStart"/>
            <w:r>
              <w:t>Sanechips</w:t>
            </w:r>
            <w:proofErr w:type="spellEnd"/>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000000">
            <w:pPr>
              <w:jc w:val="left"/>
            </w:pPr>
            <w:hyperlink r:id="rId81" w:history="1">
              <w:r w:rsidR="00AD32C9">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FL summary #1 on Rel-17 RedCap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t>[26]</w:t>
            </w:r>
          </w:p>
        </w:tc>
        <w:tc>
          <w:tcPr>
            <w:tcW w:w="1456" w:type="dxa"/>
            <w:tcMar>
              <w:top w:w="0" w:type="dxa"/>
              <w:left w:w="70" w:type="dxa"/>
              <w:bottom w:w="0" w:type="dxa"/>
              <w:right w:w="70" w:type="dxa"/>
            </w:tcMar>
          </w:tcPr>
          <w:p w14:paraId="43BBE8DB" w14:textId="77777777" w:rsidR="00E60D24" w:rsidRDefault="00000000">
            <w:pPr>
              <w:jc w:val="left"/>
            </w:pPr>
            <w:hyperlink r:id="rId82" w:history="1">
              <w:r w:rsidR="00AD32C9">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FL summary #2 on Rel-17 RedCap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D12C" w14:textId="77777777" w:rsidR="001C48DD" w:rsidRDefault="001C48DD">
      <w:pPr>
        <w:spacing w:line="240" w:lineRule="auto"/>
      </w:pPr>
      <w:r>
        <w:separator/>
      </w:r>
    </w:p>
  </w:endnote>
  <w:endnote w:type="continuationSeparator" w:id="0">
    <w:p w14:paraId="1A6230A7" w14:textId="77777777" w:rsidR="001C48DD" w:rsidRDefault="001C4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auto"/>
    <w:pitch w:val="default"/>
  </w:font>
  <w:font w:name="Noto Sans CJK SC">
    <w:altName w:val="Yu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88FB" w14:textId="77777777" w:rsidR="001C48DD" w:rsidRDefault="001C48DD">
      <w:pPr>
        <w:spacing w:after="0"/>
      </w:pPr>
      <w:r>
        <w:separator/>
      </w:r>
    </w:p>
  </w:footnote>
  <w:footnote w:type="continuationSeparator" w:id="0">
    <w:p w14:paraId="46CDC736" w14:textId="77777777" w:rsidR="001C48DD" w:rsidRDefault="001C48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hybridMultilevel"/>
    <w:tmpl w:val="4ED83FE2"/>
    <w:lvl w:ilvl="0" w:tplc="23027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219518">
    <w:abstractNumId w:val="2"/>
  </w:num>
  <w:num w:numId="2" w16cid:durableId="352658912">
    <w:abstractNumId w:val="5"/>
  </w:num>
  <w:num w:numId="3" w16cid:durableId="2066102655">
    <w:abstractNumId w:val="1"/>
  </w:num>
  <w:num w:numId="4" w16cid:durableId="291520416">
    <w:abstractNumId w:val="0"/>
  </w:num>
  <w:num w:numId="5" w16cid:durableId="1996259268">
    <w:abstractNumId w:val="9"/>
  </w:num>
  <w:num w:numId="6" w16cid:durableId="1184369583">
    <w:abstractNumId w:val="10"/>
    <w:lvlOverride w:ilvl="0">
      <w:startOverride w:val="1"/>
    </w:lvlOverride>
  </w:num>
  <w:num w:numId="7" w16cid:durableId="1564638546">
    <w:abstractNumId w:val="11"/>
  </w:num>
  <w:num w:numId="8" w16cid:durableId="781459138">
    <w:abstractNumId w:val="12"/>
  </w:num>
  <w:num w:numId="9" w16cid:durableId="477763982">
    <w:abstractNumId w:val="17"/>
  </w:num>
  <w:num w:numId="10" w16cid:durableId="1048993835">
    <w:abstractNumId w:val="6"/>
  </w:num>
  <w:num w:numId="11" w16cid:durableId="1922327416">
    <w:abstractNumId w:val="13"/>
  </w:num>
  <w:num w:numId="12" w16cid:durableId="242574344">
    <w:abstractNumId w:val="3"/>
  </w:num>
  <w:num w:numId="13" w16cid:durableId="431708063">
    <w:abstractNumId w:val="8"/>
  </w:num>
  <w:num w:numId="14" w16cid:durableId="987898132">
    <w:abstractNumId w:val="7"/>
  </w:num>
  <w:num w:numId="15" w16cid:durableId="631638257">
    <w:abstractNumId w:val="16"/>
  </w:num>
  <w:num w:numId="16" w16cid:durableId="38016562">
    <w:abstractNumId w:val="4"/>
  </w:num>
  <w:num w:numId="17" w16cid:durableId="916400055">
    <w:abstractNumId w:val="15"/>
  </w:num>
  <w:num w:numId="18" w16cid:durableId="365643425">
    <w:abstractNumId w:val="14"/>
  </w:num>
  <w:num w:numId="19" w16cid:durableId="14760698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785"/>
    <w:rsid w:val="001D4A1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6C075"/>
  <w15:docId w15:val="{081F165E-B023-4BAB-8655-D7A6162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26" Type="http://schemas.openxmlformats.org/officeDocument/2006/relationships/hyperlink" Target="https://www.3gpp.org/ftp/TSG_RAN/WG1_RL1/TSGR1_110b-e/Docs/R1-2209222.zip" TargetMode="External"/><Relationship Id="rId39" Type="http://schemas.openxmlformats.org/officeDocument/2006/relationships/hyperlink" Target="https://www.3gpp.org/ftp/Specs/archive/38_series/38.214/38214-h30.zip" TargetMode="External"/><Relationship Id="rId21" Type="http://schemas.openxmlformats.org/officeDocument/2006/relationships/hyperlink" Target="https://www.3gpp.org/ftp/Specs/archive/38_series/38.331/38331-h20.zip" TargetMode="External"/><Relationship Id="rId34" Type="http://schemas.openxmlformats.org/officeDocument/2006/relationships/hyperlink" Target="https://www.3gpp.org/ftp/tsg_ran/WG1_RL1/TSGR1_110/Docs/R1-2207729.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76" Type="http://schemas.openxmlformats.org/officeDocument/2006/relationships/hyperlink" Target="https://www.3gpp.org/ftp/TSG_RAN/WG1_RL1/TSGR1_110b-e/Docs/R1-2209850.zip"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8247.zip" TargetMode="External"/><Relationship Id="rId29" Type="http://schemas.openxmlformats.org/officeDocument/2006/relationships/hyperlink" Target="https://www.3gpp.org/ftp/TSG_RAN/WG1_RL1/TSGR1_110b-e/Docs/R1-2208360.zip" TargetMode="External"/><Relationship Id="rId11" Type="http://schemas.openxmlformats.org/officeDocument/2006/relationships/endnotes" Target="endnotes.xml"/><Relationship Id="rId24" Type="http://schemas.openxmlformats.org/officeDocument/2006/relationships/hyperlink" Target="https://www.3gpp.org/ftp/TSG_RAN/WG1_RL1/TSGR1_110b-e/Docs/R1-2208537.zip" TargetMode="Externa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66" Type="http://schemas.openxmlformats.org/officeDocument/2006/relationships/hyperlink" Target="https://www.3gpp.org/ftp/TSG_RAN/WG1_RL1/TSGR1_110b-e/Docs/R1-2209164.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0" Type="http://schemas.openxmlformats.org/officeDocument/2006/relationships/footnotes" Target="footnotes.xml"/><Relationship Id="rId19" Type="http://schemas.openxmlformats.org/officeDocument/2006/relationships/hyperlink" Target="https://www.3gpp.org/ftp/tsg_ran/WG1_RL1/TSGR1_110/Docs/R1-2208247.zip" TargetMode="Externa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500477F7-F0EC-4BF8-BDAD-18F3DDAB5EA9}">
  <ds:schemaRefs>
    <ds:schemaRef ds:uri="http://schemas.openxmlformats.org/officeDocument/2006/bibliography"/>
  </ds:schemaRefs>
</ds:datastoreItem>
</file>

<file path=customXml/itemProps3.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6868</Words>
  <Characters>39153</Characters>
  <Application>Microsoft Office Word</Application>
  <DocSecurity>0</DocSecurity>
  <Lines>326</Lines>
  <Paragraphs>91</Paragraphs>
  <ScaleCrop>false</ScaleCrop>
  <Company>Panasonic Corporation</Company>
  <LinksUpToDate>false</LinksUpToDate>
  <CharactersWithSpaces>45930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Jing Lei</cp:lastModifiedBy>
  <cp:revision>11</cp:revision>
  <dcterms:created xsi:type="dcterms:W3CDTF">2022-10-12T16:34:00Z</dcterms:created>
  <dcterms:modified xsi:type="dcterms:W3CDTF">2022-10-12T17:01:00Z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