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F6BB8" w14:textId="3F407495" w:rsidR="0022164B" w:rsidRPr="006029EB" w:rsidRDefault="0022164B" w:rsidP="0022164B">
      <w:pPr>
        <w:pStyle w:val="3GPPHeader"/>
        <w:spacing w:after="60"/>
        <w:rPr>
          <w:lang w:val="en-US"/>
        </w:rPr>
      </w:pPr>
      <w:r w:rsidRPr="006029EB">
        <w:rPr>
          <w:lang w:val="en-US"/>
        </w:rPr>
        <w:t>3GPP TSG-RAN WG1 #110</w:t>
      </w:r>
      <w:r w:rsidR="00D7759F" w:rsidRPr="006029EB">
        <w:rPr>
          <w:lang w:val="en-US"/>
        </w:rPr>
        <w:t>bis-e</w:t>
      </w:r>
      <w:r w:rsidRPr="006029EB">
        <w:rPr>
          <w:lang w:val="en-US"/>
        </w:rPr>
        <w:tab/>
      </w:r>
      <w:r w:rsidR="00B71F0B">
        <w:rPr>
          <w:rFonts w:ascii="Segoe UI" w:hAnsi="Segoe UI" w:cs="Segoe UI"/>
          <w:color w:val="242424"/>
          <w:shd w:val="clear" w:color="auto" w:fill="FFFFFF"/>
        </w:rPr>
        <w:t>R1-2210174</w:t>
      </w:r>
    </w:p>
    <w:p w14:paraId="2C52A207" w14:textId="61AC8F2C" w:rsidR="002B17C1" w:rsidRPr="00A06206" w:rsidRDefault="002B17C1" w:rsidP="0022164B">
      <w:pPr>
        <w:pStyle w:val="3GPPHeader"/>
      </w:pPr>
      <w:r w:rsidRPr="002B17C1">
        <w:t>e-meeting, October 10th –19th, 2022</w:t>
      </w:r>
    </w:p>
    <w:p w14:paraId="7064A0B2" w14:textId="33FD80B3" w:rsidR="009335B2" w:rsidRPr="00E94CEE" w:rsidRDefault="00E90E49" w:rsidP="00C031D1">
      <w:pPr>
        <w:pStyle w:val="3GPPHeader"/>
      </w:pPr>
      <w:r w:rsidRPr="0037429B">
        <w:t>Agenda Item:</w:t>
      </w:r>
      <w:r w:rsidRPr="0037429B">
        <w:tab/>
      </w:r>
      <w:r w:rsidR="0070603D" w:rsidRPr="00A97DDD">
        <w:t>9</w:t>
      </w:r>
      <w:r w:rsidR="00F32C5D" w:rsidRPr="00A97DDD">
        <w:t>.</w:t>
      </w:r>
      <w:r w:rsidR="0070603D" w:rsidRPr="00A97DDD">
        <w:t>5</w:t>
      </w:r>
      <w:r w:rsidR="00F32C5D" w:rsidRPr="00A97DDD">
        <w:t>.1.</w:t>
      </w:r>
      <w:r w:rsidR="00A97DDD" w:rsidRPr="006029EB">
        <w:t>1</w:t>
      </w:r>
    </w:p>
    <w:p w14:paraId="6EF2A4EE" w14:textId="77777777" w:rsidR="00E90E49" w:rsidRPr="0037429B" w:rsidRDefault="003D3C45" w:rsidP="00F64C2B">
      <w:pPr>
        <w:pStyle w:val="3GPPHeader"/>
      </w:pPr>
      <w:r w:rsidRPr="0037429B">
        <w:t>Source:</w:t>
      </w:r>
      <w:r w:rsidR="00E90E49" w:rsidRPr="0037429B">
        <w:tab/>
      </w:r>
      <w:r w:rsidR="00F64C2B" w:rsidRPr="0037429B">
        <w:t>Ericsson</w:t>
      </w:r>
    </w:p>
    <w:p w14:paraId="6DAE37EB" w14:textId="735D7939" w:rsidR="00E90E49" w:rsidRPr="0037429B" w:rsidRDefault="003D3C45" w:rsidP="00311702">
      <w:pPr>
        <w:pStyle w:val="3GPPHeader"/>
      </w:pPr>
      <w:r w:rsidRPr="0037429B">
        <w:t>Title:</w:t>
      </w:r>
      <w:r w:rsidR="00E90E49" w:rsidRPr="0037429B">
        <w:tab/>
      </w:r>
      <w:r w:rsidR="00A97DDD" w:rsidRPr="00A97DDD">
        <w:t>Evaluation of NR SL positioning and ranging</w:t>
      </w:r>
    </w:p>
    <w:p w14:paraId="65FEE822" w14:textId="7E836E28" w:rsidR="00E90E49" w:rsidRPr="00396C7C" w:rsidRDefault="00E90E49" w:rsidP="00DB6D1F">
      <w:pPr>
        <w:pStyle w:val="3GPPHeader"/>
      </w:pPr>
      <w:r w:rsidRPr="00396C7C">
        <w:t>Document for:</w:t>
      </w:r>
      <w:r w:rsidRPr="00396C7C">
        <w:tab/>
      </w:r>
      <w:r w:rsidRPr="00273A4F">
        <w:t>Discussion, Decision</w:t>
      </w:r>
    </w:p>
    <w:p w14:paraId="7F1C5C6E" w14:textId="42EE78CE" w:rsidR="00E90E49" w:rsidRPr="006F1DAC" w:rsidRDefault="00E90E49" w:rsidP="006F1DAC">
      <w:pPr>
        <w:pStyle w:val="Heading1"/>
      </w:pPr>
      <w:r w:rsidRPr="006F1DAC">
        <w:t>Introduction</w:t>
      </w:r>
    </w:p>
    <w:p w14:paraId="217405E7" w14:textId="4C0BF1B1" w:rsidR="007F7247" w:rsidRDefault="007F7247" w:rsidP="001673F3">
      <w:r w:rsidRPr="0037429B">
        <w:t xml:space="preserve">In this contribution we provide our </w:t>
      </w:r>
      <w:r w:rsidR="002A4EE0">
        <w:t>s</w:t>
      </w:r>
      <w:r w:rsidR="00EB76DE">
        <w:t>imulation results for</w:t>
      </w:r>
      <w:r w:rsidR="002A4EE0">
        <w:t xml:space="preserve"> positioning and ranging. The simulations focus on the V2X Highway deployment</w:t>
      </w:r>
      <w:r w:rsidR="00B9113A">
        <w:t xml:space="preserve">. </w:t>
      </w:r>
      <w:r w:rsidR="002A4EE0">
        <w:t>In the appendix the simulation results are tabulated.</w:t>
      </w:r>
    </w:p>
    <w:p w14:paraId="63E80E11" w14:textId="77777777" w:rsidR="0012448B" w:rsidRPr="00AE5129" w:rsidRDefault="0012448B" w:rsidP="0012448B">
      <w:pPr>
        <w:rPr>
          <w:rFonts w:cstheme="minorHAnsi"/>
        </w:rPr>
      </w:pPr>
    </w:p>
    <w:p w14:paraId="0FE22FDD" w14:textId="0B7C8DE3" w:rsidR="007B0B4E" w:rsidRPr="00AE5129" w:rsidRDefault="0062732C" w:rsidP="0062732C">
      <w:pPr>
        <w:pStyle w:val="Heading1"/>
        <w:rPr>
          <w:rFonts w:asciiTheme="minorHAnsi" w:hAnsiTheme="minorHAnsi" w:cstheme="minorHAnsi"/>
        </w:rPr>
      </w:pPr>
      <w:r w:rsidRPr="00AE5129">
        <w:rPr>
          <w:rFonts w:asciiTheme="minorHAnsi" w:hAnsiTheme="minorHAnsi" w:cstheme="minorHAnsi"/>
        </w:rPr>
        <w:t>Simulation results</w:t>
      </w:r>
    </w:p>
    <w:p w14:paraId="046D8231" w14:textId="7E49CE97" w:rsidR="00FD47DA" w:rsidRPr="006029EB" w:rsidRDefault="00D7759F">
      <w:pPr>
        <w:pStyle w:val="Heading2"/>
      </w:pPr>
      <w:bookmarkStart w:id="0" w:name="_Ref111129351"/>
      <w:r w:rsidRPr="00FD47DA">
        <w:rPr>
          <w:rFonts w:asciiTheme="minorHAnsi" w:hAnsiTheme="minorHAnsi" w:cstheme="minorHAnsi"/>
        </w:rPr>
        <w:t>Positioning</w:t>
      </w:r>
    </w:p>
    <w:p w14:paraId="7B0171DB" w14:textId="77777777" w:rsidR="00980AE8" w:rsidRDefault="00FD47DA" w:rsidP="00D7759F">
      <w:pPr>
        <w:rPr>
          <w:lang w:val="en-GB"/>
        </w:rPr>
      </w:pPr>
      <w:proofErr w:type="gramStart"/>
      <w:r>
        <w:rPr>
          <w:lang w:val="en-GB"/>
        </w:rPr>
        <w:t>A number of</w:t>
      </w:r>
      <w:proofErr w:type="gramEnd"/>
      <w:r>
        <w:rPr>
          <w:lang w:val="en-GB"/>
        </w:rPr>
        <w:t xml:space="preserve"> use cases are agreed to be evaluated. In this contribution we are presenting results for the V2X highway scenario. </w:t>
      </w:r>
      <w:r w:rsidR="00F84818">
        <w:rPr>
          <w:lang w:val="en-GB"/>
        </w:rPr>
        <w:t>In the previous meeting the following agreement was made related to V2X positioning.</w:t>
      </w:r>
    </w:p>
    <w:p w14:paraId="3744305C" w14:textId="77777777" w:rsidR="00D53A5B" w:rsidRDefault="00D53A5B" w:rsidP="00D7759F">
      <w:pPr>
        <w:rPr>
          <w:lang w:val="en-GB"/>
        </w:rPr>
      </w:pPr>
    </w:p>
    <w:tbl>
      <w:tblPr>
        <w:tblStyle w:val="TableGrid"/>
        <w:tblW w:w="0" w:type="auto"/>
        <w:tblLook w:val="04A0" w:firstRow="1" w:lastRow="0" w:firstColumn="1" w:lastColumn="0" w:noHBand="0" w:noVBand="1"/>
      </w:tblPr>
      <w:tblGrid>
        <w:gridCol w:w="9629"/>
      </w:tblGrid>
      <w:tr w:rsidR="00980AE8" w14:paraId="5C44FBFF" w14:textId="77777777" w:rsidTr="00980AE8">
        <w:tc>
          <w:tcPr>
            <w:tcW w:w="9629" w:type="dxa"/>
          </w:tcPr>
          <w:p w14:paraId="3E159013" w14:textId="78E57DF3" w:rsidR="00980AE8" w:rsidRDefault="00980AE8" w:rsidP="00D7759F">
            <w:pPr>
              <w:rPr>
                <w:lang w:val="en-GB"/>
              </w:rPr>
            </w:pPr>
            <w:r w:rsidRPr="00F84818">
              <w:drawing>
                <wp:inline distT="0" distB="0" distL="0" distR="0" wp14:anchorId="171DD535" wp14:editId="6E890487">
                  <wp:extent cx="6120765" cy="2514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514600"/>
                          </a:xfrm>
                          <a:prstGeom prst="rect">
                            <a:avLst/>
                          </a:prstGeom>
                        </pic:spPr>
                      </pic:pic>
                    </a:graphicData>
                  </a:graphic>
                </wp:inline>
              </w:drawing>
            </w:r>
          </w:p>
        </w:tc>
      </w:tr>
    </w:tbl>
    <w:p w14:paraId="048D7596" w14:textId="45D340D3" w:rsidR="00D7759F" w:rsidRDefault="00F84818" w:rsidP="00D7759F">
      <w:r w:rsidRPr="00F84818" w:rsidDel="00980AE8">
        <w:lastRenderedPageBreak/>
        <w:drawing>
          <wp:inline distT="0" distB="0" distL="0" distR="0" wp14:anchorId="767EC1F5" wp14:editId="4F60E84C">
            <wp:extent cx="6120765" cy="2514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514600"/>
                    </a:xfrm>
                    <a:prstGeom prst="rect">
                      <a:avLst/>
                    </a:prstGeom>
                  </pic:spPr>
                </pic:pic>
              </a:graphicData>
            </a:graphic>
          </wp:inline>
        </w:drawing>
      </w:r>
    </w:p>
    <w:p w14:paraId="31B483A5" w14:textId="6E882011" w:rsidR="00F84818" w:rsidRDefault="00F84818" w:rsidP="00D7759F">
      <w:proofErr w:type="gramStart"/>
      <w:r>
        <w:rPr>
          <w:lang w:val="en-GB"/>
        </w:rPr>
        <w:t>In order to</w:t>
      </w:r>
      <w:proofErr w:type="gramEnd"/>
      <w:r>
        <w:rPr>
          <w:lang w:val="en-GB"/>
        </w:rPr>
        <w:t xml:space="preserve"> develop</w:t>
      </w:r>
      <w:r w:rsidR="00551C4C">
        <w:rPr>
          <w:lang w:val="en-GB"/>
        </w:rPr>
        <w:t xml:space="preserve"> an</w:t>
      </w:r>
      <w:r>
        <w:rPr>
          <w:lang w:val="en-GB"/>
        </w:rPr>
        <w:t xml:space="preserve"> understanding of the achievable performance and impact of certain design choices, simulations for the agreed </w:t>
      </w:r>
      <w:r w:rsidR="00551C4C">
        <w:rPr>
          <w:lang w:val="en-GB"/>
        </w:rPr>
        <w:t>h</w:t>
      </w:r>
      <w:r>
        <w:rPr>
          <w:lang w:val="en-GB"/>
        </w:rPr>
        <w:t xml:space="preserve">ighway scenario have been performed. The deployment is </w:t>
      </w:r>
      <w:r w:rsidR="009E1EEF">
        <w:rPr>
          <w:lang w:val="en-GB"/>
        </w:rPr>
        <w:t>shown</w:t>
      </w:r>
      <w:r>
        <w:rPr>
          <w:lang w:val="en-GB"/>
        </w:rPr>
        <w:t xml:space="preserve"> in</w:t>
      </w:r>
      <w:r w:rsidR="009E1EEF">
        <w:rPr>
          <w:lang w:val="en-GB"/>
        </w:rPr>
        <w:t xml:space="preserve"> </w:t>
      </w:r>
      <w:r w:rsidR="009E1EEF">
        <w:fldChar w:fldCharType="begin"/>
      </w:r>
      <w:r w:rsidR="009E1EEF">
        <w:rPr>
          <w:lang w:val="en-GB"/>
        </w:rPr>
        <w:instrText xml:space="preserve"> REF _Ref115436005 \h </w:instrText>
      </w:r>
      <w:r w:rsidR="009E1EEF">
        <w:fldChar w:fldCharType="separate"/>
      </w:r>
      <w:r w:rsidR="0052429E">
        <w:t xml:space="preserve">Figure </w:t>
      </w:r>
      <w:r w:rsidR="0052429E">
        <w:rPr>
          <w:noProof/>
        </w:rPr>
        <w:t>1</w:t>
      </w:r>
      <w:r w:rsidR="009E1EEF">
        <w:fldChar w:fldCharType="end"/>
      </w:r>
      <w:r w:rsidR="009E1EEF">
        <w:rPr>
          <w:lang w:val="en-GB"/>
        </w:rPr>
        <w:t xml:space="preserve">, showing the hexagonal three-sector site macro deployment, as well as the UE-RSUs and UEs. Additionally, the </w:t>
      </w:r>
      <w:r w:rsidR="00C617EE">
        <w:rPr>
          <w:lang w:val="en-GB"/>
        </w:rPr>
        <w:t>lanes</w:t>
      </w:r>
      <w:r w:rsidR="009E1EEF">
        <w:rPr>
          <w:lang w:val="en-GB"/>
        </w:rPr>
        <w:t xml:space="preserve"> of the highway </w:t>
      </w:r>
      <w:r w:rsidR="00C617EE">
        <w:rPr>
          <w:lang w:val="en-GB"/>
        </w:rPr>
        <w:t>are</w:t>
      </w:r>
      <w:r w:rsidR="009E1EEF">
        <w:rPr>
          <w:lang w:val="en-GB"/>
        </w:rPr>
        <w:t xml:space="preserve"> shown in blue,</w:t>
      </w:r>
      <w:r>
        <w:rPr>
          <w:lang w:val="en-GB"/>
        </w:rPr>
        <w:t xml:space="preserve"> </w:t>
      </w:r>
      <w:r w:rsidR="009E1EEF">
        <w:rPr>
          <w:lang w:val="en-GB"/>
        </w:rPr>
        <w:t xml:space="preserve">and the orientation of the different nodes are shown with line segments. </w:t>
      </w:r>
      <w:r w:rsidR="00C617EE">
        <w:rPr>
          <w:lang w:val="en-GB"/>
        </w:rPr>
        <w:t>It can also be observed that UEs are dropped at the centre of the deployment, essentially within the centre most macro cell.</w:t>
      </w:r>
    </w:p>
    <w:p w14:paraId="68C7A42A" w14:textId="4DF1C409" w:rsidR="009E1EEF" w:rsidRDefault="009E1EEF" w:rsidP="00D7759F"/>
    <w:p w14:paraId="53804F21" w14:textId="77777777" w:rsidR="009E1EEF" w:rsidRDefault="009E1EEF" w:rsidP="009E1EEF">
      <w:pPr>
        <w:rPr>
          <w:lang w:val="sv-SE"/>
        </w:rPr>
      </w:pPr>
      <w:r>
        <w:rPr>
          <w:noProof/>
          <w:lang w:val="sv-SE"/>
        </w:rPr>
        <w:drawing>
          <wp:inline distT="0" distB="0" distL="0" distR="0" wp14:anchorId="5331D605" wp14:editId="39EC52B6">
            <wp:extent cx="5334000" cy="399605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4000" cy="3996055"/>
                    </a:xfrm>
                    <a:prstGeom prst="rect">
                      <a:avLst/>
                    </a:prstGeom>
                    <a:noFill/>
                    <a:ln>
                      <a:noFill/>
                    </a:ln>
                  </pic:spPr>
                </pic:pic>
              </a:graphicData>
            </a:graphic>
          </wp:inline>
        </w:drawing>
      </w:r>
    </w:p>
    <w:p w14:paraId="7C68953A" w14:textId="5BD8D73A" w:rsidR="009E1EEF" w:rsidRPr="005251FB" w:rsidRDefault="009E1EEF" w:rsidP="009E1EEF">
      <w:pPr>
        <w:pStyle w:val="Caption"/>
      </w:pPr>
      <w:bookmarkStart w:id="1" w:name="_Ref115436005"/>
      <w:bookmarkStart w:id="2" w:name="_Ref115435997"/>
      <w:r>
        <w:t xml:space="preserve">Figure </w:t>
      </w:r>
      <w:r>
        <w:fldChar w:fldCharType="begin"/>
      </w:r>
      <w:r>
        <w:instrText xml:space="preserve"> SEQ Figure \* ARABIC </w:instrText>
      </w:r>
      <w:r w:rsidR="0006181A">
        <w:fldChar w:fldCharType="separate"/>
      </w:r>
      <w:r w:rsidR="0052429E">
        <w:rPr>
          <w:noProof/>
        </w:rPr>
        <w:t>1</w:t>
      </w:r>
      <w:r>
        <w:rPr>
          <w:noProof/>
        </w:rPr>
        <w:fldChar w:fldCharType="end"/>
      </w:r>
      <w:bookmarkEnd w:id="1"/>
      <w:r>
        <w:t>: Highway deployment</w:t>
      </w:r>
      <w:r w:rsidR="00C617EE">
        <w:t xml:space="preserve"> with macro gNBs (red circle), UE RSUs (blue cross) and vehicular UEs (green dot)</w:t>
      </w:r>
      <w:r>
        <w:t xml:space="preserve">, including lines indicating </w:t>
      </w:r>
      <w:r w:rsidR="00C617EE">
        <w:t>node</w:t>
      </w:r>
      <w:r>
        <w:t xml:space="preserve"> orientations.</w:t>
      </w:r>
      <w:bookmarkEnd w:id="2"/>
    </w:p>
    <w:p w14:paraId="4EFA72DF" w14:textId="63C74C97" w:rsidR="009E1EEF" w:rsidRDefault="00C617EE" w:rsidP="00D7759F">
      <w:r>
        <w:rPr>
          <w:lang w:val="en-GB"/>
        </w:rPr>
        <w:t xml:space="preserve">Simulations are following the agreed simulation assumptions, with details found in </w:t>
      </w:r>
      <w:r>
        <w:fldChar w:fldCharType="begin"/>
      </w:r>
      <w:r>
        <w:rPr>
          <w:lang w:val="en-GB"/>
        </w:rPr>
        <w:instrText xml:space="preserve"> REF _Ref115437259 \h </w:instrText>
      </w:r>
      <w:r>
        <w:fldChar w:fldCharType="separate"/>
      </w:r>
      <w:r w:rsidR="0052429E">
        <w:t xml:space="preserve">Table </w:t>
      </w:r>
      <w:r w:rsidR="0052429E">
        <w:rPr>
          <w:noProof/>
        </w:rPr>
        <w:t>1</w:t>
      </w:r>
      <w:r>
        <w:fldChar w:fldCharType="end"/>
      </w:r>
      <w:r>
        <w:rPr>
          <w:lang w:val="en-GB"/>
        </w:rPr>
        <w:t xml:space="preserve"> and </w:t>
      </w:r>
      <w:r>
        <w:fldChar w:fldCharType="begin"/>
      </w:r>
      <w:r>
        <w:rPr>
          <w:lang w:val="en-GB"/>
        </w:rPr>
        <w:instrText xml:space="preserve"> REF _Ref115437268 \h </w:instrText>
      </w:r>
      <w:r>
        <w:fldChar w:fldCharType="separate"/>
      </w:r>
      <w:r w:rsidR="0052429E">
        <w:t xml:space="preserve">Table </w:t>
      </w:r>
      <w:r w:rsidR="0052429E">
        <w:rPr>
          <w:noProof/>
        </w:rPr>
        <w:t>2</w:t>
      </w:r>
      <w:r>
        <w:fldChar w:fldCharType="end"/>
      </w:r>
      <w:r>
        <w:rPr>
          <w:lang w:val="en-GB"/>
        </w:rPr>
        <w:t>.</w:t>
      </w:r>
    </w:p>
    <w:p w14:paraId="60EF5D09" w14:textId="6FD228AD" w:rsidR="00C617EE" w:rsidRDefault="00C617EE" w:rsidP="006029EB">
      <w:pPr>
        <w:pStyle w:val="Caption"/>
        <w:keepNext/>
        <w:jc w:val="center"/>
      </w:pPr>
      <w:bookmarkStart w:id="3" w:name="_Ref115437259"/>
      <w:r>
        <w:lastRenderedPageBreak/>
        <w:t xml:space="preserve">Table </w:t>
      </w:r>
      <w:r>
        <w:fldChar w:fldCharType="begin"/>
      </w:r>
      <w:r>
        <w:instrText xml:space="preserve"> SEQ Table \* ARABIC </w:instrText>
      </w:r>
      <w:r>
        <w:fldChar w:fldCharType="separate"/>
      </w:r>
      <w:r w:rsidR="0052429E">
        <w:rPr>
          <w:noProof/>
        </w:rPr>
        <w:t>1</w:t>
      </w:r>
      <w:r>
        <w:rPr>
          <w:noProof/>
        </w:rPr>
        <w:fldChar w:fldCharType="end"/>
      </w:r>
      <w:bookmarkEnd w:id="3"/>
      <w:r>
        <w:t>: Simulation parameters</w:t>
      </w:r>
    </w:p>
    <w:tbl>
      <w:tblPr>
        <w:tblW w:w="5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6"/>
        <w:gridCol w:w="3242"/>
      </w:tblGrid>
      <w:tr w:rsidR="00C617EE" w:rsidRPr="00790A20" w14:paraId="66E3017F" w14:textId="77777777" w:rsidTr="006029EB">
        <w:trPr>
          <w:trHeight w:val="98"/>
          <w:jc w:val="center"/>
        </w:trPr>
        <w:tc>
          <w:tcPr>
            <w:tcW w:w="2696" w:type="dxa"/>
            <w:vAlign w:val="center"/>
          </w:tcPr>
          <w:p w14:paraId="59D10985" w14:textId="77777777" w:rsidR="00C617EE" w:rsidRPr="00790A20" w:rsidRDefault="00C617EE" w:rsidP="00E57288">
            <w:pPr>
              <w:pStyle w:val="TAH"/>
              <w:rPr>
                <w:lang w:val="en-US" w:eastAsia="zh-CN"/>
              </w:rPr>
            </w:pPr>
            <w:r>
              <w:rPr>
                <w:lang w:val="en-US" w:eastAsia="zh-CN"/>
              </w:rPr>
              <w:t>Parameter</w:t>
            </w:r>
          </w:p>
        </w:tc>
        <w:tc>
          <w:tcPr>
            <w:tcW w:w="3242" w:type="dxa"/>
            <w:hideMark/>
          </w:tcPr>
          <w:p w14:paraId="43672429" w14:textId="77777777" w:rsidR="00C617EE" w:rsidRPr="00790A20" w:rsidRDefault="00C617EE" w:rsidP="00E57288">
            <w:pPr>
              <w:pStyle w:val="TAH"/>
              <w:rPr>
                <w:sz w:val="20"/>
                <w:lang w:val="en-US" w:eastAsia="zh-CN"/>
              </w:rPr>
            </w:pPr>
            <w:r w:rsidRPr="00790A20">
              <w:rPr>
                <w:sz w:val="20"/>
                <w:lang w:val="en-US" w:eastAsia="zh-CN"/>
              </w:rPr>
              <w:t>Value</w:t>
            </w:r>
          </w:p>
        </w:tc>
      </w:tr>
      <w:tr w:rsidR="00C617EE" w:rsidRPr="00790A20" w14:paraId="09A36AA4" w14:textId="77777777" w:rsidTr="006029EB">
        <w:trPr>
          <w:trHeight w:val="122"/>
          <w:jc w:val="center"/>
        </w:trPr>
        <w:tc>
          <w:tcPr>
            <w:tcW w:w="2696" w:type="dxa"/>
            <w:vAlign w:val="center"/>
          </w:tcPr>
          <w:p w14:paraId="2DBD65B7" w14:textId="272FC6B5" w:rsidR="00C617EE" w:rsidRPr="00790A20" w:rsidRDefault="00C617EE" w:rsidP="00872A2E">
            <w:pPr>
              <w:pStyle w:val="TAL"/>
              <w:rPr>
                <w:lang w:val="en-US" w:eastAsia="zh-CN"/>
              </w:rPr>
            </w:pPr>
            <w:r w:rsidRPr="00790A20">
              <w:rPr>
                <w:lang w:val="en-US" w:eastAsia="zh-CN"/>
              </w:rPr>
              <w:t>Carrier frequency, GHz</w:t>
            </w:r>
          </w:p>
        </w:tc>
        <w:tc>
          <w:tcPr>
            <w:tcW w:w="3242" w:type="dxa"/>
            <w:vAlign w:val="center"/>
          </w:tcPr>
          <w:p w14:paraId="55F3EBA1" w14:textId="77777777" w:rsidR="00C617EE" w:rsidRPr="00790A20" w:rsidRDefault="00C617EE" w:rsidP="00872A2E">
            <w:pPr>
              <w:pStyle w:val="TAL"/>
              <w:rPr>
                <w:szCs w:val="18"/>
                <w:lang w:val="en-US" w:eastAsia="zh-CN"/>
              </w:rPr>
            </w:pPr>
            <w:r>
              <w:rPr>
                <w:szCs w:val="18"/>
                <w:lang w:val="en-US" w:eastAsia="zh-CN"/>
              </w:rPr>
              <w:t>4</w:t>
            </w:r>
            <w:r w:rsidRPr="00790A20">
              <w:rPr>
                <w:szCs w:val="18"/>
                <w:lang w:val="en-US" w:eastAsia="zh-CN"/>
              </w:rPr>
              <w:t>GHz</w:t>
            </w:r>
            <w:r>
              <w:rPr>
                <w:szCs w:val="18"/>
                <w:lang w:val="en-US" w:eastAsia="zh-CN"/>
              </w:rPr>
              <w:t xml:space="preserve"> (</w:t>
            </w:r>
            <w:proofErr w:type="spellStart"/>
            <w:r>
              <w:rPr>
                <w:szCs w:val="18"/>
                <w:lang w:val="en-US" w:eastAsia="zh-CN"/>
              </w:rPr>
              <w:t>Uu</w:t>
            </w:r>
            <w:proofErr w:type="spellEnd"/>
            <w:r>
              <w:rPr>
                <w:szCs w:val="18"/>
                <w:lang w:val="en-US" w:eastAsia="zh-CN"/>
              </w:rPr>
              <w:t>), 6GHz (SL)</w:t>
            </w:r>
          </w:p>
        </w:tc>
      </w:tr>
      <w:tr w:rsidR="00C617EE" w:rsidRPr="00790A20" w14:paraId="2E3FF915" w14:textId="77777777" w:rsidTr="006029EB">
        <w:trPr>
          <w:trHeight w:val="84"/>
          <w:jc w:val="center"/>
        </w:trPr>
        <w:tc>
          <w:tcPr>
            <w:tcW w:w="2696" w:type="dxa"/>
            <w:hideMark/>
          </w:tcPr>
          <w:p w14:paraId="5D3EBF50" w14:textId="77777777" w:rsidR="00C617EE" w:rsidRPr="00790A20" w:rsidRDefault="00C617EE" w:rsidP="00872A2E">
            <w:pPr>
              <w:pStyle w:val="TAL"/>
              <w:rPr>
                <w:lang w:val="en-US" w:eastAsia="zh-CN"/>
              </w:rPr>
            </w:pPr>
            <w:r w:rsidRPr="00790A20">
              <w:rPr>
                <w:lang w:val="en-US" w:eastAsia="zh-CN"/>
              </w:rPr>
              <w:t>Bandwidth</w:t>
            </w:r>
            <w:r>
              <w:rPr>
                <w:lang w:val="en-US" w:eastAsia="zh-CN"/>
              </w:rPr>
              <w:t xml:space="preserve"> for all links</w:t>
            </w:r>
            <w:r w:rsidRPr="00790A20">
              <w:rPr>
                <w:lang w:val="en-US" w:eastAsia="zh-CN"/>
              </w:rPr>
              <w:t>, MHz</w:t>
            </w:r>
          </w:p>
        </w:tc>
        <w:tc>
          <w:tcPr>
            <w:tcW w:w="3242" w:type="dxa"/>
            <w:hideMark/>
          </w:tcPr>
          <w:p w14:paraId="4B3E4092" w14:textId="6EE6E7E4" w:rsidR="00C617EE" w:rsidRPr="00872A2E" w:rsidRDefault="00C617EE" w:rsidP="00872A2E">
            <w:pPr>
              <w:pStyle w:val="TAL"/>
              <w:rPr>
                <w:lang w:val="en-US" w:eastAsia="zh-CN"/>
              </w:rPr>
            </w:pPr>
            <w:r w:rsidRPr="00872A2E">
              <w:rPr>
                <w:lang w:val="en-US" w:eastAsia="zh-CN"/>
              </w:rPr>
              <w:t>[10 20 100] MHz</w:t>
            </w:r>
          </w:p>
        </w:tc>
      </w:tr>
      <w:tr w:rsidR="00C617EE" w:rsidRPr="00790A20" w14:paraId="3DB86521" w14:textId="77777777" w:rsidTr="006029EB">
        <w:trPr>
          <w:trHeight w:val="258"/>
          <w:jc w:val="center"/>
        </w:trPr>
        <w:tc>
          <w:tcPr>
            <w:tcW w:w="2696" w:type="dxa"/>
            <w:hideMark/>
          </w:tcPr>
          <w:p w14:paraId="67435E83" w14:textId="77777777" w:rsidR="00C617EE" w:rsidRPr="00790A20" w:rsidRDefault="00C617EE" w:rsidP="00872A2E">
            <w:pPr>
              <w:pStyle w:val="TAL"/>
              <w:rPr>
                <w:lang w:val="en-US" w:eastAsia="zh-CN"/>
              </w:rPr>
            </w:pPr>
            <w:r w:rsidRPr="00790A20">
              <w:rPr>
                <w:lang w:val="en-US" w:eastAsia="zh-CN"/>
              </w:rPr>
              <w:t>Subcarrier spacing, kHz</w:t>
            </w:r>
          </w:p>
        </w:tc>
        <w:tc>
          <w:tcPr>
            <w:tcW w:w="3242" w:type="dxa"/>
            <w:hideMark/>
          </w:tcPr>
          <w:p w14:paraId="1E8DB729" w14:textId="2B5B0360" w:rsidR="00C617EE" w:rsidRPr="00872A2E" w:rsidRDefault="00C617EE" w:rsidP="00872A2E">
            <w:pPr>
              <w:pStyle w:val="TAL"/>
              <w:rPr>
                <w:lang w:val="en-US" w:eastAsia="zh-CN"/>
              </w:rPr>
            </w:pPr>
            <w:r w:rsidRPr="00872A2E">
              <w:rPr>
                <w:lang w:val="en-US" w:eastAsia="zh-CN"/>
              </w:rPr>
              <w:t>30kHz</w:t>
            </w:r>
          </w:p>
        </w:tc>
      </w:tr>
      <w:tr w:rsidR="00C617EE" w:rsidRPr="00790A20" w14:paraId="44DC5483" w14:textId="77777777" w:rsidTr="006029EB">
        <w:trPr>
          <w:trHeight w:val="61"/>
          <w:jc w:val="center"/>
        </w:trPr>
        <w:tc>
          <w:tcPr>
            <w:tcW w:w="2696" w:type="dxa"/>
          </w:tcPr>
          <w:p w14:paraId="660C7688" w14:textId="77777777" w:rsidR="00C617EE" w:rsidRPr="00790A20" w:rsidRDefault="00C617EE" w:rsidP="00872A2E">
            <w:pPr>
              <w:pStyle w:val="TAL"/>
              <w:rPr>
                <w:lang w:val="en-US" w:eastAsia="zh-CN"/>
              </w:rPr>
            </w:pPr>
            <w:r>
              <w:rPr>
                <w:lang w:val="en-US" w:eastAsia="zh-CN"/>
              </w:rPr>
              <w:t>gNB channel model</w:t>
            </w:r>
          </w:p>
        </w:tc>
        <w:tc>
          <w:tcPr>
            <w:tcW w:w="3242" w:type="dxa"/>
          </w:tcPr>
          <w:p w14:paraId="072C2D8E" w14:textId="77777777" w:rsidR="00C617EE" w:rsidRPr="00872A2E" w:rsidRDefault="00C617EE" w:rsidP="00872A2E">
            <w:pPr>
              <w:pStyle w:val="TAL"/>
              <w:rPr>
                <w:lang w:val="en-US" w:eastAsia="zh-CN"/>
              </w:rPr>
            </w:pPr>
            <w:r w:rsidRPr="00872A2E">
              <w:rPr>
                <w:lang w:val="en-US" w:eastAsia="zh-CN"/>
              </w:rPr>
              <w:t>TR38901 5G RURAL MACRO</w:t>
            </w:r>
          </w:p>
        </w:tc>
      </w:tr>
      <w:tr w:rsidR="00C617EE" w:rsidRPr="00790A20" w14:paraId="6D214120" w14:textId="77777777" w:rsidTr="006029EB">
        <w:trPr>
          <w:trHeight w:val="122"/>
          <w:jc w:val="center"/>
        </w:trPr>
        <w:tc>
          <w:tcPr>
            <w:tcW w:w="2696" w:type="dxa"/>
            <w:vAlign w:val="center"/>
            <w:hideMark/>
          </w:tcPr>
          <w:p w14:paraId="53A2FAB5" w14:textId="77777777" w:rsidR="00C617EE" w:rsidRPr="00790A20" w:rsidRDefault="00C617EE" w:rsidP="00872A2E">
            <w:pPr>
              <w:pStyle w:val="TAL"/>
              <w:rPr>
                <w:lang w:val="en-US" w:eastAsia="zh-CN"/>
              </w:rPr>
            </w:pPr>
            <w:r>
              <w:rPr>
                <w:lang w:val="en-US" w:eastAsia="zh-CN"/>
              </w:rPr>
              <w:t>UE-RSU channel model</w:t>
            </w:r>
          </w:p>
        </w:tc>
        <w:tc>
          <w:tcPr>
            <w:tcW w:w="3242" w:type="dxa"/>
            <w:vAlign w:val="center"/>
            <w:hideMark/>
          </w:tcPr>
          <w:p w14:paraId="2E78D8C8" w14:textId="77777777" w:rsidR="00C617EE" w:rsidRPr="00872A2E" w:rsidRDefault="00C617EE" w:rsidP="00872A2E">
            <w:pPr>
              <w:pStyle w:val="TAL"/>
              <w:rPr>
                <w:lang w:val="en-US" w:eastAsia="zh-CN"/>
              </w:rPr>
            </w:pPr>
            <w:r w:rsidRPr="00872A2E">
              <w:rPr>
                <w:lang w:val="en-US" w:eastAsia="zh-CN"/>
              </w:rPr>
              <w:t>TR37885 5G V2V HIGHWAY</w:t>
            </w:r>
          </w:p>
        </w:tc>
      </w:tr>
    </w:tbl>
    <w:p w14:paraId="2EB66D02" w14:textId="604403A3" w:rsidR="0052429E" w:rsidRDefault="00C617EE" w:rsidP="0008750F">
      <w:pPr>
        <w:pStyle w:val="Caption"/>
      </w:pPr>
      <w:r>
        <w:fldChar w:fldCharType="begin"/>
      </w:r>
      <w:r>
        <w:instrText xml:space="preserve"> REF _Ref115437350 \h </w:instrText>
      </w:r>
      <w:r>
        <w:fldChar w:fldCharType="separate"/>
      </w:r>
    </w:p>
    <w:p w14:paraId="08AE8DE9" w14:textId="0BDA6D11" w:rsidR="008D365E" w:rsidRDefault="00862017" w:rsidP="008D365E">
      <w:pPr>
        <w:keepNext/>
      </w:pPr>
      <w:r w:rsidRPr="006029EB">
        <w:rPr>
          <w:lang w:val="en-US"/>
        </w:rPr>
        <w:t xml:space="preserve">In </w:t>
      </w:r>
      <w:r w:rsidR="0052429E">
        <w:t xml:space="preserve">Figure </w:t>
      </w:r>
      <w:r w:rsidR="0052429E">
        <w:rPr>
          <w:noProof/>
        </w:rPr>
        <w:t>2</w:t>
      </w:r>
      <w:r w:rsidR="00C617EE">
        <w:fldChar w:fldCharType="end"/>
      </w:r>
      <w:r w:rsidR="00C617EE">
        <w:t xml:space="preserve">, horizontal positioning performance is shown for round trip time (RTT) based and time difference of arrival (TDOA) based positioning performed between RSUs and vehicle UEs. For comparison, the performance of Uu based DL-TDOA performed between macro gNBs and vehicle UEs is shown. The simulations have been performed with </w:t>
      </w:r>
      <w:r w:rsidR="00D9756D">
        <w:t>three different SRS/PRS bandwidths, 10, 20 and 100 MHz.</w:t>
      </w:r>
    </w:p>
    <w:p w14:paraId="1337E93F" w14:textId="4358C23E" w:rsidR="00D9756D" w:rsidRPr="006029EB" w:rsidRDefault="00D9756D" w:rsidP="006029EB">
      <w:pPr>
        <w:keepNext/>
        <w:rPr>
          <w:rFonts w:eastAsia="Calibri" w:cstheme="minorHAnsi"/>
        </w:rPr>
      </w:pPr>
      <w:r w:rsidRPr="00121A12">
        <w:rPr>
          <w:rFonts w:cstheme="minorHAnsi"/>
        </w:rPr>
        <w:t>From</w:t>
      </w:r>
      <w:r w:rsidR="004470C9">
        <w:rPr>
          <w:rFonts w:cstheme="minorHAnsi"/>
        </w:rPr>
        <w:t xml:space="preserve"> </w:t>
      </w:r>
      <w:r w:rsidRPr="00121A12">
        <w:rPr>
          <w:rFonts w:cstheme="minorHAnsi"/>
        </w:rPr>
        <w:fldChar w:fldCharType="begin"/>
      </w:r>
      <w:r w:rsidRPr="00121A12">
        <w:rPr>
          <w:rFonts w:cstheme="minorHAnsi"/>
        </w:rPr>
        <w:instrText xml:space="preserve"> REF _Ref115437350 \h </w:instrText>
      </w:r>
      <w:r w:rsidR="00385E83" w:rsidRPr="00121A12">
        <w:rPr>
          <w:rFonts w:cstheme="minorHAnsi"/>
        </w:rPr>
        <w:instrText xml:space="preserve"> \* MERGEFORMAT </w:instrText>
      </w:r>
      <w:r w:rsidRPr="00121A12">
        <w:rPr>
          <w:rFonts w:cstheme="minorHAnsi"/>
        </w:rPr>
      </w:r>
      <w:r w:rsidRPr="00121A12">
        <w:rPr>
          <w:rFonts w:cstheme="minorHAnsi"/>
        </w:rPr>
        <w:fldChar w:fldCharType="separate"/>
      </w:r>
      <w:r w:rsidR="0052429E" w:rsidRPr="0052429E">
        <w:rPr>
          <w:rFonts w:cstheme="minorHAnsi"/>
        </w:rPr>
        <w:t>Figure</w:t>
      </w:r>
      <w:r w:rsidR="0052429E" w:rsidRPr="006029EB">
        <w:rPr>
          <w:rFonts w:cstheme="minorHAnsi"/>
          <w:noProof/>
        </w:rPr>
        <w:t xml:space="preserve"> </w:t>
      </w:r>
      <w:r w:rsidR="0052429E">
        <w:rPr>
          <w:noProof/>
        </w:rPr>
        <w:t>2</w:t>
      </w:r>
      <w:r w:rsidRPr="00121A12">
        <w:rPr>
          <w:rFonts w:cstheme="minorHAnsi"/>
        </w:rPr>
        <w:fldChar w:fldCharType="end"/>
      </w:r>
      <w:r w:rsidRPr="00121A12">
        <w:rPr>
          <w:rFonts w:cstheme="minorHAnsi"/>
        </w:rPr>
        <w:t xml:space="preserve"> it is clear that SL RTT and SL-TDOA has almost the same performance</w:t>
      </w:r>
      <w:r w:rsidR="0042372E">
        <w:rPr>
          <w:rFonts w:cstheme="minorHAnsi"/>
        </w:rPr>
        <w:t>, under ideal assumptions</w:t>
      </w:r>
      <w:r w:rsidRPr="00121A12">
        <w:rPr>
          <w:rFonts w:cstheme="minorHAnsi"/>
        </w:rPr>
        <w:t>. It should be noted that the RSU are perfectly synchronized in these simulations. If synchronization errors would be modelled, RTT is expected to outperform TDOA due to its inherent robustness to such errors.</w:t>
      </w:r>
      <w:r w:rsidR="331E6BFB" w:rsidRPr="006029EB">
        <w:rPr>
          <w:rFonts w:eastAsia="Segoe UI" w:cstheme="minorHAnsi"/>
          <w:color w:val="333333"/>
          <w:sz w:val="22"/>
          <w:szCs w:val="22"/>
        </w:rPr>
        <w:t xml:space="preserve"> Moreover, since Multi-RTT positioning requires one less reference point than TDOA, one can expect that in a more sparse deployment of RSUs, Multi-RTT performs better than TDOA.</w:t>
      </w:r>
    </w:p>
    <w:p w14:paraId="29AF3081" w14:textId="40E488D3" w:rsidR="0008750F" w:rsidRDefault="00A92511" w:rsidP="0008750F">
      <w:pPr>
        <w:pStyle w:val="Caption"/>
      </w:pPr>
      <w:r>
        <w:rPr>
          <w:noProof/>
        </w:rPr>
        <w:drawing>
          <wp:inline distT="0" distB="0" distL="0" distR="0" wp14:anchorId="6A364BC9" wp14:editId="5D0DBFDA">
            <wp:extent cx="5334000" cy="399605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3996055"/>
                    </a:xfrm>
                    <a:prstGeom prst="rect">
                      <a:avLst/>
                    </a:prstGeom>
                    <a:noFill/>
                    <a:ln>
                      <a:noFill/>
                    </a:ln>
                  </pic:spPr>
                </pic:pic>
              </a:graphicData>
            </a:graphic>
          </wp:inline>
        </w:drawing>
      </w:r>
      <w:bookmarkStart w:id="4" w:name="_Ref115437350"/>
      <w:bookmarkStart w:id="5" w:name="_Ref115437342"/>
    </w:p>
    <w:p w14:paraId="69102077" w14:textId="005B82B7" w:rsidR="0008750F" w:rsidRDefault="0008750F" w:rsidP="0008750F">
      <w:pPr>
        <w:pStyle w:val="Caption"/>
      </w:pPr>
      <w:r>
        <w:t xml:space="preserve">Figure </w:t>
      </w:r>
      <w:r>
        <w:fldChar w:fldCharType="begin"/>
      </w:r>
      <w:r>
        <w:instrText xml:space="preserve"> SEQ Figure \* ARABIC </w:instrText>
      </w:r>
      <w:r w:rsidR="0006181A">
        <w:fldChar w:fldCharType="separate"/>
      </w:r>
      <w:r w:rsidR="0052429E">
        <w:rPr>
          <w:noProof/>
        </w:rPr>
        <w:t>2</w:t>
      </w:r>
      <w:r>
        <w:fldChar w:fldCharType="end"/>
      </w:r>
      <w:bookmarkEnd w:id="4"/>
      <w:r>
        <w:t xml:space="preserve">: </w:t>
      </w:r>
      <w:bookmarkEnd w:id="5"/>
      <w:r>
        <w:t xml:space="preserve">Simulation results for the Highway deployment, with RSU based SL RTT and TDOA positioning evaluated for different SRS bandwidths. For comparison, Uu based DL-TDOA using macro gNBs is shown. </w:t>
      </w:r>
    </w:p>
    <w:p w14:paraId="52F4F189" w14:textId="2ABA5A29" w:rsidR="005932E7" w:rsidRDefault="005932E7" w:rsidP="005932E7">
      <w:pPr>
        <w:pStyle w:val="Caption"/>
        <w:keepNext/>
      </w:pPr>
    </w:p>
    <w:p w14:paraId="0B3FBE2D" w14:textId="62765B4C" w:rsidR="00D9756D" w:rsidRDefault="00BC45D2" w:rsidP="00D9756D">
      <w:pPr>
        <w:rPr>
          <w:lang w:eastAsia="en-GB"/>
        </w:rPr>
      </w:pPr>
      <w:r>
        <w:rPr>
          <w:lang w:eastAsia="en-GB"/>
        </w:rPr>
        <w:t xml:space="preserve">For this Highway scenario, the results indicated that large signal bandwidth is needed to meet the </w:t>
      </w:r>
      <w:r w:rsidR="00D9756D">
        <w:rPr>
          <w:lang w:eastAsia="en-GB"/>
        </w:rPr>
        <w:t>Set A (</w:t>
      </w:r>
      <w:r w:rsidRPr="006029EB">
        <w:rPr>
          <w:lang w:eastAsia="en-US"/>
        </w:rPr>
        <w:t>1.5m@90%</w:t>
      </w:r>
      <w:r w:rsidR="00D9756D">
        <w:rPr>
          <w:lang w:eastAsia="en-GB"/>
        </w:rPr>
        <w:t xml:space="preserve">) and Set B (0.5m@90%) </w:t>
      </w:r>
      <w:r>
        <w:rPr>
          <w:lang w:eastAsia="en-GB"/>
        </w:rPr>
        <w:t xml:space="preserve">horizontal positioning requirement, at least with timing </w:t>
      </w:r>
      <w:r>
        <w:rPr>
          <w:lang w:eastAsia="en-GB"/>
        </w:rPr>
        <w:lastRenderedPageBreak/>
        <w:t>based metho</w:t>
      </w:r>
      <w:r w:rsidR="0086208D">
        <w:rPr>
          <w:lang w:eastAsia="en-GB"/>
        </w:rPr>
        <w:t>d</w:t>
      </w:r>
      <w:r>
        <w:rPr>
          <w:lang w:eastAsia="en-GB"/>
        </w:rPr>
        <w:t xml:space="preserve">s only. Here, </w:t>
      </w:r>
      <w:r w:rsidR="000641FE">
        <w:rPr>
          <w:lang w:eastAsia="en-GB"/>
        </w:rPr>
        <w:t xml:space="preserve"> </w:t>
      </w:r>
      <w:r w:rsidR="0090182F">
        <w:rPr>
          <w:lang w:eastAsia="en-GB"/>
        </w:rPr>
        <w:t>only the</w:t>
      </w:r>
      <w:r>
        <w:rPr>
          <w:lang w:eastAsia="en-GB"/>
        </w:rPr>
        <w:t xml:space="preserve"> </w:t>
      </w:r>
      <w:r w:rsidR="0090182F">
        <w:rPr>
          <w:lang w:eastAsia="en-GB"/>
        </w:rPr>
        <w:t xml:space="preserve">Set A </w:t>
      </w:r>
      <w:r>
        <w:rPr>
          <w:lang w:eastAsia="en-GB"/>
        </w:rPr>
        <w:t>requirement are met with 100 MHz of bandwidth</w:t>
      </w:r>
      <w:r w:rsidR="0090182F">
        <w:rPr>
          <w:lang w:eastAsia="en-GB"/>
        </w:rPr>
        <w:t xml:space="preserve"> with an accuracy of </w:t>
      </w:r>
      <w:r w:rsidR="0090182F" w:rsidRPr="006029EB">
        <w:rPr>
          <w:lang w:eastAsia="en-US"/>
        </w:rPr>
        <w:t>0.7m@90%</w:t>
      </w:r>
      <w:r w:rsidR="0090182F">
        <w:rPr>
          <w:lang w:eastAsia="en-GB"/>
        </w:rPr>
        <w:t xml:space="preserve"> for SL RTT/TDOA</w:t>
      </w:r>
      <w:r>
        <w:rPr>
          <w:lang w:eastAsia="en-GB"/>
        </w:rPr>
        <w:t>.</w:t>
      </w:r>
    </w:p>
    <w:p w14:paraId="11145E32" w14:textId="25EDE244" w:rsidR="0090182F" w:rsidRPr="00A06C8F" w:rsidRDefault="0090182F" w:rsidP="006029EB">
      <w:r>
        <w:rPr>
          <w:lang w:eastAsia="en-GB"/>
        </w:rPr>
        <w:t>Looking at the performance of Uu based positioning, it is interesting to observe that both Set A and Set B requirements can be met with 100 MHz of bandwidth. This highlights the relevance of Uu based positioning for vehicular positioning, and additionally it points towards the potential of hybrid positioning with Uu and SL measurements.</w:t>
      </w:r>
    </w:p>
    <w:p w14:paraId="72928CEF" w14:textId="5A6FBDBA" w:rsidR="00D9756D" w:rsidRDefault="00D9756D">
      <w:pPr>
        <w:pStyle w:val="Observation"/>
      </w:pPr>
      <w:bookmarkStart w:id="6" w:name="_Toc115461503"/>
      <w:r>
        <w:t>SL positioning using RTT and TDOA are observed to have the same performance under the assumption of perfect RSU synchronization. RTT is expected to outperform TDOA under realistic sync conditions.</w:t>
      </w:r>
      <w:bookmarkEnd w:id="6"/>
    </w:p>
    <w:p w14:paraId="04E752D7" w14:textId="3B739D9D" w:rsidR="00D9756D" w:rsidRDefault="00D9756D" w:rsidP="00D9756D">
      <w:pPr>
        <w:pStyle w:val="Observation"/>
      </w:pPr>
      <w:bookmarkStart w:id="7" w:name="_Toc115461504"/>
      <w:r>
        <w:t>Uu based positioning (DL-TDOA) is observed to outperform SL based positioning for the given deployments. This due to larger output powers and a better deployment for positioning.</w:t>
      </w:r>
      <w:bookmarkEnd w:id="7"/>
      <w:r>
        <w:t xml:space="preserve"> </w:t>
      </w:r>
    </w:p>
    <w:p w14:paraId="086140EC" w14:textId="77777777" w:rsidR="002D2D80" w:rsidRPr="001D0EB4" w:rsidRDefault="002D2D80" w:rsidP="006029EB">
      <w:pPr>
        <w:pStyle w:val="Observation"/>
        <w:numPr>
          <w:ilvl w:val="0"/>
          <w:numId w:val="0"/>
        </w:numPr>
      </w:pPr>
    </w:p>
    <w:p w14:paraId="65E8AC3D" w14:textId="57AD9E09" w:rsidR="002D2D80" w:rsidRDefault="002D2D80" w:rsidP="005932E7">
      <w:pPr>
        <w:pStyle w:val="Caption"/>
        <w:keepNext/>
      </w:pPr>
    </w:p>
    <w:p w14:paraId="7E5131D8" w14:textId="5830DF05" w:rsidR="005932E7" w:rsidRDefault="00A92511" w:rsidP="006029EB">
      <w:pPr>
        <w:pStyle w:val="Caption"/>
        <w:keepNext/>
      </w:pPr>
      <w:r>
        <w:rPr>
          <w:noProof/>
        </w:rPr>
        <w:drawing>
          <wp:inline distT="0" distB="0" distL="0" distR="0" wp14:anchorId="7DDE6B66" wp14:editId="5FF5F50C">
            <wp:extent cx="5334000" cy="399605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0" cy="3996055"/>
                    </a:xfrm>
                    <a:prstGeom prst="rect">
                      <a:avLst/>
                    </a:prstGeom>
                    <a:noFill/>
                    <a:ln>
                      <a:noFill/>
                    </a:ln>
                  </pic:spPr>
                </pic:pic>
              </a:graphicData>
            </a:graphic>
          </wp:inline>
        </w:drawing>
      </w:r>
    </w:p>
    <w:p w14:paraId="7D3548EE" w14:textId="60E02B73" w:rsidR="008D365E" w:rsidRDefault="005932E7" w:rsidP="006029EB">
      <w:pPr>
        <w:pStyle w:val="Caption"/>
      </w:pPr>
      <w:bookmarkStart w:id="8" w:name="_Ref115442841"/>
      <w:r>
        <w:t xml:space="preserve">Figure </w:t>
      </w:r>
      <w:r>
        <w:fldChar w:fldCharType="begin"/>
      </w:r>
      <w:r>
        <w:instrText xml:space="preserve"> SEQ Figure \* ARABIC </w:instrText>
      </w:r>
      <w:r w:rsidR="0006181A">
        <w:fldChar w:fldCharType="separate"/>
      </w:r>
      <w:r w:rsidR="0052429E">
        <w:rPr>
          <w:noProof/>
        </w:rPr>
        <w:t>3</w:t>
      </w:r>
      <w:r>
        <w:fldChar w:fldCharType="end"/>
      </w:r>
      <w:bookmarkEnd w:id="8"/>
      <w:r>
        <w:t xml:space="preserve">: </w:t>
      </w:r>
      <w:r w:rsidR="00710E7F">
        <w:t>Longitudinal (along the road) and lateral (</w:t>
      </w:r>
      <w:r w:rsidR="002D2D80">
        <w:t>across road</w:t>
      </w:r>
      <w:r w:rsidR="00710E7F">
        <w:t>)</w:t>
      </w:r>
      <w:r w:rsidR="002D2D80">
        <w:t xml:space="preserve"> positioning performance for SL RSU based RTT/TDOA and, for comparison, macro gNB based DL-TDOA.</w:t>
      </w:r>
    </w:p>
    <w:p w14:paraId="14190B50" w14:textId="26356E7A" w:rsidR="00577E14" w:rsidRPr="00237033" w:rsidRDefault="002D2D80" w:rsidP="00577E14">
      <w:pPr>
        <w:rPr>
          <w:lang w:eastAsia="en-GB"/>
        </w:rPr>
      </w:pPr>
      <w:r>
        <w:t xml:space="preserve">For many vehicle safety applications, the information of the lateral placement on the road is essential. In </w:t>
      </w:r>
      <w:r>
        <w:fldChar w:fldCharType="begin"/>
      </w:r>
      <w:r>
        <w:instrText xml:space="preserve"> REF _Ref115442841 \h </w:instrText>
      </w:r>
      <w:r>
        <w:fldChar w:fldCharType="separate"/>
      </w:r>
      <w:r w:rsidR="0052429E">
        <w:t xml:space="preserve">Figure </w:t>
      </w:r>
      <w:r w:rsidR="0052429E">
        <w:rPr>
          <w:noProof/>
        </w:rPr>
        <w:t>3</w:t>
      </w:r>
      <w:r>
        <w:fldChar w:fldCharType="end"/>
      </w:r>
      <w:r>
        <w:t>, the lateral and longitudinal positioning performance is shown for both RSU bases SL positioning and macro gNB based Uu positioning for the case of 20 MHz bandwidth. As can be seen, SL positioning using roadside RSU deployment can deliver accurate longitudinal performance (along the road), but fail to deliver sufficiently accurate positioning to place the vehicle in the correct lane</w:t>
      </w:r>
      <w:r w:rsidR="00577E14">
        <w:t xml:space="preserve"> with a lateral error of </w:t>
      </w:r>
      <w:r w:rsidR="00577E14" w:rsidRPr="006029EB">
        <w:rPr>
          <w:lang w:eastAsia="en-US"/>
        </w:rPr>
        <w:t>3.5m@90%</w:t>
      </w:r>
      <w:r>
        <w:t>.</w:t>
      </w:r>
      <w:r w:rsidR="00577E14">
        <w:t xml:space="preserve"> Comparing with the performance of Uu based DL-TDOA, it is observed that the lateral positioning performance is significantly better </w:t>
      </w:r>
      <w:r w:rsidR="00577E14">
        <w:lastRenderedPageBreak/>
        <w:t xml:space="preserve">with a lateral error of </w:t>
      </w:r>
      <w:r w:rsidR="00577E14" w:rsidRPr="006029EB">
        <w:rPr>
          <w:lang w:eastAsia="en-US"/>
        </w:rPr>
        <w:t>1.2m@90%</w:t>
      </w:r>
      <w:r w:rsidR="00577E14">
        <w:t xml:space="preserve">. Again, this </w:t>
      </w:r>
      <w:r w:rsidR="00577E14">
        <w:rPr>
          <w:lang w:eastAsia="en-GB"/>
        </w:rPr>
        <w:t>highlights the relevance of Uu based positioning for vehicular positioning, and points towards the potential of hybrid positioning with Uu and SL measurements.</w:t>
      </w:r>
    </w:p>
    <w:p w14:paraId="70405A42" w14:textId="7D10C806" w:rsidR="008D365E" w:rsidRDefault="001F1D53" w:rsidP="006029EB">
      <w:pPr>
        <w:pStyle w:val="Proposal"/>
      </w:pPr>
      <w:bookmarkStart w:id="9" w:name="_Toc115461575"/>
      <w:r>
        <w:t xml:space="preserve">Capture the following observation in the TR: </w:t>
      </w:r>
      <w:r w:rsidR="003355C9">
        <w:t xml:space="preserve">The RSU deployment </w:t>
      </w:r>
      <w:r w:rsidR="00AF61BE">
        <w:t xml:space="preserve">for highway, with nodes deployed on each side of the road, </w:t>
      </w:r>
      <w:r w:rsidR="00276318">
        <w:t>is not optimal for positioning</w:t>
      </w:r>
      <w:r w:rsidR="00046AB3">
        <w:t xml:space="preserve">. Lateral accuracy </w:t>
      </w:r>
      <w:r w:rsidR="001D6EAD">
        <w:t>is improved</w:t>
      </w:r>
      <w:r w:rsidR="00046AB3">
        <w:t xml:space="preserve"> when the RSU deployment is complemented </w:t>
      </w:r>
      <w:r w:rsidR="00EE674A">
        <w:t xml:space="preserve">with </w:t>
      </w:r>
      <w:r w:rsidR="00C91CDA">
        <w:t>gNBs</w:t>
      </w:r>
      <w:r w:rsidR="00A13CA3">
        <w:t xml:space="preserve"> </w:t>
      </w:r>
      <w:r w:rsidR="00107471">
        <w:t>deployment</w:t>
      </w:r>
      <w:r w:rsidR="00A13CA3">
        <w:t>.</w:t>
      </w:r>
      <w:bookmarkEnd w:id="9"/>
      <w:r w:rsidR="00A13CA3">
        <w:t xml:space="preserve"> </w:t>
      </w:r>
    </w:p>
    <w:p w14:paraId="038FDE85" w14:textId="707F7F28" w:rsidR="00D7759F" w:rsidRDefault="00257556" w:rsidP="00257556">
      <w:pPr>
        <w:pStyle w:val="Heading2"/>
      </w:pPr>
      <w:r>
        <w:t>Ranging</w:t>
      </w:r>
    </w:p>
    <w:p w14:paraId="09FE418E" w14:textId="1FB584C8" w:rsidR="000F461D" w:rsidRDefault="000F461D" w:rsidP="00257556">
      <w:r>
        <w:rPr>
          <w:lang w:val="en-GB"/>
        </w:rPr>
        <w:t>In the previous meeting the following agreement was made related to ranging.</w:t>
      </w:r>
      <w:r>
        <w:t xml:space="preserve"> </w:t>
      </w:r>
      <w:r>
        <w:drawing>
          <wp:inline distT="0" distB="0" distL="0" distR="0" wp14:anchorId="5CC1DDB1" wp14:editId="63801BA3">
            <wp:extent cx="6779455" cy="3026788"/>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96249" cy="3034286"/>
                    </a:xfrm>
                    <a:prstGeom prst="rect">
                      <a:avLst/>
                    </a:prstGeom>
                    <a:noFill/>
                  </pic:spPr>
                </pic:pic>
              </a:graphicData>
            </a:graphic>
          </wp:inline>
        </w:drawing>
      </w:r>
    </w:p>
    <w:p w14:paraId="7E25585E" w14:textId="36F7196F" w:rsidR="000F461D" w:rsidRPr="00AE5129" w:rsidRDefault="000F461D" w:rsidP="006029EB">
      <w:pPr>
        <w:rPr>
          <w:rFonts w:cstheme="minorHAnsi"/>
          <w:highlight w:val="red"/>
        </w:rPr>
      </w:pPr>
      <w:r>
        <w:t>In the evaluations, we consiter two different timing based ranging techniques,</w:t>
      </w:r>
      <w:r w:rsidR="001A459D">
        <w:t xml:space="preserve"> i.e.,</w:t>
      </w:r>
      <w:r>
        <w:t xml:space="preserve"> RTT and timing advance (TA) assisted </w:t>
      </w:r>
      <w:r w:rsidR="001A459D">
        <w:t>ranging</w:t>
      </w:r>
      <w:r>
        <w:t xml:space="preserve">. </w:t>
      </w:r>
      <w:r w:rsidR="001A459D">
        <w:t xml:space="preserve">The former rely on time of arrival measurmetn in both directions, where we assume perfect RxTx time measurements. The latter is described in our previous </w:t>
      </w:r>
      <w:r w:rsidR="001A459D" w:rsidRPr="00121A12">
        <w:t>contribution</w:t>
      </w:r>
      <w:r w:rsidRPr="006029EB">
        <w:rPr>
          <w:rFonts w:cstheme="minorHAnsi"/>
          <w:lang w:eastAsia="en-US"/>
        </w:rPr>
        <w:t xml:space="preserve"> [2]</w:t>
      </w:r>
      <w:r w:rsidR="001A459D">
        <w:rPr>
          <w:rFonts w:cstheme="minorHAnsi"/>
        </w:rPr>
        <w:t>, where</w:t>
      </w:r>
      <w:r w:rsidRPr="00AE5129">
        <w:rPr>
          <w:rFonts w:cstheme="minorHAnsi"/>
        </w:rPr>
        <w:t xml:space="preserve"> we propose a way to exploit measurements and procedures over the UU interface to achieve a scalable and resource efficient one-way ranging solution. The method exploits that aggregated timing advance (TA) information can be used to resolve the unknown timing between two UEs. The method makes use of the aggregate TA for two users along with time-of-arrival (TOA) measurements on a single SL </w:t>
      </w:r>
      <w:r w:rsidR="001A459D">
        <w:rPr>
          <w:rFonts w:cstheme="minorHAnsi"/>
        </w:rPr>
        <w:t>P</w:t>
      </w:r>
      <w:r w:rsidRPr="00AE5129">
        <w:rPr>
          <w:rFonts w:cstheme="minorHAnsi"/>
        </w:rPr>
        <w:t>RS transmission</w:t>
      </w:r>
      <w:r w:rsidR="001A459D">
        <w:rPr>
          <w:rFonts w:cstheme="minorHAnsi"/>
        </w:rPr>
        <w:t xml:space="preserve"> performed with UE specific Uu </w:t>
      </w:r>
      <w:r w:rsidR="00910258">
        <w:rPr>
          <w:rFonts w:cstheme="minorHAnsi"/>
        </w:rPr>
        <w:t xml:space="preserve">link </w:t>
      </w:r>
      <w:r w:rsidR="001A459D">
        <w:rPr>
          <w:rFonts w:cstheme="minorHAnsi"/>
        </w:rPr>
        <w:t>timing</w:t>
      </w:r>
      <w:r w:rsidRPr="00AE5129">
        <w:rPr>
          <w:rFonts w:cstheme="minorHAnsi"/>
        </w:rPr>
        <w:t>. The estimated time of flight (TOF) between two UEs can then be estimated as:</w:t>
      </w:r>
    </w:p>
    <w:p w14:paraId="79BC1371" w14:textId="77777777" w:rsidR="000F461D" w:rsidRPr="00AE5129" w:rsidRDefault="000F461D" w:rsidP="000F461D">
      <w:pPr>
        <w:pStyle w:val="BodyText"/>
        <w:jc w:val="left"/>
        <w:rPr>
          <w:rFonts w:asciiTheme="minorHAnsi" w:hAnsiTheme="minorHAnsi" w:cstheme="minorHAnsi"/>
        </w:rPr>
      </w:pPr>
      <m:oMathPara>
        <m:oMath>
          <m:r>
            <w:rPr>
              <w:rFonts w:ascii="Cambria Math" w:hAnsi="Cambria Math" w:cstheme="minorHAnsi"/>
            </w:rPr>
            <m:t>TOF=</m:t>
          </m:r>
          <m:r>
            <m:rPr>
              <m:sty m:val="p"/>
            </m:rPr>
            <w:rPr>
              <w:rFonts w:ascii="Cambria Math" w:hAnsi="Cambria Math" w:cstheme="minorHAnsi"/>
            </w:rPr>
            <m:t>TOA-</m:t>
          </m:r>
          <m:d>
            <m:dPr>
              <m:ctrlPr>
                <w:rPr>
                  <w:rFonts w:ascii="Cambria Math" w:hAnsi="Cambria Math" w:cstheme="minorHAnsi"/>
                </w:rPr>
              </m:ctrlPr>
            </m:dPr>
            <m:e>
              <m:r>
                <m:rPr>
                  <m:sty m:val="p"/>
                </m:rPr>
                <w:rPr>
                  <w:rFonts w:ascii="Cambria Math" w:hAnsi="Cambria Math" w:cstheme="minorHAnsi"/>
                </w:rPr>
                <m:t>TA2-TA1</m:t>
              </m:r>
            </m:e>
          </m:d>
        </m:oMath>
      </m:oMathPara>
    </w:p>
    <w:p w14:paraId="1A1273BE" w14:textId="6771E842" w:rsidR="00A97DDD" w:rsidRPr="00AA5046" w:rsidRDefault="000F461D" w:rsidP="00A97DDD">
      <w:pPr>
        <w:pStyle w:val="BodyText"/>
        <w:jc w:val="left"/>
        <w:rPr>
          <w:rFonts w:asciiTheme="minorHAnsi" w:hAnsiTheme="minorHAnsi" w:cstheme="minorHAnsi"/>
          <w:highlight w:val="red"/>
        </w:rPr>
      </w:pPr>
      <w:r w:rsidRPr="00AE5129">
        <w:rPr>
          <w:rFonts w:cstheme="minorHAnsi"/>
        </w:rPr>
        <w:t>where TA1 and TA2 is the aggregated TA for the two UEs at the gNB.</w:t>
      </w:r>
      <w:r w:rsidR="001A459D">
        <w:rPr>
          <w:rFonts w:cstheme="minorHAnsi"/>
        </w:rPr>
        <w:t xml:space="preserve"> </w:t>
      </w:r>
      <w:r w:rsidR="00A97DDD">
        <w:rPr>
          <w:rFonts w:cstheme="minorHAnsi"/>
        </w:rPr>
        <w:t>The TOF error can then be expressed as</w:t>
      </w:r>
      <w:r w:rsidR="00A97DDD" w:rsidRPr="00A97DDD">
        <w:rPr>
          <w:rFonts w:asciiTheme="minorHAnsi" w:hAnsiTheme="minorHAnsi" w:cstheme="minorHAnsi"/>
        </w:rPr>
        <w:t xml:space="preserve"> </w:t>
      </w:r>
      <w:r w:rsidR="00A97DDD" w:rsidRPr="005251FB">
        <w:rPr>
          <w:rFonts w:asciiTheme="minorHAnsi" w:hAnsiTheme="minorHAnsi" w:cstheme="minorHAnsi"/>
        </w:rPr>
        <w:t xml:space="preserve">the TOF error, </w:t>
      </w:r>
      <m:oMath>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tof</m:t>
            </m:r>
          </m:sub>
        </m:sSub>
      </m:oMath>
      <w:r w:rsidR="00A97DDD" w:rsidRPr="005251FB">
        <w:rPr>
          <w:rFonts w:asciiTheme="minorHAnsi" w:hAnsiTheme="minorHAnsi" w:cstheme="minorHAnsi"/>
        </w:rPr>
        <w:t>, can be modelled as:</w:t>
      </w:r>
    </w:p>
    <w:p w14:paraId="50EF11FF" w14:textId="7EA8AB73" w:rsidR="00A97DDD" w:rsidRPr="00C16EFA" w:rsidRDefault="0006181A" w:rsidP="00A97DDD">
      <w:pPr>
        <w:pStyle w:val="BodyText"/>
        <w:jc w:val="left"/>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tof</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toa</m:t>
              </m:r>
            </m:sub>
          </m:sSub>
          <m:r>
            <m:rPr>
              <m:sty m:val="p"/>
            </m:rPr>
            <w:rPr>
              <w:rFonts w:ascii="Cambria Math" w:hAnsi="Cambria Math" w:cstheme="minorHAnsi"/>
            </w:rPr>
            <m:t>-</m:t>
          </m:r>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E</m:t>
                  </m:r>
                </m:e>
                <m:sub>
                  <m:r>
                    <m:rPr>
                      <m:sty m:val="p"/>
                    </m:rPr>
                    <w:rPr>
                      <w:rFonts w:ascii="Cambria Math" w:hAnsi="Cambria Math" w:cstheme="minorHAnsi"/>
                    </w:rPr>
                    <m:t>ta,2</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E</m:t>
                  </m:r>
                </m:e>
                <m:sub>
                  <m:r>
                    <m:rPr>
                      <m:sty m:val="p"/>
                    </m:rPr>
                    <w:rPr>
                      <w:rFonts w:ascii="Cambria Math" w:hAnsi="Cambria Math" w:cstheme="minorHAnsi"/>
                    </w:rPr>
                    <m:t>ta,1</m:t>
                  </m:r>
                </m:sub>
              </m:sSub>
            </m:e>
          </m:d>
        </m:oMath>
      </m:oMathPara>
    </w:p>
    <w:p w14:paraId="3F42DBA6" w14:textId="71ECE305" w:rsidR="000F461D" w:rsidRPr="00AE5129" w:rsidRDefault="001A459D" w:rsidP="000F461D">
      <w:pPr>
        <w:rPr>
          <w:rFonts w:cstheme="minorHAnsi"/>
        </w:rPr>
      </w:pPr>
      <w:r>
        <w:rPr>
          <w:rFonts w:cstheme="minorHAnsi"/>
        </w:rPr>
        <w:t xml:space="preserve">In the simulation results provided </w:t>
      </w:r>
      <w:r w:rsidR="00910258">
        <w:rPr>
          <w:rFonts w:cstheme="minorHAnsi"/>
        </w:rPr>
        <w:t>in this contribution</w:t>
      </w:r>
      <w:r w:rsidR="00A97DDD">
        <w:rPr>
          <w:rFonts w:cstheme="minorHAnsi"/>
        </w:rPr>
        <w:t xml:space="preserve"> </w:t>
      </w:r>
      <w:r>
        <w:rPr>
          <w:rFonts w:cstheme="minorHAnsi"/>
        </w:rPr>
        <w:t xml:space="preserve">we model the TA errors </w:t>
      </w:r>
      <w:r w:rsidR="00A97DDD">
        <w:rPr>
          <w:rFonts w:cstheme="minorHAnsi"/>
        </w:rPr>
        <w:t>(</w:t>
      </w:r>
      <m:oMath>
        <m:sSub>
          <m:sSubPr>
            <m:ctrlPr>
              <w:rPr>
                <w:rFonts w:ascii="Cambria Math" w:hAnsi="Cambria Math" w:cstheme="minorHAnsi"/>
              </w:rPr>
            </m:ctrlPr>
          </m:sSubPr>
          <m:e>
            <m:r>
              <m:rPr>
                <m:sty m:val="p"/>
              </m:rPr>
              <w:rPr>
                <w:rFonts w:ascii="Cambria Math" w:hAnsi="Cambria Math" w:cstheme="minorHAnsi"/>
              </w:rPr>
              <m:t>E</m:t>
            </m:r>
          </m:e>
          <m:sub>
            <m:r>
              <m:rPr>
                <m:sty m:val="p"/>
              </m:rPr>
              <w:rPr>
                <w:rFonts w:ascii="Cambria Math" w:hAnsi="Cambria Math" w:cstheme="minorHAnsi"/>
              </w:rPr>
              <m:t>ta,n</m:t>
            </m:r>
          </m:sub>
        </m:sSub>
      </m:oMath>
      <w:r w:rsidR="00A97DDD">
        <w:rPr>
          <w:rFonts w:cstheme="minorHAnsi"/>
        </w:rPr>
        <w:t xml:space="preserve">) as the sum of the </w:t>
      </w:r>
      <w:r w:rsidR="00910258">
        <w:rPr>
          <w:rFonts w:cstheme="minorHAnsi"/>
        </w:rPr>
        <w:t>TOA</w:t>
      </w:r>
      <w:r>
        <w:rPr>
          <w:rFonts w:cstheme="minorHAnsi"/>
        </w:rPr>
        <w:t xml:space="preserve"> errors</w:t>
      </w:r>
      <w:r w:rsidR="00A97DDD">
        <w:rPr>
          <w:rFonts w:cstheme="minorHAnsi"/>
        </w:rPr>
        <w:t xml:space="preserve"> of an UL SRS and DL PRS transmitter over UU, and the TOA error (</w:t>
      </w:r>
      <m:oMath>
        <m:sSub>
          <m:sSubPr>
            <m:ctrlPr>
              <w:rPr>
                <w:rFonts w:ascii="Cambria Math" w:hAnsi="Cambria Math" w:cstheme="minorHAnsi"/>
                <w:i/>
              </w:rPr>
            </m:ctrlPr>
          </m:sSubPr>
          <m:e>
            <m:r>
              <w:rPr>
                <w:rFonts w:ascii="Cambria Math" w:hAnsi="Cambria Math" w:cstheme="minorHAnsi"/>
              </w:rPr>
              <m:t>E</m:t>
            </m:r>
          </m:e>
          <m:sub>
            <m:r>
              <w:rPr>
                <w:rFonts w:ascii="Cambria Math" w:hAnsi="Cambria Math" w:cstheme="minorHAnsi"/>
              </w:rPr>
              <m:t>toa</m:t>
            </m:r>
          </m:sub>
        </m:sSub>
      </m:oMath>
      <w:r w:rsidR="00A97DDD">
        <w:rPr>
          <w:rFonts w:cstheme="minorHAnsi"/>
        </w:rPr>
        <w:t>)</w:t>
      </w:r>
      <w:r>
        <w:rPr>
          <w:rFonts w:cstheme="minorHAnsi"/>
        </w:rPr>
        <w:t xml:space="preserve"> </w:t>
      </w:r>
      <w:r w:rsidR="00A97DDD">
        <w:rPr>
          <w:rFonts w:cstheme="minorHAnsi"/>
        </w:rPr>
        <w:t>as the TOA error of a SL PRS transmission between devices.</w:t>
      </w:r>
    </w:p>
    <w:p w14:paraId="71F925A0" w14:textId="4473784D" w:rsidR="000F461D" w:rsidRPr="000A3B4B" w:rsidRDefault="00A97DDD" w:rsidP="00257556">
      <w:r>
        <w:t>The simulation results for V2X is presented in the next section.</w:t>
      </w:r>
    </w:p>
    <w:p w14:paraId="0A9D4869" w14:textId="044A6A26" w:rsidR="00257556" w:rsidRDefault="00257556" w:rsidP="00257556">
      <w:pPr>
        <w:pStyle w:val="Heading3"/>
      </w:pPr>
      <w:r>
        <w:lastRenderedPageBreak/>
        <w:t>V2X ranging</w:t>
      </w:r>
    </w:p>
    <w:p w14:paraId="44015BA8" w14:textId="6ADC1875" w:rsidR="00E27F1C" w:rsidRDefault="00A97DDD" w:rsidP="003E44B7">
      <w:pPr>
        <w:rPr>
          <w:noProof/>
          <w:lang w:eastAsia="en-GB"/>
        </w:rPr>
      </w:pPr>
      <w:r>
        <w:rPr>
          <w:noProof/>
          <w:lang w:eastAsia="en-GB"/>
        </w:rPr>
        <w:t xml:space="preserve">To evaluate the ranging performance for V2X, we consider the Highway deployment. Since we only consider vehicle-to-vehicle ranging we remove the RSUs from the deployment, but keep the macro gNBs as to be able to evaluate the TA assisted ranging performance. The deployemnt is illustrated in </w:t>
      </w:r>
      <w:r>
        <w:rPr>
          <w:noProof/>
          <w:lang w:eastAsia="en-GB"/>
        </w:rPr>
        <w:fldChar w:fldCharType="begin"/>
      </w:r>
      <w:r>
        <w:rPr>
          <w:noProof/>
          <w:lang w:eastAsia="en-GB"/>
        </w:rPr>
        <w:instrText xml:space="preserve"> REF _Ref115446192 \h </w:instrText>
      </w:r>
      <w:r>
        <w:rPr>
          <w:noProof/>
          <w:lang w:eastAsia="en-GB"/>
        </w:rPr>
      </w:r>
      <w:r>
        <w:rPr>
          <w:noProof/>
          <w:lang w:eastAsia="en-GB"/>
        </w:rPr>
        <w:fldChar w:fldCharType="separate"/>
      </w:r>
      <w:r w:rsidR="0052429E">
        <w:t xml:space="preserve">Figure </w:t>
      </w:r>
      <w:r w:rsidR="0052429E">
        <w:rPr>
          <w:noProof/>
        </w:rPr>
        <w:t>4</w:t>
      </w:r>
      <w:r>
        <w:rPr>
          <w:noProof/>
          <w:lang w:eastAsia="en-GB"/>
        </w:rPr>
        <w:fldChar w:fldCharType="end"/>
      </w:r>
      <w:r>
        <w:rPr>
          <w:noProof/>
          <w:lang w:eastAsia="en-GB"/>
        </w:rPr>
        <w:t>, where a set of assisting UEs perform ranging with other UEs, and additionally perform TA related measurements with the gNBs.</w:t>
      </w:r>
    </w:p>
    <w:p w14:paraId="6DB9B99F" w14:textId="77777777" w:rsidR="00A97DDD" w:rsidRDefault="00850027" w:rsidP="006029EB">
      <w:pPr>
        <w:keepNext/>
        <w:jc w:val="center"/>
      </w:pPr>
      <w:r w:rsidRPr="00850027">
        <w:rPr>
          <w:noProof/>
        </w:rPr>
        <w:drawing>
          <wp:inline distT="0" distB="0" distL="0" distR="0" wp14:anchorId="2794353C" wp14:editId="62229600">
            <wp:extent cx="5322570" cy="39916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2570" cy="3991610"/>
                    </a:xfrm>
                    <a:prstGeom prst="rect">
                      <a:avLst/>
                    </a:prstGeom>
                    <a:noFill/>
                    <a:ln>
                      <a:noFill/>
                    </a:ln>
                  </pic:spPr>
                </pic:pic>
              </a:graphicData>
            </a:graphic>
          </wp:inline>
        </w:drawing>
      </w:r>
    </w:p>
    <w:p w14:paraId="0912F496" w14:textId="430EB073" w:rsidR="00A97DDD" w:rsidRDefault="00A97DDD" w:rsidP="006029EB">
      <w:pPr>
        <w:pStyle w:val="Caption"/>
        <w:jc w:val="center"/>
      </w:pPr>
      <w:bookmarkStart w:id="10" w:name="_Ref115446192"/>
      <w:r>
        <w:t xml:space="preserve">Figure </w:t>
      </w:r>
      <w:r>
        <w:fldChar w:fldCharType="begin"/>
      </w:r>
      <w:r>
        <w:instrText xml:space="preserve"> SEQ Figure \* ARABIC </w:instrText>
      </w:r>
      <w:r>
        <w:fldChar w:fldCharType="separate"/>
      </w:r>
      <w:r w:rsidR="0052429E">
        <w:rPr>
          <w:noProof/>
        </w:rPr>
        <w:t>4</w:t>
      </w:r>
      <w:r>
        <w:fldChar w:fldCharType="end"/>
      </w:r>
      <w:bookmarkEnd w:id="10"/>
      <w:r>
        <w:t>: V2X Highway deployment, with assisting UEs, regular UEs and gNBs.</w:t>
      </w:r>
    </w:p>
    <w:p w14:paraId="7915C3E3" w14:textId="24D65534" w:rsidR="00A97DDD" w:rsidRDefault="00A97DDD" w:rsidP="00A97DDD">
      <w:pPr>
        <w:rPr>
          <w:lang w:eastAsia="en-GB"/>
        </w:rPr>
      </w:pPr>
      <w:r>
        <w:rPr>
          <w:lang w:eastAsia="en-GB"/>
        </w:rPr>
        <w:t xml:space="preserve">In </w:t>
      </w:r>
      <w:r>
        <w:rPr>
          <w:lang w:eastAsia="en-GB"/>
        </w:rPr>
        <w:fldChar w:fldCharType="begin"/>
      </w:r>
      <w:r>
        <w:rPr>
          <w:lang w:eastAsia="en-GB"/>
        </w:rPr>
        <w:instrText xml:space="preserve"> REF _Ref115446392 \h </w:instrText>
      </w:r>
      <w:r>
        <w:rPr>
          <w:lang w:eastAsia="en-GB"/>
        </w:rPr>
      </w:r>
      <w:r>
        <w:rPr>
          <w:lang w:eastAsia="en-GB"/>
        </w:rPr>
        <w:fldChar w:fldCharType="separate"/>
      </w:r>
      <w:r w:rsidR="0052429E">
        <w:t xml:space="preserve">Figure </w:t>
      </w:r>
      <w:r w:rsidR="0052429E">
        <w:rPr>
          <w:noProof/>
        </w:rPr>
        <w:t>5</w:t>
      </w:r>
      <w:r>
        <w:rPr>
          <w:lang w:eastAsia="en-GB"/>
        </w:rPr>
        <w:fldChar w:fldCharType="end"/>
      </w:r>
      <w:r w:rsidR="00FE306A">
        <w:rPr>
          <w:lang w:eastAsia="en-GB"/>
        </w:rPr>
        <w:t xml:space="preserve"> the ranging performance is shown for the proposed methods, evaluated for different bandwidths. Note that the same bandwidth is used for all links (Uu and SL) during a simulation. As can be seen RTT based ranging outperform TA assisted one-way-ranging ranging, but it should be noted that this comes at a cost of larger resource utilization. Specifically in scenarios and use cases where ranging needs to be performed between one UE and a number of N other UEs. There, RTT resource utilization scales as 2*N, while it’s equal to 1 for TA assisted one-way-ranging independent of number of other UEs (assuming the TA information is anyway available). The two methods can therefore complement each other. </w:t>
      </w:r>
    </w:p>
    <w:p w14:paraId="08A77AC6" w14:textId="77777777" w:rsidR="00B40C8A" w:rsidRDefault="00B40C8A" w:rsidP="00A97DDD">
      <w:pPr>
        <w:rPr>
          <w:lang w:eastAsia="en-GB"/>
        </w:rPr>
      </w:pPr>
    </w:p>
    <w:p w14:paraId="79FB36CF" w14:textId="7806A190" w:rsidR="00FE306A" w:rsidRPr="00121A12" w:rsidRDefault="00FE306A" w:rsidP="006029EB">
      <w:pPr>
        <w:pStyle w:val="Observation"/>
      </w:pPr>
      <w:bookmarkStart w:id="11" w:name="_Toc115461505"/>
      <w:r>
        <w:t>Accurate SL RTT ranging and TA assisted (hybrid) one-way-ranging can be complementary solutions, trading accuracy for resource efficiency.</w:t>
      </w:r>
      <w:bookmarkEnd w:id="11"/>
    </w:p>
    <w:p w14:paraId="5A691EBC" w14:textId="18A32E0D" w:rsidR="00FE306A" w:rsidRDefault="00FE306A" w:rsidP="00A97DDD">
      <w:pPr>
        <w:keepNext/>
        <w:rPr>
          <w:noProof/>
        </w:rPr>
      </w:pPr>
      <w:r>
        <w:rPr>
          <w:noProof/>
        </w:rPr>
        <w:lastRenderedPageBreak/>
        <w:t xml:space="preserve">Coming back to </w:t>
      </w:r>
      <w:r>
        <w:rPr>
          <w:noProof/>
        </w:rPr>
        <w:fldChar w:fldCharType="begin"/>
      </w:r>
      <w:r>
        <w:rPr>
          <w:noProof/>
        </w:rPr>
        <w:instrText xml:space="preserve"> REF _Ref115446392 \h </w:instrText>
      </w:r>
      <w:r>
        <w:rPr>
          <w:noProof/>
        </w:rPr>
      </w:r>
      <w:r>
        <w:rPr>
          <w:noProof/>
        </w:rPr>
        <w:fldChar w:fldCharType="separate"/>
      </w:r>
      <w:r w:rsidR="0052429E">
        <w:t xml:space="preserve">Figure </w:t>
      </w:r>
      <w:r w:rsidR="0052429E">
        <w:rPr>
          <w:noProof/>
        </w:rPr>
        <w:t>5</w:t>
      </w:r>
      <w:r>
        <w:rPr>
          <w:noProof/>
        </w:rPr>
        <w:fldChar w:fldCharType="end"/>
      </w:r>
      <w:r>
        <w:rPr>
          <w:noProof/>
        </w:rPr>
        <w:t xml:space="preserve">, RTT can </w:t>
      </w:r>
      <w:r w:rsidRPr="00FE306A">
        <w:rPr>
          <w:noProof/>
        </w:rPr>
        <w:t xml:space="preserve">reach </w:t>
      </w:r>
      <w:r w:rsidRPr="006029EB">
        <w:t>2.3m@90%</w:t>
      </w:r>
      <w:r>
        <w:rPr>
          <w:noProof/>
        </w:rPr>
        <w:t xml:space="preserve"> with 100MHz bandwidth, and TA assisted (hybrid) one-way-ranging achieving </w:t>
      </w:r>
      <w:r w:rsidRPr="006029EB">
        <w:t>8.0m@90%</w:t>
      </w:r>
      <w:r>
        <w:rPr>
          <w:noProof/>
        </w:rPr>
        <w:t xml:space="preserve"> with the same bandwid</w:t>
      </w:r>
      <w:r w:rsidR="00B40C8A" w:rsidRPr="006029EB">
        <w:rPr>
          <w:noProof/>
          <w:lang w:val="en-US"/>
        </w:rPr>
        <w:t>t</w:t>
      </w:r>
      <w:r>
        <w:rPr>
          <w:noProof/>
        </w:rPr>
        <w:t xml:space="preserve">h. </w:t>
      </w:r>
    </w:p>
    <w:p w14:paraId="2F9A1673" w14:textId="31711616" w:rsidR="00A97DDD" w:rsidRDefault="00850027" w:rsidP="006029EB">
      <w:pPr>
        <w:keepNext/>
        <w:jc w:val="center"/>
      </w:pPr>
      <w:r w:rsidRPr="00850027">
        <w:rPr>
          <w:noProof/>
        </w:rPr>
        <w:drawing>
          <wp:inline distT="0" distB="0" distL="0" distR="0" wp14:anchorId="1F0D4B7E" wp14:editId="420D0E01">
            <wp:extent cx="5304790" cy="39446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04790" cy="3944620"/>
                    </a:xfrm>
                    <a:prstGeom prst="rect">
                      <a:avLst/>
                    </a:prstGeom>
                    <a:noFill/>
                    <a:ln>
                      <a:noFill/>
                    </a:ln>
                  </pic:spPr>
                </pic:pic>
              </a:graphicData>
            </a:graphic>
          </wp:inline>
        </w:drawing>
      </w:r>
    </w:p>
    <w:p w14:paraId="455BFDBD" w14:textId="472A71C7" w:rsidR="00A97DDD" w:rsidRDefault="00A97DDD" w:rsidP="006029EB">
      <w:pPr>
        <w:pStyle w:val="Caption"/>
        <w:jc w:val="center"/>
      </w:pPr>
      <w:bookmarkStart w:id="12" w:name="_Ref115446392"/>
      <w:r>
        <w:t xml:space="preserve">Figure </w:t>
      </w:r>
      <w:r>
        <w:fldChar w:fldCharType="begin"/>
      </w:r>
      <w:r>
        <w:instrText xml:space="preserve"> SEQ Figure \* ARABIC </w:instrText>
      </w:r>
      <w:r>
        <w:fldChar w:fldCharType="separate"/>
      </w:r>
      <w:r w:rsidR="0052429E">
        <w:rPr>
          <w:noProof/>
        </w:rPr>
        <w:t>5</w:t>
      </w:r>
      <w:r>
        <w:fldChar w:fldCharType="end"/>
      </w:r>
      <w:bookmarkEnd w:id="12"/>
      <w:r>
        <w:t>: Ranging performance with RTT and TA assisted (hybrid) ranging</w:t>
      </w:r>
      <w:r>
        <w:rPr>
          <w:noProof/>
        </w:rPr>
        <w:t>, with different bandwidt</w:t>
      </w:r>
      <w:r w:rsidR="00AA5216" w:rsidRPr="006029EB">
        <w:rPr>
          <w:noProof/>
          <w:lang w:val="en-US"/>
        </w:rPr>
        <w:t>h</w:t>
      </w:r>
      <w:r>
        <w:rPr>
          <w:noProof/>
        </w:rPr>
        <w:t>s evaluated for the involved links.</w:t>
      </w:r>
    </w:p>
    <w:p w14:paraId="2E9777C6" w14:textId="4E9E7277" w:rsidR="003E44B7" w:rsidRDefault="003E44B7" w:rsidP="003E44B7">
      <w:pPr>
        <w:rPr>
          <w:lang w:eastAsia="en-GB"/>
        </w:rPr>
      </w:pPr>
    </w:p>
    <w:p w14:paraId="78BDA746" w14:textId="28F41EF3" w:rsidR="003E44B7" w:rsidRDefault="00FE306A" w:rsidP="003E44B7">
      <w:pPr>
        <w:rPr>
          <w:lang w:eastAsia="en-GB"/>
        </w:rPr>
      </w:pPr>
      <w:r>
        <w:rPr>
          <w:lang w:eastAsia="en-GB"/>
        </w:rPr>
        <w:t>To further gain insights in the ranging performance at different distances, the estimated RTT range is plotted</w:t>
      </w:r>
      <w:r w:rsidR="00D16020">
        <w:rPr>
          <w:lang w:eastAsia="en-GB"/>
        </w:rPr>
        <w:t xml:space="preserve"> against</w:t>
      </w:r>
      <w:r>
        <w:rPr>
          <w:lang w:eastAsia="en-GB"/>
        </w:rPr>
        <w:t xml:space="preserve"> the distance between involved UEs is shown in</w:t>
      </w:r>
      <w:r w:rsidR="00D16020">
        <w:rPr>
          <w:lang w:eastAsia="en-GB"/>
        </w:rPr>
        <w:t xml:space="preserve"> </w:t>
      </w:r>
      <w:r w:rsidR="00D16020">
        <w:rPr>
          <w:lang w:eastAsia="en-GB"/>
        </w:rPr>
        <w:fldChar w:fldCharType="begin"/>
      </w:r>
      <w:r w:rsidR="00D16020">
        <w:rPr>
          <w:lang w:eastAsia="en-GB"/>
        </w:rPr>
        <w:instrText xml:space="preserve"> REF _Ref115447975 \h </w:instrText>
      </w:r>
      <w:r w:rsidR="00D16020">
        <w:rPr>
          <w:lang w:eastAsia="en-GB"/>
        </w:rPr>
      </w:r>
      <w:r w:rsidR="00D16020">
        <w:rPr>
          <w:lang w:eastAsia="en-GB"/>
        </w:rPr>
        <w:fldChar w:fldCharType="separate"/>
      </w:r>
      <w:r w:rsidR="0052429E">
        <w:t xml:space="preserve">Figure </w:t>
      </w:r>
      <w:r w:rsidR="0052429E">
        <w:rPr>
          <w:noProof/>
        </w:rPr>
        <w:t>6</w:t>
      </w:r>
      <w:r w:rsidR="00D16020">
        <w:rPr>
          <w:lang w:eastAsia="en-GB"/>
        </w:rPr>
        <w:fldChar w:fldCharType="end"/>
      </w:r>
      <w:r>
        <w:rPr>
          <w:lang w:eastAsia="en-GB"/>
        </w:rPr>
        <w:t>.</w:t>
      </w:r>
      <w:r w:rsidR="00D16020">
        <w:rPr>
          <w:lang w:eastAsia="en-GB"/>
        </w:rPr>
        <w:t xml:space="preserve"> As can be seen, the error does not grow with distance, as may be expected. On the contrary, the variance of the range error seems to be larger at close distance. As of now, we cannot provide a compelling answer to way, but it’s likely a consequence of the properties of the used channel model (</w:t>
      </w:r>
      <w:r w:rsidR="00D16020" w:rsidRPr="005F7F1A">
        <w:rPr>
          <w:szCs w:val="18"/>
          <w:lang w:eastAsia="zh-CN"/>
        </w:rPr>
        <w:t>TR37885</w:t>
      </w:r>
      <w:r w:rsidR="00D16020">
        <w:rPr>
          <w:szCs w:val="18"/>
          <w:lang w:eastAsia="zh-CN"/>
        </w:rPr>
        <w:t xml:space="preserve"> </w:t>
      </w:r>
      <w:r w:rsidR="00D16020" w:rsidRPr="005F7F1A">
        <w:rPr>
          <w:szCs w:val="18"/>
          <w:lang w:eastAsia="zh-CN"/>
        </w:rPr>
        <w:t>5G</w:t>
      </w:r>
      <w:r w:rsidR="00D16020">
        <w:rPr>
          <w:szCs w:val="18"/>
          <w:lang w:eastAsia="zh-CN"/>
        </w:rPr>
        <w:t xml:space="preserve"> </w:t>
      </w:r>
      <w:r w:rsidR="00D16020" w:rsidRPr="005F7F1A">
        <w:rPr>
          <w:szCs w:val="18"/>
          <w:lang w:eastAsia="zh-CN"/>
        </w:rPr>
        <w:t>V2V</w:t>
      </w:r>
      <w:r w:rsidR="00D16020">
        <w:rPr>
          <w:szCs w:val="18"/>
          <w:lang w:eastAsia="zh-CN"/>
        </w:rPr>
        <w:t xml:space="preserve"> </w:t>
      </w:r>
      <w:r w:rsidR="00D16020" w:rsidRPr="005F7F1A">
        <w:rPr>
          <w:szCs w:val="18"/>
          <w:lang w:eastAsia="zh-CN"/>
        </w:rPr>
        <w:t>HIGHWAY</w:t>
      </w:r>
      <w:r w:rsidR="00D16020">
        <w:rPr>
          <w:lang w:eastAsia="en-GB"/>
        </w:rPr>
        <w:t>).</w:t>
      </w:r>
    </w:p>
    <w:p w14:paraId="1B7A1E03" w14:textId="77777777" w:rsidR="00D16020" w:rsidRDefault="00D16020" w:rsidP="006029EB">
      <w:pPr>
        <w:keepNext/>
        <w:jc w:val="center"/>
      </w:pPr>
      <w:r>
        <w:rPr>
          <w:noProof/>
          <w:lang w:eastAsia="en-GB"/>
        </w:rPr>
        <w:lastRenderedPageBreak/>
        <w:drawing>
          <wp:inline distT="0" distB="0" distL="0" distR="0" wp14:anchorId="2C2B756D" wp14:editId="0C7A08D9">
            <wp:extent cx="4095262" cy="3175875"/>
            <wp:effectExtent l="0" t="0" r="635"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97610" cy="3177696"/>
                    </a:xfrm>
                    <a:prstGeom prst="rect">
                      <a:avLst/>
                    </a:prstGeom>
                    <a:noFill/>
                    <a:ln>
                      <a:noFill/>
                    </a:ln>
                  </pic:spPr>
                </pic:pic>
              </a:graphicData>
            </a:graphic>
          </wp:inline>
        </w:drawing>
      </w:r>
    </w:p>
    <w:p w14:paraId="12A4D68A" w14:textId="18C77319" w:rsidR="00D16020" w:rsidRDefault="00D16020" w:rsidP="006029EB">
      <w:pPr>
        <w:pStyle w:val="Caption"/>
        <w:jc w:val="center"/>
      </w:pPr>
      <w:bookmarkStart w:id="13" w:name="_Ref115447975"/>
      <w:r>
        <w:t xml:space="preserve">Figure </w:t>
      </w:r>
      <w:r>
        <w:fldChar w:fldCharType="begin"/>
      </w:r>
      <w:r>
        <w:instrText xml:space="preserve"> SEQ Figure \* ARABIC </w:instrText>
      </w:r>
      <w:r>
        <w:fldChar w:fldCharType="separate"/>
      </w:r>
      <w:r w:rsidR="0052429E">
        <w:rPr>
          <w:noProof/>
        </w:rPr>
        <w:t>6</w:t>
      </w:r>
      <w:r>
        <w:fldChar w:fldCharType="end"/>
      </w:r>
      <w:bookmarkEnd w:id="13"/>
      <w:r>
        <w:t>: True range plotted against estimated RTT based range for Highway scenario.</w:t>
      </w:r>
    </w:p>
    <w:p w14:paraId="7310CC40" w14:textId="77777777" w:rsidR="006E7C18" w:rsidRPr="001D0EB4" w:rsidRDefault="006E7C18" w:rsidP="0052429E"/>
    <w:bookmarkEnd w:id="0"/>
    <w:p w14:paraId="7AC1D20D" w14:textId="2C840EB5" w:rsidR="005B0B95" w:rsidRPr="00CA205A" w:rsidRDefault="00340AB9" w:rsidP="00CA205A">
      <w:pPr>
        <w:pStyle w:val="Heading1"/>
      </w:pPr>
      <w:r w:rsidRPr="00CA205A">
        <w:t>C</w:t>
      </w:r>
      <w:r w:rsidR="005B0B95" w:rsidRPr="00CA205A">
        <w:t>onclusion</w:t>
      </w:r>
      <w:r w:rsidRPr="00CA205A">
        <w:t>s</w:t>
      </w:r>
    </w:p>
    <w:p w14:paraId="31137517" w14:textId="77777777" w:rsidR="008E2D62" w:rsidRPr="0037429B" w:rsidRDefault="008E2D62" w:rsidP="008E2D62">
      <w:pPr>
        <w:pStyle w:val="BodyText"/>
        <w:rPr>
          <w:b/>
          <w:bCs/>
        </w:rPr>
      </w:pPr>
      <w:r>
        <w:t xml:space="preserve"> </w:t>
      </w:r>
      <w:r w:rsidRPr="0037429B">
        <w:t>In the previous sections we made the following observations:</w:t>
      </w:r>
      <w:r w:rsidRPr="0037429B">
        <w:rPr>
          <w:b/>
          <w:bCs/>
        </w:rPr>
        <w:t xml:space="preserve"> </w:t>
      </w:r>
    </w:p>
    <w:p w14:paraId="22376861" w14:textId="3D74D923" w:rsidR="00D968C0" w:rsidRDefault="008E2D62">
      <w:pPr>
        <w:pStyle w:val="TableofFigures"/>
        <w:tabs>
          <w:tab w:val="right" w:leader="dot" w:pos="9629"/>
        </w:tabs>
        <w:rPr>
          <w:rFonts w:asciiTheme="minorHAnsi" w:hAnsiTheme="minorHAnsi"/>
          <w:b w:val="0"/>
          <w:noProof/>
          <w:lang w:eastAsia="ja-JP"/>
        </w:rPr>
      </w:pPr>
      <w:r>
        <w:rPr>
          <w:bCs/>
        </w:rPr>
        <w:fldChar w:fldCharType="begin"/>
      </w:r>
      <w:r>
        <w:rPr>
          <w:bCs/>
        </w:rPr>
        <w:instrText xml:space="preserve"> TOC \f O \n \h \z \t "Observation" \c </w:instrText>
      </w:r>
      <w:r>
        <w:rPr>
          <w:bCs/>
        </w:rPr>
        <w:fldChar w:fldCharType="separate"/>
      </w:r>
      <w:hyperlink w:anchor="_Toc115461503" w:history="1">
        <w:r w:rsidR="00D968C0" w:rsidRPr="00437760">
          <w:rPr>
            <w:rStyle w:val="Hyperlink"/>
            <w:noProof/>
            <w:lang w:val="en-US"/>
          </w:rPr>
          <w:t>Observation 1</w:t>
        </w:r>
        <w:r w:rsidR="00D968C0">
          <w:rPr>
            <w:rFonts w:asciiTheme="minorHAnsi" w:hAnsiTheme="minorHAnsi"/>
            <w:b w:val="0"/>
            <w:noProof/>
            <w:lang w:eastAsia="ja-JP"/>
          </w:rPr>
          <w:tab/>
        </w:r>
        <w:r w:rsidR="00D968C0" w:rsidRPr="00437760">
          <w:rPr>
            <w:rStyle w:val="Hyperlink"/>
            <w:noProof/>
          </w:rPr>
          <w:t>SL positioning using RTT and TDOA are observed to have the same performance under the assumption of perfect RSU synchronization. RTT is expected to outperform TDOA under realistic sync conditions.</w:t>
        </w:r>
      </w:hyperlink>
    </w:p>
    <w:p w14:paraId="42AC0C82" w14:textId="0D0728F3" w:rsidR="00D968C0" w:rsidRDefault="00D968C0">
      <w:pPr>
        <w:pStyle w:val="TableofFigures"/>
        <w:tabs>
          <w:tab w:val="right" w:leader="dot" w:pos="9629"/>
        </w:tabs>
        <w:rPr>
          <w:rFonts w:asciiTheme="minorHAnsi" w:hAnsiTheme="minorHAnsi"/>
          <w:b w:val="0"/>
          <w:noProof/>
          <w:lang w:eastAsia="ja-JP"/>
        </w:rPr>
      </w:pPr>
      <w:hyperlink w:anchor="_Toc115461504" w:history="1">
        <w:r w:rsidRPr="00437760">
          <w:rPr>
            <w:rStyle w:val="Hyperlink"/>
            <w:noProof/>
            <w:lang w:val="en-US"/>
          </w:rPr>
          <w:t>Observation 2</w:t>
        </w:r>
        <w:r>
          <w:rPr>
            <w:rFonts w:asciiTheme="minorHAnsi" w:hAnsiTheme="minorHAnsi"/>
            <w:b w:val="0"/>
            <w:noProof/>
            <w:lang w:eastAsia="ja-JP"/>
          </w:rPr>
          <w:tab/>
        </w:r>
        <w:r w:rsidRPr="00437760">
          <w:rPr>
            <w:rStyle w:val="Hyperlink"/>
            <w:noProof/>
          </w:rPr>
          <w:t>Uu based positioning (DL-TDOA) is observed to outperform SL based positioning for the given deployments. This due to larger output powers and a better deployment for positioning.</w:t>
        </w:r>
      </w:hyperlink>
    </w:p>
    <w:p w14:paraId="5D68A4B3" w14:textId="22EB5DFA" w:rsidR="00D968C0" w:rsidRDefault="00D968C0">
      <w:pPr>
        <w:pStyle w:val="TableofFigures"/>
        <w:tabs>
          <w:tab w:val="right" w:leader="dot" w:pos="9629"/>
        </w:tabs>
        <w:rPr>
          <w:rFonts w:asciiTheme="minorHAnsi" w:hAnsiTheme="minorHAnsi"/>
          <w:b w:val="0"/>
          <w:noProof/>
          <w:lang w:eastAsia="ja-JP"/>
        </w:rPr>
      </w:pPr>
      <w:hyperlink w:anchor="_Toc115461505" w:history="1">
        <w:r w:rsidRPr="00437760">
          <w:rPr>
            <w:rStyle w:val="Hyperlink"/>
            <w:noProof/>
            <w:lang w:val="en-US"/>
          </w:rPr>
          <w:t>Observation 3</w:t>
        </w:r>
        <w:r>
          <w:rPr>
            <w:rFonts w:asciiTheme="minorHAnsi" w:hAnsiTheme="minorHAnsi"/>
            <w:b w:val="0"/>
            <w:noProof/>
            <w:lang w:eastAsia="ja-JP"/>
          </w:rPr>
          <w:tab/>
        </w:r>
        <w:r w:rsidRPr="00437760">
          <w:rPr>
            <w:rStyle w:val="Hyperlink"/>
            <w:noProof/>
          </w:rPr>
          <w:t>Accurate SL RTT ranging and TA assisted (hybrid) one-way-ranging can be complementary solutions, trading accuracy for resource efficiency.</w:t>
        </w:r>
      </w:hyperlink>
    </w:p>
    <w:p w14:paraId="0D835B66" w14:textId="4A6D4D69" w:rsidR="00C629D3" w:rsidRPr="00A437C0" w:rsidRDefault="008E2D62" w:rsidP="00C629D3">
      <w:pPr>
        <w:pStyle w:val="BodyText"/>
        <w:rPr>
          <w:b/>
          <w:lang w:val="en-US"/>
        </w:rPr>
      </w:pPr>
      <w:r>
        <w:rPr>
          <w:b/>
          <w:bCs/>
        </w:rPr>
        <w:fldChar w:fldCharType="end"/>
      </w:r>
      <w:r w:rsidR="00C629D3" w:rsidRPr="00C629D3">
        <w:rPr>
          <w:lang w:val="en-US"/>
        </w:rPr>
        <w:t xml:space="preserve"> </w:t>
      </w:r>
      <w:r w:rsidR="00C629D3" w:rsidRPr="00A437C0">
        <w:rPr>
          <w:lang w:val="en-US"/>
        </w:rPr>
        <w:t>Based on the discussion in the previous sections we propose the following:</w:t>
      </w:r>
    </w:p>
    <w:p w14:paraId="562EF89D" w14:textId="2100209B" w:rsidR="00C629D3" w:rsidRDefault="00C629D3">
      <w:pPr>
        <w:pStyle w:val="TableofFigures"/>
        <w:tabs>
          <w:tab w:val="right" w:leader="dot" w:pos="9629"/>
        </w:tabs>
        <w:rPr>
          <w:rFonts w:asciiTheme="minorHAnsi" w:hAnsiTheme="minorHAnsi"/>
          <w:b w:val="0"/>
          <w:noProof/>
          <w:lang w:eastAsia="ja-JP"/>
        </w:rPr>
      </w:pPr>
      <w:r w:rsidRPr="00A437C0">
        <w:rPr>
          <w:b w:val="0"/>
          <w:lang w:val="en-US"/>
        </w:rPr>
        <w:fldChar w:fldCharType="begin"/>
      </w:r>
      <w:r w:rsidRPr="00A437C0">
        <w:rPr>
          <w:b w:val="0"/>
          <w:bCs/>
          <w:lang w:val="en-US"/>
        </w:rPr>
        <w:instrText xml:space="preserve"> TOC \n \h \z \t "Proposal" \c </w:instrText>
      </w:r>
      <w:r w:rsidRPr="00A437C0">
        <w:rPr>
          <w:b w:val="0"/>
          <w:lang w:val="en-US"/>
        </w:rPr>
        <w:fldChar w:fldCharType="separate"/>
      </w:r>
      <w:hyperlink w:anchor="_Toc115461575" w:history="1">
        <w:r w:rsidRPr="003A6F3B">
          <w:rPr>
            <w:rStyle w:val="Hyperlink"/>
            <w:noProof/>
          </w:rPr>
          <w:t>Proposal 1</w:t>
        </w:r>
        <w:r>
          <w:rPr>
            <w:rFonts w:asciiTheme="minorHAnsi" w:hAnsiTheme="minorHAnsi"/>
            <w:b w:val="0"/>
            <w:noProof/>
            <w:lang w:eastAsia="ja-JP"/>
          </w:rPr>
          <w:tab/>
        </w:r>
        <w:r w:rsidRPr="003A6F3B">
          <w:rPr>
            <w:rStyle w:val="Hyperlink"/>
            <w:noProof/>
          </w:rPr>
          <w:t>Capture the following observation in the TR: The RSU deployment for highway, with nodes deployed on each side of the road, is not optimal for positioning. Lateral accuracy is improved when the RSU deployment is complemented with gNBs deployment.</w:t>
        </w:r>
      </w:hyperlink>
    </w:p>
    <w:p w14:paraId="7744C2B7" w14:textId="2E5693B5" w:rsidR="005B0B95" w:rsidRPr="0037429B" w:rsidRDefault="00C629D3" w:rsidP="00C629D3">
      <w:pPr>
        <w:pStyle w:val="BodyText"/>
      </w:pPr>
      <w:r w:rsidRPr="00A437C0">
        <w:rPr>
          <w:b/>
          <w:lang w:val="en-US"/>
        </w:rPr>
        <w:fldChar w:fldCharType="end"/>
      </w:r>
    </w:p>
    <w:p w14:paraId="0C145A2F" w14:textId="77777777" w:rsidR="005B0B95" w:rsidRPr="00A852B0" w:rsidRDefault="005B0B95" w:rsidP="00063837">
      <w:pPr>
        <w:pStyle w:val="Heading1"/>
      </w:pPr>
      <w:bookmarkStart w:id="14" w:name="_In-sequence_SDU_delivery"/>
      <w:bookmarkEnd w:id="14"/>
      <w:r w:rsidRPr="00A852B0">
        <w:t>References</w:t>
      </w:r>
    </w:p>
    <w:p w14:paraId="7C5CCBFF" w14:textId="1EEEF12B" w:rsidR="005E73F6" w:rsidRPr="00B9113A" w:rsidRDefault="00C5658C" w:rsidP="007422EA">
      <w:pPr>
        <w:pStyle w:val="Reference"/>
        <w:rPr>
          <w:rStyle w:val="normaltextrun"/>
        </w:rPr>
      </w:pPr>
      <w:bookmarkStart w:id="15" w:name="_Ref102046556"/>
      <w:r w:rsidRPr="00DE3A7F">
        <w:rPr>
          <w:rFonts w:asciiTheme="minorBidi" w:hAnsiTheme="minorBidi"/>
        </w:rPr>
        <w:t>RP-213</w:t>
      </w:r>
      <w:r w:rsidR="00A95C7B" w:rsidRPr="00DE3A7F">
        <w:rPr>
          <w:rFonts w:asciiTheme="minorBidi" w:hAnsiTheme="minorBidi"/>
        </w:rPr>
        <w:t>588</w:t>
      </w:r>
      <w:r w:rsidR="00EA53B8" w:rsidRPr="00DE3A7F">
        <w:rPr>
          <w:rFonts w:asciiTheme="minorBidi" w:hAnsiTheme="minorBidi"/>
        </w:rPr>
        <w:t xml:space="preserve">, </w:t>
      </w:r>
      <w:r w:rsidR="00EA53B8">
        <w:t>Study on e</w:t>
      </w:r>
      <w:r w:rsidR="00EA53B8" w:rsidRPr="00684421">
        <w:t xml:space="preserve">xpanded and </w:t>
      </w:r>
      <w:r w:rsidR="00EA53B8">
        <w:t>i</w:t>
      </w:r>
      <w:r w:rsidR="00EA53B8" w:rsidRPr="00684421">
        <w:t xml:space="preserve">mproved NR </w:t>
      </w:r>
      <w:r w:rsidR="00EA53B8">
        <w:t>p</w:t>
      </w:r>
      <w:r w:rsidR="00EA53B8" w:rsidRPr="00684421">
        <w:t>ositioning</w:t>
      </w:r>
      <w:r w:rsidR="00EA53B8" w:rsidRPr="00DE3A7F">
        <w:t xml:space="preserve">, </w:t>
      </w:r>
      <w:r w:rsidR="00DE3A7F" w:rsidRPr="00DE3A7F">
        <w:t xml:space="preserve"> RAN#94e, 2021</w:t>
      </w:r>
      <w:bookmarkEnd w:id="15"/>
      <w:r w:rsidRPr="00DE3A7F">
        <w:rPr>
          <w:rStyle w:val="normaltextrun"/>
        </w:rPr>
        <w:t xml:space="preserve"> </w:t>
      </w:r>
    </w:p>
    <w:p w14:paraId="5B934CE6" w14:textId="2D13B096" w:rsidR="00B9113A" w:rsidRPr="00DE3A7F" w:rsidRDefault="00B9113A" w:rsidP="007422EA">
      <w:pPr>
        <w:pStyle w:val="Reference"/>
      </w:pPr>
      <w:r w:rsidRPr="00B9113A">
        <w:t>R1-</w:t>
      </w:r>
      <w:r w:rsidR="006420E5" w:rsidRPr="006420E5">
        <w:t>2210175</w:t>
      </w:r>
      <w:r>
        <w:t xml:space="preserve">, </w:t>
      </w:r>
      <w:r w:rsidRPr="00B9113A">
        <w:t>On potential solutions for SL positioning</w:t>
      </w:r>
      <w:r>
        <w:t>, Ericsson, RAN1#110</w:t>
      </w:r>
      <w:r w:rsidR="006420E5">
        <w:t>b-e</w:t>
      </w:r>
      <w:r>
        <w:t>, 2022</w:t>
      </w:r>
    </w:p>
    <w:p w14:paraId="419D68CD" w14:textId="1450A140" w:rsidR="004947D2" w:rsidRDefault="004947D2" w:rsidP="00D167A1"/>
    <w:p w14:paraId="7446C4A7" w14:textId="001E94FC" w:rsidR="00D7759F" w:rsidRDefault="00D7759F" w:rsidP="00D7759F">
      <w:pPr>
        <w:pStyle w:val="Heading1"/>
      </w:pPr>
      <w:r>
        <w:lastRenderedPageBreak/>
        <w:t>Appendix: Simulation result summary</w:t>
      </w:r>
    </w:p>
    <w:p w14:paraId="235FAD90" w14:textId="1F29761C" w:rsidR="00D7759F" w:rsidRDefault="00D7759F" w:rsidP="00D7759F">
      <w:pPr>
        <w:pStyle w:val="Heading5"/>
        <w:numPr>
          <w:ilvl w:val="0"/>
          <w:numId w:val="0"/>
        </w:numPr>
        <w:snapToGrid w:val="0"/>
        <w:ind w:left="1008" w:hanging="1008"/>
        <w:rPr>
          <w:rFonts w:ascii="Times New Roman" w:eastAsiaTheme="minorEastAsia" w:hAnsi="Times New Roman"/>
          <w:sz w:val="20"/>
        </w:rPr>
      </w:pPr>
    </w:p>
    <w:p w14:paraId="289231E0" w14:textId="75354F80" w:rsidR="00D7759F" w:rsidRDefault="00D7759F" w:rsidP="00D7759F">
      <w:pPr>
        <w:snapToGrid w:val="0"/>
        <w:jc w:val="center"/>
        <w:rPr>
          <w:rFonts w:ascii="Times New Roman" w:eastAsia="SimSun" w:hAnsi="Times New Roman"/>
          <w:kern w:val="2"/>
          <w:sz w:val="20"/>
          <w:szCs w:val="20"/>
        </w:rPr>
      </w:pPr>
    </w:p>
    <w:p w14:paraId="415666FD" w14:textId="0D905E5D" w:rsidR="00C617EE" w:rsidRDefault="00C617EE" w:rsidP="0052429E">
      <w:pPr>
        <w:pStyle w:val="Caption"/>
        <w:keepNext/>
      </w:pPr>
      <w:bookmarkStart w:id="16" w:name="_Ref115437268"/>
      <w:r>
        <w:t xml:space="preserve">Table </w:t>
      </w:r>
      <w:r>
        <w:fldChar w:fldCharType="begin"/>
      </w:r>
      <w:r>
        <w:instrText xml:space="preserve"> SEQ Table \* ARABIC </w:instrText>
      </w:r>
      <w:r>
        <w:fldChar w:fldCharType="separate"/>
      </w:r>
      <w:r w:rsidR="0052429E">
        <w:rPr>
          <w:noProof/>
        </w:rPr>
        <w:t>2</w:t>
      </w:r>
      <w:r>
        <w:fldChar w:fldCharType="end"/>
      </w:r>
      <w:bookmarkEnd w:id="16"/>
      <w:r>
        <w:t xml:space="preserve">: </w:t>
      </w:r>
      <w:r w:rsidRPr="00370E22">
        <w:t xml:space="preserve">Common assumption for all scenarios </w:t>
      </w:r>
    </w:p>
    <w:tbl>
      <w:tblPr>
        <w:tblW w:w="8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0"/>
        <w:gridCol w:w="4610"/>
      </w:tblGrid>
      <w:tr w:rsidR="00D7759F" w14:paraId="391B1DC7" w14:textId="77777777" w:rsidTr="006029EB">
        <w:trPr>
          <w:trHeight w:val="481"/>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0B901992" w14:textId="77777777" w:rsidR="00D7759F" w:rsidRDefault="00D7759F">
            <w:pPr>
              <w:rPr>
                <w:rFonts w:ascii="Times New Roman" w:hAnsi="Times New Roman"/>
                <w:b/>
                <w:sz w:val="18"/>
                <w:szCs w:val="18"/>
              </w:rPr>
            </w:pPr>
            <w:r>
              <w:rPr>
                <w:rFonts w:ascii="Times New Roman" w:hAnsi="Times New Roman"/>
                <w:b/>
                <w:sz w:val="18"/>
                <w:szCs w:val="18"/>
              </w:rPr>
              <w:t>Parameter</w:t>
            </w:r>
          </w:p>
        </w:tc>
        <w:tc>
          <w:tcPr>
            <w:tcW w:w="4610" w:type="dxa"/>
            <w:tcBorders>
              <w:top w:val="single" w:sz="8" w:space="0" w:color="auto"/>
              <w:left w:val="single" w:sz="8" w:space="0" w:color="auto"/>
              <w:bottom w:val="single" w:sz="8" w:space="0" w:color="auto"/>
              <w:right w:val="single" w:sz="8" w:space="0" w:color="auto"/>
            </w:tcBorders>
          </w:tcPr>
          <w:p w14:paraId="3231BC8C" w14:textId="77777777" w:rsidR="00D7759F" w:rsidRDefault="00D7759F">
            <w:pPr>
              <w:rPr>
                <w:rFonts w:ascii="Times New Roman" w:hAnsi="Times New Roman"/>
                <w:sz w:val="18"/>
                <w:szCs w:val="18"/>
              </w:rPr>
            </w:pPr>
          </w:p>
        </w:tc>
      </w:tr>
      <w:tr w:rsidR="00D7759F" w14:paraId="7C297F2F"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605229BE" w14:textId="77777777" w:rsidR="00D7759F" w:rsidRDefault="00D7759F">
            <w:pPr>
              <w:rPr>
                <w:rFonts w:ascii="Times New Roman" w:hAnsi="Times New Roman"/>
                <w:sz w:val="18"/>
                <w:szCs w:val="18"/>
              </w:rPr>
            </w:pPr>
            <w:r>
              <w:rPr>
                <w:rFonts w:ascii="Times New Roman" w:hAnsi="Times New Roman"/>
                <w:sz w:val="18"/>
                <w:szCs w:val="18"/>
              </w:rPr>
              <w:t>Carrier frequency</w:t>
            </w:r>
          </w:p>
        </w:tc>
        <w:tc>
          <w:tcPr>
            <w:tcW w:w="4610" w:type="dxa"/>
            <w:tcBorders>
              <w:top w:val="single" w:sz="8" w:space="0" w:color="auto"/>
              <w:left w:val="single" w:sz="8" w:space="0" w:color="auto"/>
              <w:bottom w:val="single" w:sz="8" w:space="0" w:color="auto"/>
              <w:right w:val="single" w:sz="8" w:space="0" w:color="auto"/>
            </w:tcBorders>
          </w:tcPr>
          <w:p w14:paraId="4B183EAE" w14:textId="033F993E" w:rsidR="00D7759F" w:rsidRDefault="009E1EEF">
            <w:pPr>
              <w:rPr>
                <w:rFonts w:ascii="Times New Roman" w:hAnsi="Times New Roman"/>
                <w:sz w:val="18"/>
                <w:szCs w:val="18"/>
              </w:rPr>
            </w:pPr>
            <w:r>
              <w:rPr>
                <w:szCs w:val="18"/>
                <w:lang w:eastAsia="zh-CN"/>
              </w:rPr>
              <w:t>4</w:t>
            </w:r>
            <w:r w:rsidRPr="00790A20">
              <w:rPr>
                <w:szCs w:val="18"/>
                <w:lang w:eastAsia="zh-CN"/>
              </w:rPr>
              <w:t>GHz</w:t>
            </w:r>
            <w:r>
              <w:rPr>
                <w:szCs w:val="18"/>
                <w:lang w:eastAsia="zh-CN"/>
              </w:rPr>
              <w:t xml:space="preserve"> (Uu), 6GHz (SL)</w:t>
            </w:r>
          </w:p>
        </w:tc>
      </w:tr>
      <w:tr w:rsidR="00D7759F" w14:paraId="2AE063B4"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5F013671" w14:textId="77777777" w:rsidR="00D7759F" w:rsidRDefault="00D7759F">
            <w:pPr>
              <w:rPr>
                <w:rFonts w:ascii="Times New Roman" w:hAnsi="Times New Roman"/>
                <w:sz w:val="18"/>
                <w:szCs w:val="18"/>
              </w:rPr>
            </w:pPr>
            <w:r>
              <w:rPr>
                <w:rFonts w:ascii="Times New Roman" w:hAnsi="Times New Roman"/>
                <w:sz w:val="18"/>
                <w:szCs w:val="18"/>
              </w:rPr>
              <w:t>Subcarrier spacing</w:t>
            </w:r>
          </w:p>
        </w:tc>
        <w:tc>
          <w:tcPr>
            <w:tcW w:w="4610" w:type="dxa"/>
            <w:tcBorders>
              <w:top w:val="single" w:sz="8" w:space="0" w:color="auto"/>
              <w:left w:val="single" w:sz="8" w:space="0" w:color="auto"/>
              <w:bottom w:val="single" w:sz="8" w:space="0" w:color="auto"/>
              <w:right w:val="single" w:sz="8" w:space="0" w:color="auto"/>
            </w:tcBorders>
          </w:tcPr>
          <w:p w14:paraId="4C927D5E" w14:textId="4EFF2E50" w:rsidR="00D7759F" w:rsidRDefault="009E1EEF">
            <w:pPr>
              <w:rPr>
                <w:rFonts w:ascii="Times New Roman" w:hAnsi="Times New Roman"/>
                <w:sz w:val="18"/>
                <w:szCs w:val="18"/>
              </w:rPr>
            </w:pPr>
            <w:r>
              <w:rPr>
                <w:rFonts w:ascii="Times New Roman" w:hAnsi="Times New Roman"/>
                <w:sz w:val="18"/>
                <w:szCs w:val="18"/>
              </w:rPr>
              <w:t>30 kHz</w:t>
            </w:r>
          </w:p>
        </w:tc>
      </w:tr>
      <w:tr w:rsidR="00D7759F" w14:paraId="7E3C6D89"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7D5DC116" w14:textId="77777777" w:rsidR="00D7759F" w:rsidRDefault="00D7759F">
            <w:pPr>
              <w:rPr>
                <w:rFonts w:ascii="Times New Roman" w:hAnsi="Times New Roman"/>
                <w:sz w:val="18"/>
                <w:szCs w:val="18"/>
              </w:rPr>
            </w:pPr>
            <w:r>
              <w:rPr>
                <w:rFonts w:ascii="Times New Roman" w:hAnsi="Times New Roman"/>
                <w:sz w:val="18"/>
                <w:szCs w:val="18"/>
              </w:rPr>
              <w:t>Reference Signal Transmission Bandwidth</w:t>
            </w:r>
          </w:p>
        </w:tc>
        <w:tc>
          <w:tcPr>
            <w:tcW w:w="4610" w:type="dxa"/>
            <w:tcBorders>
              <w:top w:val="single" w:sz="8" w:space="0" w:color="auto"/>
              <w:left w:val="single" w:sz="8" w:space="0" w:color="auto"/>
              <w:bottom w:val="single" w:sz="8" w:space="0" w:color="auto"/>
              <w:right w:val="single" w:sz="8" w:space="0" w:color="auto"/>
            </w:tcBorders>
          </w:tcPr>
          <w:p w14:paraId="10C55AE3" w14:textId="7666629E" w:rsidR="00D7759F" w:rsidRDefault="00C617EE">
            <w:pPr>
              <w:rPr>
                <w:rFonts w:ascii="Times New Roman" w:hAnsi="Times New Roman"/>
                <w:sz w:val="18"/>
                <w:szCs w:val="18"/>
              </w:rPr>
            </w:pPr>
            <w:r>
              <w:rPr>
                <w:szCs w:val="18"/>
                <w:lang w:eastAsia="zh-CN"/>
              </w:rPr>
              <w:t>[10 20 </w:t>
            </w:r>
            <w:r w:rsidRPr="00790A20">
              <w:rPr>
                <w:szCs w:val="18"/>
                <w:lang w:eastAsia="zh-CN"/>
              </w:rPr>
              <w:t>100</w:t>
            </w:r>
            <w:r>
              <w:rPr>
                <w:szCs w:val="18"/>
                <w:lang w:eastAsia="zh-CN"/>
              </w:rPr>
              <w:t xml:space="preserve">] </w:t>
            </w:r>
            <w:r w:rsidRPr="00790A20">
              <w:rPr>
                <w:szCs w:val="18"/>
                <w:lang w:eastAsia="zh-CN"/>
              </w:rPr>
              <w:t>MHz</w:t>
            </w:r>
          </w:p>
        </w:tc>
      </w:tr>
      <w:tr w:rsidR="00D7759F" w14:paraId="3C175EDB"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6F430E03" w14:textId="77777777" w:rsidR="00D7759F" w:rsidRDefault="00D7759F">
            <w:pPr>
              <w:rPr>
                <w:rFonts w:ascii="Times New Roman" w:hAnsi="Times New Roman"/>
                <w:sz w:val="18"/>
                <w:szCs w:val="18"/>
              </w:rPr>
            </w:pPr>
            <w:r>
              <w:rPr>
                <w:rFonts w:ascii="Times New Roman" w:hAnsi="Times New Roman"/>
                <w:sz w:val="18"/>
                <w:szCs w:val="18"/>
              </w:rPr>
              <w:t>Reference Signal Physical Structure and Resource Allocation (RE pattern)</w:t>
            </w:r>
          </w:p>
        </w:tc>
        <w:tc>
          <w:tcPr>
            <w:tcW w:w="4610" w:type="dxa"/>
            <w:tcBorders>
              <w:top w:val="single" w:sz="8" w:space="0" w:color="auto"/>
              <w:left w:val="single" w:sz="8" w:space="0" w:color="auto"/>
              <w:bottom w:val="single" w:sz="8" w:space="0" w:color="auto"/>
              <w:right w:val="single" w:sz="8" w:space="0" w:color="auto"/>
            </w:tcBorders>
          </w:tcPr>
          <w:p w14:paraId="7A7D82FF" w14:textId="50E24D25" w:rsidR="00D7759F" w:rsidRDefault="00C617EE">
            <w:pPr>
              <w:rPr>
                <w:rFonts w:ascii="Times New Roman" w:hAnsi="Times New Roman"/>
                <w:sz w:val="18"/>
                <w:szCs w:val="18"/>
              </w:rPr>
            </w:pPr>
            <w:r>
              <w:rPr>
                <w:rFonts w:ascii="Times New Roman" w:hAnsi="Times New Roman"/>
                <w:sz w:val="18"/>
                <w:szCs w:val="18"/>
              </w:rPr>
              <w:t>-</w:t>
            </w:r>
          </w:p>
        </w:tc>
      </w:tr>
      <w:tr w:rsidR="00D7759F" w14:paraId="18C056DF"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679ED8E3" w14:textId="77777777" w:rsidR="00D7759F" w:rsidRDefault="00D7759F">
            <w:pPr>
              <w:rPr>
                <w:rFonts w:ascii="Times New Roman" w:hAnsi="Times New Roman"/>
                <w:sz w:val="18"/>
                <w:szCs w:val="18"/>
              </w:rPr>
            </w:pPr>
            <w:r>
              <w:rPr>
                <w:rFonts w:ascii="Times New Roman" w:hAnsi="Times New Roman"/>
                <w:sz w:val="18"/>
                <w:szCs w:val="18"/>
              </w:rPr>
              <w:t>Reference signal including PRS, SRS and SL-PRS</w:t>
            </w:r>
          </w:p>
          <w:p w14:paraId="53F37ACB" w14:textId="77777777" w:rsidR="00D7759F" w:rsidRDefault="00D7759F">
            <w:pPr>
              <w:rPr>
                <w:rFonts w:ascii="Times New Roman" w:hAnsi="Times New Roman"/>
                <w:sz w:val="18"/>
                <w:szCs w:val="18"/>
              </w:rPr>
            </w:pPr>
            <w:r>
              <w:rPr>
                <w:rFonts w:ascii="Times New Roman" w:hAnsi="Times New Roman"/>
                <w:sz w:val="18"/>
                <w:szCs w:val="18"/>
              </w:rPr>
              <w:t>(type of sequence, number of ports, …)</w:t>
            </w:r>
          </w:p>
        </w:tc>
        <w:tc>
          <w:tcPr>
            <w:tcW w:w="4610" w:type="dxa"/>
            <w:tcBorders>
              <w:top w:val="single" w:sz="8" w:space="0" w:color="auto"/>
              <w:left w:val="single" w:sz="8" w:space="0" w:color="auto"/>
              <w:bottom w:val="single" w:sz="8" w:space="0" w:color="auto"/>
              <w:right w:val="single" w:sz="8" w:space="0" w:color="auto"/>
            </w:tcBorders>
          </w:tcPr>
          <w:p w14:paraId="3EBAA107" w14:textId="1998F2DD" w:rsidR="00D7759F" w:rsidRDefault="009E1EEF">
            <w:pPr>
              <w:rPr>
                <w:rFonts w:ascii="Times New Roman" w:hAnsi="Times New Roman"/>
                <w:sz w:val="18"/>
                <w:szCs w:val="18"/>
              </w:rPr>
            </w:pPr>
            <w:r>
              <w:rPr>
                <w:rFonts w:ascii="Times New Roman" w:hAnsi="Times New Roman"/>
                <w:sz w:val="18"/>
                <w:szCs w:val="18"/>
              </w:rPr>
              <w:t xml:space="preserve">SRS (SL,UL): 2 symb, 4 comb </w:t>
            </w:r>
            <w:r>
              <w:rPr>
                <w:rFonts w:ascii="Times New Roman" w:hAnsi="Times New Roman"/>
                <w:sz w:val="18"/>
                <w:szCs w:val="18"/>
              </w:rPr>
              <w:br/>
              <w:t>PRS (DL): comb 12</w:t>
            </w:r>
          </w:p>
        </w:tc>
      </w:tr>
      <w:tr w:rsidR="00D7759F" w14:paraId="7A916AA6"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25D16DDF" w14:textId="77777777" w:rsidR="00D7759F" w:rsidRDefault="00D7759F">
            <w:pPr>
              <w:rPr>
                <w:rFonts w:ascii="Times New Roman" w:hAnsi="Times New Roman"/>
                <w:sz w:val="18"/>
                <w:szCs w:val="18"/>
              </w:rPr>
            </w:pPr>
            <w:r>
              <w:rPr>
                <w:rFonts w:ascii="Times New Roman" w:hAnsi="Times New Roman"/>
                <w:sz w:val="18"/>
                <w:szCs w:val="18"/>
              </w:rPr>
              <w:t>Number of symbols used per occasion</w:t>
            </w:r>
          </w:p>
        </w:tc>
        <w:tc>
          <w:tcPr>
            <w:tcW w:w="4610" w:type="dxa"/>
            <w:tcBorders>
              <w:top w:val="single" w:sz="8" w:space="0" w:color="auto"/>
              <w:left w:val="single" w:sz="8" w:space="0" w:color="auto"/>
              <w:bottom w:val="single" w:sz="8" w:space="0" w:color="auto"/>
              <w:right w:val="single" w:sz="8" w:space="0" w:color="auto"/>
            </w:tcBorders>
          </w:tcPr>
          <w:p w14:paraId="6E70DB13" w14:textId="5A2197F1" w:rsidR="00D7759F" w:rsidRDefault="009E1EEF">
            <w:pPr>
              <w:rPr>
                <w:rFonts w:ascii="Times New Roman" w:hAnsi="Times New Roman"/>
                <w:sz w:val="18"/>
                <w:szCs w:val="18"/>
              </w:rPr>
            </w:pPr>
            <w:r>
              <w:rPr>
                <w:rFonts w:ascii="Times New Roman" w:hAnsi="Times New Roman"/>
                <w:sz w:val="18"/>
                <w:szCs w:val="18"/>
              </w:rPr>
              <w:t>(see above)</w:t>
            </w:r>
          </w:p>
        </w:tc>
      </w:tr>
      <w:tr w:rsidR="00D7759F" w14:paraId="45064CC8"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37B56129" w14:textId="77777777" w:rsidR="00D7759F" w:rsidRDefault="00D7759F">
            <w:pPr>
              <w:rPr>
                <w:rFonts w:ascii="Times New Roman" w:hAnsi="Times New Roman"/>
                <w:sz w:val="18"/>
                <w:szCs w:val="18"/>
              </w:rPr>
            </w:pPr>
            <w:r>
              <w:rPr>
                <w:rFonts w:ascii="Times New Roman" w:hAnsi="Times New Roman"/>
                <w:sz w:val="18"/>
                <w:szCs w:val="18"/>
              </w:rPr>
              <w:t>number of occasions used per positioning estimate</w:t>
            </w:r>
          </w:p>
        </w:tc>
        <w:tc>
          <w:tcPr>
            <w:tcW w:w="4610" w:type="dxa"/>
            <w:tcBorders>
              <w:top w:val="single" w:sz="8" w:space="0" w:color="auto"/>
              <w:left w:val="single" w:sz="8" w:space="0" w:color="auto"/>
              <w:bottom w:val="single" w:sz="8" w:space="0" w:color="auto"/>
              <w:right w:val="single" w:sz="8" w:space="0" w:color="auto"/>
            </w:tcBorders>
          </w:tcPr>
          <w:p w14:paraId="445D294D" w14:textId="37425126" w:rsidR="00D7759F" w:rsidRDefault="009E1EEF">
            <w:pPr>
              <w:rPr>
                <w:rFonts w:ascii="Times New Roman" w:hAnsi="Times New Roman"/>
                <w:sz w:val="18"/>
                <w:szCs w:val="18"/>
              </w:rPr>
            </w:pPr>
            <w:r>
              <w:rPr>
                <w:rFonts w:ascii="Times New Roman" w:hAnsi="Times New Roman"/>
                <w:sz w:val="18"/>
                <w:szCs w:val="18"/>
              </w:rPr>
              <w:t>1</w:t>
            </w:r>
          </w:p>
        </w:tc>
      </w:tr>
      <w:tr w:rsidR="00D7759F" w14:paraId="0A6BC26A"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1DBC7E62" w14:textId="77777777" w:rsidR="00D7759F" w:rsidRDefault="00D7759F">
            <w:pPr>
              <w:rPr>
                <w:rFonts w:ascii="Times New Roman" w:hAnsi="Times New Roman"/>
                <w:sz w:val="18"/>
                <w:szCs w:val="18"/>
              </w:rPr>
            </w:pPr>
            <w:r>
              <w:rPr>
                <w:rFonts w:ascii="Times New Roman" w:hAnsi="Times New Roman"/>
                <w:sz w:val="18"/>
                <w:szCs w:val="18"/>
              </w:rPr>
              <w:t>Power-boosting level</w:t>
            </w:r>
          </w:p>
        </w:tc>
        <w:tc>
          <w:tcPr>
            <w:tcW w:w="4610" w:type="dxa"/>
            <w:tcBorders>
              <w:top w:val="single" w:sz="8" w:space="0" w:color="auto"/>
              <w:left w:val="single" w:sz="8" w:space="0" w:color="auto"/>
              <w:bottom w:val="single" w:sz="8" w:space="0" w:color="auto"/>
              <w:right w:val="single" w:sz="8" w:space="0" w:color="auto"/>
            </w:tcBorders>
          </w:tcPr>
          <w:p w14:paraId="63493464" w14:textId="55CEDA55" w:rsidR="00D7759F" w:rsidRDefault="009E1EEF">
            <w:pPr>
              <w:rPr>
                <w:rFonts w:ascii="Times New Roman" w:hAnsi="Times New Roman"/>
                <w:sz w:val="18"/>
                <w:szCs w:val="18"/>
              </w:rPr>
            </w:pPr>
            <w:r>
              <w:rPr>
                <w:rFonts w:ascii="Times New Roman" w:hAnsi="Times New Roman"/>
                <w:sz w:val="18"/>
                <w:szCs w:val="18"/>
              </w:rPr>
              <w:t>-</w:t>
            </w:r>
          </w:p>
        </w:tc>
      </w:tr>
      <w:tr w:rsidR="00D7759F" w14:paraId="13F4ECBF"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630E0711" w14:textId="77777777" w:rsidR="00D7759F" w:rsidRDefault="00D7759F">
            <w:pPr>
              <w:rPr>
                <w:rFonts w:ascii="Times New Roman" w:hAnsi="Times New Roman"/>
                <w:sz w:val="18"/>
                <w:szCs w:val="18"/>
              </w:rPr>
            </w:pPr>
            <w:r>
              <w:rPr>
                <w:rFonts w:ascii="Times New Roman" w:hAnsi="Times New Roman"/>
                <w:sz w:val="18"/>
                <w:szCs w:val="18"/>
              </w:rPr>
              <w:t>Uplink power control (applied/not applied)</w:t>
            </w:r>
          </w:p>
        </w:tc>
        <w:tc>
          <w:tcPr>
            <w:tcW w:w="4610" w:type="dxa"/>
            <w:tcBorders>
              <w:top w:val="single" w:sz="8" w:space="0" w:color="auto"/>
              <w:left w:val="single" w:sz="8" w:space="0" w:color="auto"/>
              <w:bottom w:val="single" w:sz="8" w:space="0" w:color="auto"/>
              <w:right w:val="single" w:sz="8" w:space="0" w:color="auto"/>
            </w:tcBorders>
          </w:tcPr>
          <w:p w14:paraId="2C31F79C" w14:textId="7B9ACA4A" w:rsidR="00D7759F" w:rsidRDefault="009E1EEF">
            <w:pPr>
              <w:rPr>
                <w:rFonts w:ascii="Times New Roman" w:hAnsi="Times New Roman"/>
                <w:sz w:val="18"/>
                <w:szCs w:val="18"/>
              </w:rPr>
            </w:pPr>
            <w:r>
              <w:rPr>
                <w:rFonts w:ascii="Times New Roman" w:hAnsi="Times New Roman"/>
                <w:sz w:val="18"/>
                <w:szCs w:val="18"/>
              </w:rPr>
              <w:t>-</w:t>
            </w:r>
          </w:p>
        </w:tc>
      </w:tr>
      <w:tr w:rsidR="00D7759F" w14:paraId="16DCB770"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362B2365" w14:textId="77777777" w:rsidR="00D7759F" w:rsidRDefault="00D7759F">
            <w:pPr>
              <w:rPr>
                <w:rFonts w:ascii="Times New Roman" w:hAnsi="Times New Roman"/>
                <w:sz w:val="18"/>
                <w:szCs w:val="18"/>
              </w:rPr>
            </w:pPr>
            <w:r>
              <w:rPr>
                <w:rFonts w:ascii="Times New Roman" w:hAnsi="Times New Roman"/>
                <w:sz w:val="18"/>
                <w:szCs w:val="18"/>
              </w:rPr>
              <w:t>interference modelling (ideal muting, or other)</w:t>
            </w:r>
          </w:p>
        </w:tc>
        <w:tc>
          <w:tcPr>
            <w:tcW w:w="4610" w:type="dxa"/>
            <w:tcBorders>
              <w:top w:val="single" w:sz="8" w:space="0" w:color="auto"/>
              <w:left w:val="single" w:sz="8" w:space="0" w:color="auto"/>
              <w:bottom w:val="single" w:sz="8" w:space="0" w:color="auto"/>
              <w:right w:val="single" w:sz="8" w:space="0" w:color="auto"/>
            </w:tcBorders>
          </w:tcPr>
          <w:p w14:paraId="2FF9A286" w14:textId="4A4BBC61" w:rsidR="00D7759F" w:rsidRDefault="009E1EEF">
            <w:pPr>
              <w:rPr>
                <w:rFonts w:ascii="Times New Roman" w:hAnsi="Times New Roman"/>
                <w:sz w:val="18"/>
                <w:szCs w:val="18"/>
              </w:rPr>
            </w:pPr>
            <w:r>
              <w:rPr>
                <w:rFonts w:ascii="Times New Roman" w:hAnsi="Times New Roman"/>
                <w:sz w:val="18"/>
                <w:szCs w:val="18"/>
              </w:rPr>
              <w:t>No interference modelled</w:t>
            </w:r>
          </w:p>
        </w:tc>
      </w:tr>
      <w:tr w:rsidR="00D7759F" w14:paraId="56CC9FF7"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2C76057A" w14:textId="77777777" w:rsidR="00D7759F" w:rsidRDefault="00D7759F">
            <w:pPr>
              <w:rPr>
                <w:rFonts w:ascii="Times New Roman" w:hAnsi="Times New Roman"/>
                <w:sz w:val="18"/>
                <w:szCs w:val="18"/>
              </w:rPr>
            </w:pPr>
            <w:r>
              <w:rPr>
                <w:rFonts w:ascii="Times New Roman" w:hAnsi="Times New Roman"/>
                <w:sz w:val="18"/>
                <w:szCs w:val="18"/>
              </w:rPr>
              <w:t>Description of Measurement Algorithm (e.g. super resolution, interference cancellation, ….)</w:t>
            </w:r>
          </w:p>
        </w:tc>
        <w:tc>
          <w:tcPr>
            <w:tcW w:w="4610" w:type="dxa"/>
            <w:tcBorders>
              <w:top w:val="single" w:sz="8" w:space="0" w:color="auto"/>
              <w:left w:val="single" w:sz="8" w:space="0" w:color="auto"/>
              <w:bottom w:val="single" w:sz="8" w:space="0" w:color="auto"/>
              <w:right w:val="single" w:sz="8" w:space="0" w:color="auto"/>
            </w:tcBorders>
          </w:tcPr>
          <w:p w14:paraId="46BCDF3A" w14:textId="6029C07E" w:rsidR="00D7759F" w:rsidRDefault="00D7759F">
            <w:pPr>
              <w:rPr>
                <w:rFonts w:ascii="Times New Roman" w:hAnsi="Times New Roman"/>
                <w:sz w:val="18"/>
                <w:szCs w:val="18"/>
              </w:rPr>
            </w:pPr>
          </w:p>
        </w:tc>
      </w:tr>
      <w:tr w:rsidR="00D7759F" w14:paraId="54EC8A05"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0321B627" w14:textId="738FB543" w:rsidR="00D7759F" w:rsidRDefault="00D7759F">
            <w:pPr>
              <w:rPr>
                <w:rFonts w:ascii="Times New Roman" w:hAnsi="Times New Roman"/>
                <w:sz w:val="18"/>
                <w:szCs w:val="18"/>
              </w:rPr>
            </w:pPr>
            <w:r>
              <w:rPr>
                <w:rFonts w:ascii="Times New Roman" w:hAnsi="Times New Roman"/>
                <w:sz w:val="18"/>
                <w:szCs w:val="18"/>
              </w:rPr>
              <w:t>Description of positioning technique / applied positioning algorithm (e.g. Least square, Taylor series, etc)</w:t>
            </w:r>
          </w:p>
        </w:tc>
        <w:tc>
          <w:tcPr>
            <w:tcW w:w="4610" w:type="dxa"/>
            <w:tcBorders>
              <w:top w:val="single" w:sz="8" w:space="0" w:color="auto"/>
              <w:left w:val="single" w:sz="8" w:space="0" w:color="auto"/>
              <w:bottom w:val="single" w:sz="8" w:space="0" w:color="auto"/>
              <w:right w:val="single" w:sz="8" w:space="0" w:color="auto"/>
            </w:tcBorders>
          </w:tcPr>
          <w:p w14:paraId="3F55AD77" w14:textId="193171C0" w:rsidR="00D7759F" w:rsidRDefault="32C2E083">
            <w:pPr>
              <w:rPr>
                <w:rFonts w:ascii="Times New Roman" w:hAnsi="Times New Roman"/>
                <w:sz w:val="18"/>
                <w:szCs w:val="18"/>
              </w:rPr>
            </w:pPr>
            <w:r w:rsidRPr="1076328A">
              <w:rPr>
                <w:rFonts w:ascii="Times New Roman" w:hAnsi="Times New Roman"/>
                <w:sz w:val="18"/>
                <w:szCs w:val="18"/>
              </w:rPr>
              <w:t>Robust least square</w:t>
            </w:r>
          </w:p>
        </w:tc>
      </w:tr>
      <w:tr w:rsidR="00D7759F" w14:paraId="5C2115A8"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1177BFDB" w14:textId="77777777" w:rsidR="00D7759F" w:rsidRDefault="00D7759F">
            <w:pPr>
              <w:rPr>
                <w:rFonts w:ascii="Times New Roman" w:hAnsi="Times New Roman"/>
                <w:sz w:val="18"/>
                <w:szCs w:val="18"/>
              </w:rPr>
            </w:pPr>
            <w:r>
              <w:rPr>
                <w:rFonts w:ascii="Times New Roman" w:hAnsi="Times New Roman"/>
                <w:sz w:val="18"/>
                <w:szCs w:val="18"/>
              </w:rPr>
              <w:t>Synchronization assumptions</w:t>
            </w:r>
          </w:p>
        </w:tc>
        <w:tc>
          <w:tcPr>
            <w:tcW w:w="4610" w:type="dxa"/>
            <w:tcBorders>
              <w:top w:val="single" w:sz="8" w:space="0" w:color="auto"/>
              <w:left w:val="single" w:sz="8" w:space="0" w:color="auto"/>
              <w:bottom w:val="single" w:sz="8" w:space="0" w:color="auto"/>
              <w:right w:val="single" w:sz="8" w:space="0" w:color="auto"/>
            </w:tcBorders>
          </w:tcPr>
          <w:p w14:paraId="3A07E676" w14:textId="4EF8B83C" w:rsidR="00D7759F" w:rsidRDefault="00C617EE">
            <w:pPr>
              <w:rPr>
                <w:rFonts w:ascii="Times New Roman" w:hAnsi="Times New Roman"/>
                <w:sz w:val="18"/>
                <w:szCs w:val="18"/>
              </w:rPr>
            </w:pPr>
            <w:r>
              <w:rPr>
                <w:rFonts w:ascii="Times New Roman" w:hAnsi="Times New Roman"/>
                <w:sz w:val="18"/>
                <w:szCs w:val="18"/>
              </w:rPr>
              <w:t>Perfect sync</w:t>
            </w:r>
          </w:p>
        </w:tc>
      </w:tr>
      <w:tr w:rsidR="00D7759F" w14:paraId="0192B260"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7C48B13C" w14:textId="77777777" w:rsidR="00D7759F" w:rsidRDefault="00D7759F">
            <w:pPr>
              <w:rPr>
                <w:rFonts w:ascii="Times New Roman" w:hAnsi="Times New Roman"/>
                <w:sz w:val="18"/>
                <w:szCs w:val="18"/>
              </w:rPr>
            </w:pPr>
            <w:r>
              <w:rPr>
                <w:rFonts w:ascii="Times New Roman" w:hAnsi="Times New Roman"/>
                <w:sz w:val="18"/>
                <w:szCs w:val="18"/>
              </w:rPr>
              <w:t>UE/gNB RX and TX timing error assumption</w:t>
            </w:r>
          </w:p>
        </w:tc>
        <w:tc>
          <w:tcPr>
            <w:tcW w:w="4610" w:type="dxa"/>
            <w:tcBorders>
              <w:top w:val="single" w:sz="8" w:space="0" w:color="auto"/>
              <w:left w:val="single" w:sz="8" w:space="0" w:color="auto"/>
              <w:bottom w:val="single" w:sz="8" w:space="0" w:color="auto"/>
              <w:right w:val="single" w:sz="8" w:space="0" w:color="auto"/>
            </w:tcBorders>
          </w:tcPr>
          <w:p w14:paraId="0BC43785" w14:textId="12CC5145" w:rsidR="00D7759F" w:rsidRDefault="00C617EE">
            <w:pPr>
              <w:rPr>
                <w:rFonts w:ascii="Times New Roman" w:hAnsi="Times New Roman"/>
                <w:sz w:val="18"/>
                <w:szCs w:val="18"/>
              </w:rPr>
            </w:pPr>
            <w:r>
              <w:rPr>
                <w:rFonts w:ascii="Times New Roman" w:hAnsi="Times New Roman"/>
                <w:sz w:val="18"/>
                <w:szCs w:val="18"/>
              </w:rPr>
              <w:t>Perfect timing</w:t>
            </w:r>
          </w:p>
        </w:tc>
      </w:tr>
      <w:tr w:rsidR="00D7759F" w14:paraId="5DB42993"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73D1C42B" w14:textId="77777777" w:rsidR="00D7759F" w:rsidRDefault="00D7759F">
            <w:pPr>
              <w:rPr>
                <w:rFonts w:ascii="Times New Roman" w:hAnsi="Times New Roman"/>
                <w:sz w:val="18"/>
                <w:szCs w:val="18"/>
              </w:rPr>
            </w:pPr>
            <w:r>
              <w:rPr>
                <w:rFonts w:ascii="Times New Roman" w:hAnsi="Times New Roman"/>
                <w:sz w:val="18"/>
                <w:szCs w:val="18"/>
              </w:rPr>
              <w:t>Precoding assumptions (codebook, nrof antenna elements used, etc)</w:t>
            </w:r>
          </w:p>
        </w:tc>
        <w:tc>
          <w:tcPr>
            <w:tcW w:w="4610" w:type="dxa"/>
            <w:tcBorders>
              <w:top w:val="single" w:sz="8" w:space="0" w:color="auto"/>
              <w:left w:val="single" w:sz="8" w:space="0" w:color="auto"/>
              <w:bottom w:val="single" w:sz="8" w:space="0" w:color="auto"/>
              <w:right w:val="single" w:sz="8" w:space="0" w:color="auto"/>
            </w:tcBorders>
          </w:tcPr>
          <w:p w14:paraId="515FA7C6" w14:textId="19818EA9" w:rsidR="00D7759F" w:rsidRDefault="00C617EE">
            <w:pPr>
              <w:rPr>
                <w:rFonts w:ascii="Times New Roman" w:hAnsi="Times New Roman"/>
                <w:sz w:val="18"/>
                <w:szCs w:val="18"/>
              </w:rPr>
            </w:pPr>
            <w:r>
              <w:rPr>
                <w:rFonts w:ascii="Times New Roman" w:hAnsi="Times New Roman"/>
                <w:sz w:val="18"/>
                <w:szCs w:val="18"/>
              </w:rPr>
              <w:t>Assume single dual polarized antenna element</w:t>
            </w:r>
          </w:p>
        </w:tc>
      </w:tr>
      <w:tr w:rsidR="00D7759F" w14:paraId="228D03FC" w14:textId="77777777" w:rsidTr="006029EB">
        <w:trPr>
          <w:trHeight w:val="20"/>
          <w:jc w:val="center"/>
        </w:trPr>
        <w:tc>
          <w:tcPr>
            <w:tcW w:w="4240" w:type="dxa"/>
            <w:tcBorders>
              <w:top w:val="single" w:sz="8" w:space="0" w:color="auto"/>
              <w:left w:val="single" w:sz="8" w:space="0" w:color="auto"/>
              <w:bottom w:val="single" w:sz="8" w:space="0" w:color="auto"/>
              <w:right w:val="single" w:sz="8" w:space="0" w:color="auto"/>
            </w:tcBorders>
            <w:vAlign w:val="center"/>
            <w:hideMark/>
          </w:tcPr>
          <w:p w14:paraId="63ABD3A7" w14:textId="77777777" w:rsidR="00D7759F" w:rsidRDefault="00D7759F">
            <w:pPr>
              <w:rPr>
                <w:rFonts w:ascii="Times New Roman" w:hAnsi="Times New Roman"/>
                <w:sz w:val="18"/>
                <w:szCs w:val="18"/>
              </w:rPr>
            </w:pPr>
            <w:r>
              <w:rPr>
                <w:rFonts w:ascii="Times New Roman" w:hAnsi="Times New Roman"/>
                <w:sz w:val="18"/>
                <w:szCs w:val="18"/>
              </w:rPr>
              <w:t>Additional notes, if any</w:t>
            </w:r>
          </w:p>
        </w:tc>
        <w:tc>
          <w:tcPr>
            <w:tcW w:w="4610" w:type="dxa"/>
            <w:tcBorders>
              <w:top w:val="single" w:sz="8" w:space="0" w:color="auto"/>
              <w:left w:val="single" w:sz="8" w:space="0" w:color="auto"/>
              <w:bottom w:val="single" w:sz="8" w:space="0" w:color="auto"/>
              <w:right w:val="single" w:sz="8" w:space="0" w:color="auto"/>
            </w:tcBorders>
          </w:tcPr>
          <w:p w14:paraId="51E3930C" w14:textId="77777777" w:rsidR="00D7759F" w:rsidRDefault="00D7759F">
            <w:pPr>
              <w:rPr>
                <w:rFonts w:ascii="Times New Roman" w:hAnsi="Times New Roman"/>
                <w:sz w:val="18"/>
                <w:szCs w:val="18"/>
              </w:rPr>
            </w:pPr>
          </w:p>
        </w:tc>
      </w:tr>
    </w:tbl>
    <w:p w14:paraId="16DE9F1C" w14:textId="77777777" w:rsidR="00D7759F" w:rsidRDefault="00D7759F" w:rsidP="00D7759F">
      <w:pPr>
        <w:snapToGrid w:val="0"/>
        <w:rPr>
          <w:rFonts w:ascii="Calibri" w:hAnsi="Calibri"/>
          <w:lang w:eastAsia="zh-CN"/>
        </w:rPr>
      </w:pPr>
    </w:p>
    <w:p w14:paraId="758AB05D" w14:textId="1758A421" w:rsidR="00D7759F" w:rsidRDefault="00D7759F" w:rsidP="00D7759F">
      <w:pPr>
        <w:pStyle w:val="Heading5"/>
        <w:numPr>
          <w:ilvl w:val="0"/>
          <w:numId w:val="0"/>
        </w:numPr>
        <w:snapToGrid w:val="0"/>
        <w:ind w:left="1008" w:hanging="1008"/>
        <w:rPr>
          <w:rFonts w:eastAsiaTheme="minorEastAsia"/>
          <w:sz w:val="20"/>
        </w:rPr>
      </w:pPr>
      <w:r>
        <w:rPr>
          <w:rFonts w:eastAsiaTheme="minorEastAsia"/>
          <w:sz w:val="20"/>
        </w:rPr>
        <w:t>Highway scenario for V2X use case</w:t>
      </w:r>
      <w:r w:rsidR="007B4E07">
        <w:rPr>
          <w:rFonts w:eastAsiaTheme="minorEastAsia"/>
          <w:sz w:val="20"/>
        </w:rPr>
        <w:t xml:space="preserve"> simulation results</w:t>
      </w:r>
    </w:p>
    <w:p w14:paraId="50EE8D8C" w14:textId="77777777" w:rsidR="007B4E07" w:rsidRDefault="007B4E07" w:rsidP="007B4E07">
      <w:pPr>
        <w:snapToGrid w:val="0"/>
        <w:rPr>
          <w:rFonts w:ascii="Times New Roman" w:hAnsi="Times New Roman"/>
          <w:sz w:val="20"/>
          <w:szCs w:val="20"/>
        </w:rPr>
      </w:pPr>
    </w:p>
    <w:p w14:paraId="01538DE0" w14:textId="16C9A5E9" w:rsidR="00D7759F" w:rsidRDefault="00D7759F" w:rsidP="006029EB">
      <w:pPr>
        <w:snapToGrid w:val="0"/>
        <w:spacing w:after="160" w:line="259" w:lineRule="auto"/>
        <w:rPr>
          <w:rFonts w:ascii="Times New Roman" w:hAnsi="Times New Roman"/>
          <w:sz w:val="20"/>
          <w:szCs w:val="20"/>
        </w:rPr>
      </w:pPr>
      <w:r>
        <w:rPr>
          <w:rFonts w:ascii="Times New Roman" w:hAnsi="Times New Roman"/>
          <w:sz w:val="20"/>
          <w:szCs w:val="20"/>
        </w:rPr>
        <w:t xml:space="preserve">Table h-2 Simulation results for </w:t>
      </w:r>
      <w:r>
        <w:rPr>
          <w:rFonts w:ascii="Times New Roman" w:eastAsia="SimSun" w:hAnsi="Times New Roman"/>
          <w:b/>
          <w:kern w:val="2"/>
          <w:sz w:val="20"/>
          <w:szCs w:val="20"/>
        </w:rPr>
        <w:t>highway</w:t>
      </w:r>
      <w:r>
        <w:rPr>
          <w:rFonts w:ascii="Times New Roman" w:eastAsia="SimSun" w:hAnsi="Times New Roman"/>
          <w:kern w:val="2"/>
          <w:sz w:val="20"/>
          <w:szCs w:val="20"/>
        </w:rPr>
        <w:t xml:space="preserve"> for</w:t>
      </w:r>
      <w:r>
        <w:rPr>
          <w:rFonts w:ascii="Times New Roman" w:hAnsi="Times New Roman"/>
          <w:b/>
          <w:sz w:val="20"/>
          <w:szCs w:val="20"/>
        </w:rPr>
        <w:t xml:space="preserve"> absolute</w:t>
      </w:r>
      <w:r>
        <w:rPr>
          <w:rFonts w:ascii="Times New Roman" w:hAnsi="Times New Roman"/>
          <w:sz w:val="20"/>
          <w:szCs w:val="20"/>
        </w:rPr>
        <w:t xml:space="preserve"> positioning - </w:t>
      </w:r>
      <w:r>
        <w:rPr>
          <w:rFonts w:ascii="Times New Roman" w:hAnsi="Times New Roman"/>
          <w:b/>
          <w:sz w:val="20"/>
          <w:szCs w:val="20"/>
        </w:rPr>
        <w:t>horizontal</w:t>
      </w:r>
      <w:r>
        <w:rPr>
          <w:rFonts w:ascii="Times New Roman" w:hAnsi="Times New Roman"/>
          <w:sz w:val="20"/>
          <w:szCs w:val="20"/>
        </w:rPr>
        <w:t xml:space="preserve"> accuracy</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D7759F" w14:paraId="5FD3BF98" w14:textId="77777777" w:rsidTr="00D7759F">
        <w:trPr>
          <w:trHeight w:val="262"/>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7D766A71" w14:textId="77777777" w:rsidR="00D7759F" w:rsidRDefault="00D7759F">
            <w:pPr>
              <w:snapToGrid w:val="0"/>
              <w:rPr>
                <w:rFonts w:ascii="Times New Roman" w:hAnsi="Times New Roman"/>
                <w:sz w:val="20"/>
                <w:szCs w:val="20"/>
              </w:rPr>
            </w:pPr>
            <w:r>
              <w:rPr>
                <w:rFonts w:ascii="Times New Roman" w:hAnsi="Times New Roman"/>
                <w:sz w:val="20"/>
                <w:szCs w:val="20"/>
              </w:rPr>
              <w:t xml:space="preserve">Case ID and brief description </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42DE675D" w14:textId="77777777" w:rsidR="00D7759F" w:rsidRDefault="00D7759F">
            <w:pPr>
              <w:snapToGrid w:val="0"/>
              <w:rPr>
                <w:rFonts w:ascii="Times New Roman" w:hAnsi="Times New Roman"/>
                <w:sz w:val="20"/>
                <w:szCs w:val="20"/>
              </w:rPr>
            </w:pPr>
            <w:r>
              <w:rPr>
                <w:rFonts w:ascii="Times New Roman" w:hAnsi="Times New Roman"/>
                <w:sz w:val="20"/>
                <w:szCs w:val="20"/>
              </w:rPr>
              <w:t>50%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93038F8" w14:textId="77777777" w:rsidR="00D7759F" w:rsidRDefault="00D7759F">
            <w:pPr>
              <w:snapToGrid w:val="0"/>
              <w:rPr>
                <w:rFonts w:ascii="Times New Roman" w:hAnsi="Times New Roman"/>
                <w:sz w:val="20"/>
                <w:szCs w:val="20"/>
              </w:rPr>
            </w:pPr>
            <w:r>
              <w:rPr>
                <w:rFonts w:ascii="Times New Roman" w:hAnsi="Times New Roman"/>
                <w:sz w:val="20"/>
                <w:szCs w:val="20"/>
              </w:rPr>
              <w:t>67%</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7A06684B" w14:textId="77777777" w:rsidR="00D7759F" w:rsidRDefault="00D7759F">
            <w:pPr>
              <w:snapToGrid w:val="0"/>
              <w:rPr>
                <w:rFonts w:ascii="Times New Roman" w:hAnsi="Times New Roman"/>
                <w:sz w:val="20"/>
                <w:szCs w:val="20"/>
              </w:rPr>
            </w:pPr>
            <w:r>
              <w:rPr>
                <w:rFonts w:ascii="Times New Roman" w:hAnsi="Times New Roman"/>
                <w:sz w:val="20"/>
                <w:szCs w:val="20"/>
              </w:rPr>
              <w:t>80%</w:t>
            </w:r>
          </w:p>
        </w:tc>
        <w:tc>
          <w:tcPr>
            <w:tcW w:w="826" w:type="dxa"/>
            <w:tcBorders>
              <w:top w:val="single" w:sz="4" w:space="0" w:color="000000"/>
              <w:left w:val="single" w:sz="4" w:space="0" w:color="000000"/>
              <w:bottom w:val="single" w:sz="4" w:space="0" w:color="000000"/>
              <w:right w:val="single" w:sz="4" w:space="0" w:color="000000"/>
            </w:tcBorders>
            <w:vAlign w:val="center"/>
            <w:hideMark/>
          </w:tcPr>
          <w:p w14:paraId="62DBFC28" w14:textId="77777777" w:rsidR="00D7759F" w:rsidRDefault="00D7759F">
            <w:pPr>
              <w:snapToGrid w:val="0"/>
              <w:rPr>
                <w:rFonts w:ascii="Times New Roman" w:hAnsi="Times New Roman"/>
                <w:sz w:val="20"/>
                <w:szCs w:val="20"/>
              </w:rPr>
            </w:pPr>
            <w:r>
              <w:rPr>
                <w:rFonts w:ascii="Times New Roman" w:hAnsi="Times New Roman"/>
                <w:sz w:val="20"/>
                <w:szCs w:val="20"/>
              </w:rPr>
              <w:t>90%</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4CD6AB1D" w14:textId="77777777" w:rsidR="00D7759F" w:rsidRDefault="00D7759F">
            <w:pPr>
              <w:snapToGrid w:val="0"/>
              <w:rPr>
                <w:rFonts w:ascii="Times New Roman" w:hAnsi="Times New Roman"/>
                <w:sz w:val="20"/>
                <w:szCs w:val="20"/>
              </w:rPr>
            </w:pPr>
            <w:r>
              <w:rPr>
                <w:rFonts w:ascii="Times New Roman" w:hAnsi="Times New Roman"/>
                <w:sz w:val="20"/>
                <w:szCs w:val="20"/>
              </w:rPr>
              <w:t>Whether meet the requirement of set A</w:t>
            </w:r>
          </w:p>
          <w:p w14:paraId="2C656E90" w14:textId="18B24B3B" w:rsidR="00C11B84" w:rsidRDefault="00C11B84">
            <w:pPr>
              <w:snapToGrid w:val="0"/>
              <w:rPr>
                <w:rFonts w:ascii="Times New Roman" w:hAnsi="Times New Roman"/>
                <w:sz w:val="20"/>
                <w:szCs w:val="20"/>
              </w:rPr>
            </w:pPr>
            <w:r>
              <w:rPr>
                <w:rFonts w:ascii="Times New Roman" w:hAnsi="Times New Roman"/>
                <w:sz w:val="20"/>
                <w:szCs w:val="20"/>
              </w:rPr>
              <w:t>(1.5m)</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4A4F5098" w14:textId="62043C74" w:rsidR="00D7759F" w:rsidRDefault="00D7759F">
            <w:pPr>
              <w:snapToGrid w:val="0"/>
              <w:rPr>
                <w:rFonts w:ascii="Times New Roman" w:hAnsi="Times New Roman"/>
                <w:sz w:val="20"/>
                <w:szCs w:val="20"/>
              </w:rPr>
            </w:pPr>
            <w:r>
              <w:rPr>
                <w:rFonts w:ascii="Times New Roman" w:hAnsi="Times New Roman"/>
                <w:sz w:val="20"/>
                <w:szCs w:val="20"/>
              </w:rPr>
              <w:t>Whether meet the requirement of set B</w:t>
            </w:r>
            <w:r w:rsidR="00C11B84">
              <w:rPr>
                <w:rFonts w:ascii="Times New Roman" w:hAnsi="Times New Roman"/>
                <w:sz w:val="20"/>
                <w:szCs w:val="20"/>
              </w:rPr>
              <w:t xml:space="preserve"> (0.5m)</w:t>
            </w:r>
          </w:p>
        </w:tc>
      </w:tr>
      <w:tr w:rsidR="00D7759F" w14:paraId="2A599A2F" w14:textId="77777777" w:rsidTr="00D7759F">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hideMark/>
          </w:tcPr>
          <w:p w14:paraId="596A0508" w14:textId="43EDDC0E" w:rsidR="00D7759F" w:rsidRDefault="00D7759F">
            <w:pPr>
              <w:snapToGrid w:val="0"/>
              <w:rPr>
                <w:rFonts w:ascii="Times New Roman" w:hAnsi="Times New Roman"/>
                <w:sz w:val="20"/>
                <w:szCs w:val="20"/>
              </w:rPr>
            </w:pPr>
            <w:r>
              <w:rPr>
                <w:rFonts w:ascii="Times New Roman" w:hAnsi="Times New Roman"/>
                <w:sz w:val="20"/>
                <w:szCs w:val="20"/>
              </w:rPr>
              <w:t>BW#10M, FR#1,</w:t>
            </w:r>
            <w:r w:rsidR="005A26FF">
              <w:rPr>
                <w:rFonts w:ascii="Times New Roman" w:hAnsi="Times New Roman"/>
                <w:sz w:val="20"/>
                <w:szCs w:val="20"/>
              </w:rPr>
              <w:t xml:space="preserve"> </w:t>
            </w:r>
            <w:r>
              <w:rPr>
                <w:rFonts w:ascii="Times New Roman" w:hAnsi="Times New Roman"/>
                <w:sz w:val="20"/>
                <w:szCs w:val="20"/>
              </w:rPr>
              <w:t>#TDOA</w:t>
            </w:r>
          </w:p>
        </w:tc>
        <w:tc>
          <w:tcPr>
            <w:tcW w:w="824" w:type="dxa"/>
            <w:tcBorders>
              <w:top w:val="single" w:sz="4" w:space="0" w:color="000000"/>
              <w:left w:val="single" w:sz="4" w:space="0" w:color="000000"/>
              <w:bottom w:val="single" w:sz="4" w:space="0" w:color="000000"/>
              <w:right w:val="single" w:sz="4" w:space="0" w:color="000000"/>
            </w:tcBorders>
            <w:vAlign w:val="center"/>
          </w:tcPr>
          <w:p w14:paraId="534FE370" w14:textId="2FBAAA13" w:rsidR="00D7759F" w:rsidRDefault="00DF10E9">
            <w:pPr>
              <w:snapToGrid w:val="0"/>
              <w:rPr>
                <w:rFonts w:ascii="Times New Roman" w:hAnsi="Times New Roman"/>
                <w:sz w:val="20"/>
                <w:szCs w:val="20"/>
              </w:rPr>
            </w:pPr>
            <w:r>
              <w:rPr>
                <w:rFonts w:ascii="Times New Roman" w:hAnsi="Times New Roman"/>
                <w:sz w:val="20"/>
                <w:szCs w:val="20"/>
              </w:rPr>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3AD5303B" w14:textId="3DC61C0F" w:rsidR="00D7759F" w:rsidRDefault="00DF10E9">
            <w:pPr>
              <w:snapToGrid w:val="0"/>
              <w:rPr>
                <w:rFonts w:ascii="Times New Roman" w:hAnsi="Times New Roman"/>
                <w:sz w:val="20"/>
                <w:szCs w:val="20"/>
              </w:rPr>
            </w:pPr>
            <w:r>
              <w:rPr>
                <w:rFonts w:ascii="Times New Roman" w:hAnsi="Times New Roman"/>
                <w:sz w:val="20"/>
                <w:szCs w:val="20"/>
              </w:rPr>
              <w:t>2.1</w:t>
            </w:r>
          </w:p>
        </w:tc>
        <w:tc>
          <w:tcPr>
            <w:tcW w:w="824" w:type="dxa"/>
            <w:tcBorders>
              <w:top w:val="single" w:sz="4" w:space="0" w:color="000000"/>
              <w:left w:val="single" w:sz="4" w:space="0" w:color="000000"/>
              <w:bottom w:val="single" w:sz="4" w:space="0" w:color="000000"/>
              <w:right w:val="single" w:sz="4" w:space="0" w:color="000000"/>
            </w:tcBorders>
            <w:vAlign w:val="center"/>
          </w:tcPr>
          <w:p w14:paraId="1FA81A88" w14:textId="0809F99F" w:rsidR="00D7759F" w:rsidRDefault="00DF10E9">
            <w:pPr>
              <w:snapToGrid w:val="0"/>
              <w:rPr>
                <w:rFonts w:ascii="Times New Roman" w:hAnsi="Times New Roman"/>
                <w:sz w:val="20"/>
                <w:szCs w:val="20"/>
              </w:rPr>
            </w:pPr>
            <w:r>
              <w:rPr>
                <w:rFonts w:ascii="Times New Roman" w:hAnsi="Times New Roman"/>
                <w:sz w:val="20"/>
                <w:szCs w:val="20"/>
              </w:rPr>
              <w:t>3.1</w:t>
            </w:r>
          </w:p>
        </w:tc>
        <w:tc>
          <w:tcPr>
            <w:tcW w:w="826" w:type="dxa"/>
            <w:tcBorders>
              <w:top w:val="single" w:sz="4" w:space="0" w:color="000000"/>
              <w:left w:val="single" w:sz="4" w:space="0" w:color="000000"/>
              <w:bottom w:val="single" w:sz="4" w:space="0" w:color="000000"/>
              <w:right w:val="single" w:sz="4" w:space="0" w:color="000000"/>
            </w:tcBorders>
            <w:vAlign w:val="center"/>
          </w:tcPr>
          <w:p w14:paraId="0F0E97BF" w14:textId="4C603C3B" w:rsidR="00D7759F" w:rsidRDefault="00DF10E9">
            <w:pPr>
              <w:snapToGrid w:val="0"/>
              <w:rPr>
                <w:rFonts w:ascii="Times New Roman" w:hAnsi="Times New Roman"/>
                <w:sz w:val="20"/>
                <w:szCs w:val="20"/>
              </w:rPr>
            </w:pPr>
            <w:r>
              <w:rPr>
                <w:rFonts w:ascii="Times New Roman" w:hAnsi="Times New Roman"/>
                <w:sz w:val="20"/>
                <w:szCs w:val="20"/>
              </w:rPr>
              <w:t>4.5</w:t>
            </w:r>
          </w:p>
        </w:tc>
        <w:tc>
          <w:tcPr>
            <w:tcW w:w="1925" w:type="dxa"/>
            <w:tcBorders>
              <w:top w:val="single" w:sz="4" w:space="0" w:color="000000"/>
              <w:left w:val="single" w:sz="4" w:space="0" w:color="000000"/>
              <w:bottom w:val="single" w:sz="4" w:space="0" w:color="000000"/>
              <w:right w:val="single" w:sz="4" w:space="0" w:color="000000"/>
            </w:tcBorders>
            <w:vAlign w:val="center"/>
            <w:hideMark/>
          </w:tcPr>
          <w:p w14:paraId="5A525FB8" w14:textId="55D9C823" w:rsidR="00D7759F" w:rsidRDefault="00DF10E9">
            <w:pPr>
              <w:snapToGrid w:val="0"/>
              <w:rPr>
                <w:rFonts w:ascii="Times New Roman" w:hAnsi="Times New Roman"/>
                <w:sz w:val="20"/>
                <w:szCs w:val="20"/>
              </w:rPr>
            </w:pPr>
            <w:r>
              <w:rPr>
                <w:rFonts w:ascii="Times New Roman" w:hAnsi="Times New Roman"/>
                <w:sz w:val="20"/>
                <w:szCs w:val="20"/>
              </w:rPr>
              <w:t>No (54%)</w:t>
            </w:r>
          </w:p>
        </w:tc>
        <w:tc>
          <w:tcPr>
            <w:tcW w:w="1926" w:type="dxa"/>
            <w:tcBorders>
              <w:top w:val="single" w:sz="4" w:space="0" w:color="000000"/>
              <w:left w:val="single" w:sz="4" w:space="0" w:color="000000"/>
              <w:bottom w:val="single" w:sz="4" w:space="0" w:color="000000"/>
              <w:right w:val="single" w:sz="4" w:space="0" w:color="000000"/>
            </w:tcBorders>
            <w:vAlign w:val="center"/>
            <w:hideMark/>
          </w:tcPr>
          <w:p w14:paraId="1412A53C" w14:textId="5E66D82F" w:rsidR="00D7759F" w:rsidRDefault="00DF10E9">
            <w:pPr>
              <w:snapToGrid w:val="0"/>
              <w:rPr>
                <w:rFonts w:ascii="Times New Roman" w:hAnsi="Times New Roman"/>
                <w:sz w:val="20"/>
                <w:szCs w:val="20"/>
              </w:rPr>
            </w:pPr>
            <w:r>
              <w:rPr>
                <w:rFonts w:ascii="Times New Roman" w:hAnsi="Times New Roman"/>
                <w:sz w:val="20"/>
                <w:szCs w:val="20"/>
              </w:rPr>
              <w:t>No (12%)</w:t>
            </w:r>
          </w:p>
        </w:tc>
      </w:tr>
      <w:tr w:rsidR="005A26FF" w14:paraId="62CC5659" w14:textId="77777777" w:rsidTr="00D7759F">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tcPr>
          <w:p w14:paraId="1DF71283" w14:textId="7555A8B8" w:rsidR="005A26FF" w:rsidRDefault="005A26FF" w:rsidP="005A26FF">
            <w:pPr>
              <w:snapToGrid w:val="0"/>
              <w:rPr>
                <w:rFonts w:ascii="Times New Roman" w:hAnsi="Times New Roman"/>
                <w:sz w:val="20"/>
                <w:szCs w:val="20"/>
              </w:rPr>
            </w:pPr>
            <w:r>
              <w:rPr>
                <w:rFonts w:ascii="Times New Roman" w:hAnsi="Times New Roman"/>
                <w:sz w:val="20"/>
                <w:szCs w:val="20"/>
              </w:rPr>
              <w:t>BW#20M, FR#1, #TDOA</w:t>
            </w:r>
          </w:p>
        </w:tc>
        <w:tc>
          <w:tcPr>
            <w:tcW w:w="824" w:type="dxa"/>
            <w:tcBorders>
              <w:top w:val="single" w:sz="4" w:space="0" w:color="000000"/>
              <w:left w:val="single" w:sz="4" w:space="0" w:color="000000"/>
              <w:bottom w:val="single" w:sz="4" w:space="0" w:color="000000"/>
              <w:right w:val="single" w:sz="4" w:space="0" w:color="000000"/>
            </w:tcBorders>
            <w:vAlign w:val="center"/>
          </w:tcPr>
          <w:p w14:paraId="2A8DF8FE" w14:textId="46DBE2BB" w:rsidR="005A26FF" w:rsidRDefault="00DF10E9" w:rsidP="005A26FF">
            <w:pPr>
              <w:snapToGrid w:val="0"/>
              <w:rPr>
                <w:rFonts w:ascii="Times New Roman" w:hAnsi="Times New Roman"/>
                <w:sz w:val="20"/>
                <w:szCs w:val="20"/>
              </w:rPr>
            </w:pPr>
            <w:r>
              <w:rPr>
                <w:rFonts w:ascii="Times New Roman" w:hAnsi="Times New Roman"/>
                <w:sz w:val="20"/>
                <w:szCs w:val="20"/>
              </w:rPr>
              <w:t>1.0</w:t>
            </w:r>
          </w:p>
        </w:tc>
        <w:tc>
          <w:tcPr>
            <w:tcW w:w="824" w:type="dxa"/>
            <w:tcBorders>
              <w:top w:val="single" w:sz="4" w:space="0" w:color="000000"/>
              <w:left w:val="single" w:sz="4" w:space="0" w:color="000000"/>
              <w:bottom w:val="single" w:sz="4" w:space="0" w:color="000000"/>
              <w:right w:val="single" w:sz="4" w:space="0" w:color="000000"/>
            </w:tcBorders>
            <w:vAlign w:val="center"/>
          </w:tcPr>
          <w:p w14:paraId="2395F41A" w14:textId="00451331" w:rsidR="005A26FF" w:rsidRDefault="00DF10E9" w:rsidP="005A26FF">
            <w:pPr>
              <w:snapToGrid w:val="0"/>
              <w:rPr>
                <w:rFonts w:ascii="Times New Roman" w:hAnsi="Times New Roman"/>
                <w:sz w:val="20"/>
                <w:szCs w:val="20"/>
              </w:rPr>
            </w:pPr>
            <w:r>
              <w:rPr>
                <w:rFonts w:ascii="Times New Roman" w:hAnsi="Times New Roman"/>
                <w:sz w:val="20"/>
                <w:szCs w:val="20"/>
              </w:rPr>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4AC25C64" w14:textId="1D59F330" w:rsidR="005A26FF" w:rsidRDefault="00DF10E9" w:rsidP="005A26FF">
            <w:pPr>
              <w:snapToGrid w:val="0"/>
              <w:rPr>
                <w:rFonts w:ascii="Times New Roman" w:hAnsi="Times New Roman"/>
                <w:sz w:val="20"/>
                <w:szCs w:val="20"/>
              </w:rPr>
            </w:pPr>
            <w:r>
              <w:rPr>
                <w:rFonts w:ascii="Times New Roman" w:hAnsi="Times New Roman"/>
                <w:sz w:val="20"/>
                <w:szCs w:val="20"/>
              </w:rPr>
              <w:t>2.3</w:t>
            </w:r>
          </w:p>
        </w:tc>
        <w:tc>
          <w:tcPr>
            <w:tcW w:w="826" w:type="dxa"/>
            <w:tcBorders>
              <w:top w:val="single" w:sz="4" w:space="0" w:color="000000"/>
              <w:left w:val="single" w:sz="4" w:space="0" w:color="000000"/>
              <w:bottom w:val="single" w:sz="4" w:space="0" w:color="000000"/>
              <w:right w:val="single" w:sz="4" w:space="0" w:color="000000"/>
            </w:tcBorders>
            <w:vAlign w:val="center"/>
          </w:tcPr>
          <w:p w14:paraId="1D5F4517" w14:textId="7A8F30C2" w:rsidR="005A26FF" w:rsidRDefault="00DF10E9" w:rsidP="005A26FF">
            <w:pPr>
              <w:snapToGrid w:val="0"/>
              <w:rPr>
                <w:rFonts w:ascii="Times New Roman" w:hAnsi="Times New Roman"/>
                <w:sz w:val="20"/>
                <w:szCs w:val="20"/>
              </w:rPr>
            </w:pPr>
            <w:r>
              <w:rPr>
                <w:rFonts w:ascii="Times New Roman" w:hAnsi="Times New Roman"/>
                <w:sz w:val="20"/>
                <w:szCs w:val="20"/>
              </w:rPr>
              <w:t>3.5</w:t>
            </w:r>
          </w:p>
        </w:tc>
        <w:tc>
          <w:tcPr>
            <w:tcW w:w="1925" w:type="dxa"/>
            <w:tcBorders>
              <w:top w:val="single" w:sz="4" w:space="0" w:color="000000"/>
              <w:left w:val="single" w:sz="4" w:space="0" w:color="000000"/>
              <w:bottom w:val="single" w:sz="4" w:space="0" w:color="000000"/>
              <w:right w:val="single" w:sz="4" w:space="0" w:color="000000"/>
            </w:tcBorders>
            <w:vAlign w:val="center"/>
          </w:tcPr>
          <w:p w14:paraId="6AEA583F" w14:textId="52BF9CCA" w:rsidR="005A26FF" w:rsidRDefault="00DF10E9" w:rsidP="005A26FF">
            <w:pPr>
              <w:snapToGrid w:val="0"/>
              <w:rPr>
                <w:rFonts w:ascii="Times New Roman" w:hAnsi="Times New Roman"/>
                <w:sz w:val="20"/>
                <w:szCs w:val="20"/>
              </w:rPr>
            </w:pPr>
            <w:r>
              <w:rPr>
                <w:rFonts w:ascii="Times New Roman" w:hAnsi="Times New Roman"/>
                <w:sz w:val="20"/>
                <w:szCs w:val="20"/>
              </w:rPr>
              <w:t>No (64%)</w:t>
            </w:r>
          </w:p>
        </w:tc>
        <w:tc>
          <w:tcPr>
            <w:tcW w:w="1926" w:type="dxa"/>
            <w:tcBorders>
              <w:top w:val="single" w:sz="4" w:space="0" w:color="000000"/>
              <w:left w:val="single" w:sz="4" w:space="0" w:color="000000"/>
              <w:bottom w:val="single" w:sz="4" w:space="0" w:color="000000"/>
              <w:right w:val="single" w:sz="4" w:space="0" w:color="000000"/>
            </w:tcBorders>
            <w:vAlign w:val="center"/>
          </w:tcPr>
          <w:p w14:paraId="3B48615F" w14:textId="43F07B3A" w:rsidR="005A26FF" w:rsidRDefault="00DF10E9" w:rsidP="005A26FF">
            <w:pPr>
              <w:snapToGrid w:val="0"/>
              <w:rPr>
                <w:rFonts w:ascii="Times New Roman" w:hAnsi="Times New Roman"/>
                <w:sz w:val="20"/>
                <w:szCs w:val="20"/>
              </w:rPr>
            </w:pPr>
            <w:r>
              <w:rPr>
                <w:rFonts w:ascii="Times New Roman" w:hAnsi="Times New Roman"/>
                <w:sz w:val="20"/>
                <w:szCs w:val="20"/>
              </w:rPr>
              <w:t>No (18%)</w:t>
            </w:r>
          </w:p>
        </w:tc>
      </w:tr>
      <w:tr w:rsidR="005A26FF" w14:paraId="6DD9EA91" w14:textId="77777777" w:rsidTr="00D7759F">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tcPr>
          <w:p w14:paraId="25AD07F1" w14:textId="284D98DB" w:rsidR="005A26FF" w:rsidRDefault="005A26FF" w:rsidP="005A26FF">
            <w:pPr>
              <w:snapToGrid w:val="0"/>
              <w:rPr>
                <w:rFonts w:ascii="Times New Roman" w:hAnsi="Times New Roman"/>
                <w:sz w:val="20"/>
                <w:szCs w:val="20"/>
              </w:rPr>
            </w:pPr>
            <w:r>
              <w:rPr>
                <w:rFonts w:ascii="Times New Roman" w:hAnsi="Times New Roman"/>
                <w:sz w:val="20"/>
                <w:szCs w:val="20"/>
              </w:rPr>
              <w:t>BW#100M, FR#1, #TDOA</w:t>
            </w:r>
          </w:p>
        </w:tc>
        <w:tc>
          <w:tcPr>
            <w:tcW w:w="824" w:type="dxa"/>
            <w:tcBorders>
              <w:top w:val="single" w:sz="4" w:space="0" w:color="000000"/>
              <w:left w:val="single" w:sz="4" w:space="0" w:color="000000"/>
              <w:bottom w:val="single" w:sz="4" w:space="0" w:color="000000"/>
              <w:right w:val="single" w:sz="4" w:space="0" w:color="000000"/>
            </w:tcBorders>
            <w:vAlign w:val="center"/>
          </w:tcPr>
          <w:p w14:paraId="7A166AA2" w14:textId="01E153C1" w:rsidR="005A26FF" w:rsidRDefault="00DF10E9" w:rsidP="005A26FF">
            <w:pPr>
              <w:snapToGrid w:val="0"/>
              <w:rPr>
                <w:rFonts w:ascii="Times New Roman" w:hAnsi="Times New Roman"/>
                <w:sz w:val="20"/>
                <w:szCs w:val="20"/>
              </w:rPr>
            </w:pPr>
            <w:r>
              <w:rPr>
                <w:rFonts w:ascii="Times New Roman" w:hAnsi="Times New Roman"/>
                <w:sz w:val="20"/>
                <w:szCs w:val="20"/>
              </w:rPr>
              <w:t>0.2</w:t>
            </w:r>
          </w:p>
        </w:tc>
        <w:tc>
          <w:tcPr>
            <w:tcW w:w="824" w:type="dxa"/>
            <w:tcBorders>
              <w:top w:val="single" w:sz="4" w:space="0" w:color="000000"/>
              <w:left w:val="single" w:sz="4" w:space="0" w:color="000000"/>
              <w:bottom w:val="single" w:sz="4" w:space="0" w:color="000000"/>
              <w:right w:val="single" w:sz="4" w:space="0" w:color="000000"/>
            </w:tcBorders>
            <w:vAlign w:val="center"/>
          </w:tcPr>
          <w:p w14:paraId="4905D0FF" w14:textId="055DB4B3" w:rsidR="005A26FF" w:rsidRDefault="00DF10E9" w:rsidP="005A26FF">
            <w:pPr>
              <w:snapToGrid w:val="0"/>
              <w:rPr>
                <w:rFonts w:ascii="Times New Roman" w:hAnsi="Times New Roman"/>
                <w:sz w:val="20"/>
                <w:szCs w:val="20"/>
              </w:rPr>
            </w:pPr>
            <w:r>
              <w:rPr>
                <w:rFonts w:ascii="Times New Roman" w:hAnsi="Times New Roman"/>
                <w:sz w:val="20"/>
                <w:szCs w:val="20"/>
              </w:rPr>
              <w:t>0.3</w:t>
            </w:r>
          </w:p>
        </w:tc>
        <w:tc>
          <w:tcPr>
            <w:tcW w:w="824" w:type="dxa"/>
            <w:tcBorders>
              <w:top w:val="single" w:sz="4" w:space="0" w:color="000000"/>
              <w:left w:val="single" w:sz="4" w:space="0" w:color="000000"/>
              <w:bottom w:val="single" w:sz="4" w:space="0" w:color="000000"/>
              <w:right w:val="single" w:sz="4" w:space="0" w:color="000000"/>
            </w:tcBorders>
            <w:vAlign w:val="center"/>
          </w:tcPr>
          <w:p w14:paraId="7F2FA21F" w14:textId="4C96B001" w:rsidR="005A26FF" w:rsidRDefault="00DF10E9" w:rsidP="005A26FF">
            <w:pPr>
              <w:snapToGrid w:val="0"/>
              <w:rPr>
                <w:rFonts w:ascii="Times New Roman" w:hAnsi="Times New Roman"/>
                <w:sz w:val="20"/>
                <w:szCs w:val="20"/>
              </w:rPr>
            </w:pPr>
            <w:r>
              <w:rPr>
                <w:rFonts w:ascii="Times New Roman" w:hAnsi="Times New Roman"/>
                <w:sz w:val="20"/>
                <w:szCs w:val="20"/>
              </w:rPr>
              <w:t>0.5</w:t>
            </w:r>
          </w:p>
        </w:tc>
        <w:tc>
          <w:tcPr>
            <w:tcW w:w="826" w:type="dxa"/>
            <w:tcBorders>
              <w:top w:val="single" w:sz="4" w:space="0" w:color="000000"/>
              <w:left w:val="single" w:sz="4" w:space="0" w:color="000000"/>
              <w:bottom w:val="single" w:sz="4" w:space="0" w:color="000000"/>
              <w:right w:val="single" w:sz="4" w:space="0" w:color="000000"/>
            </w:tcBorders>
            <w:vAlign w:val="center"/>
          </w:tcPr>
          <w:p w14:paraId="616B7725" w14:textId="22F38777" w:rsidR="005A26FF" w:rsidRDefault="00DF10E9" w:rsidP="005A26FF">
            <w:pPr>
              <w:snapToGrid w:val="0"/>
              <w:rPr>
                <w:rFonts w:ascii="Times New Roman" w:hAnsi="Times New Roman"/>
                <w:sz w:val="20"/>
                <w:szCs w:val="20"/>
              </w:rPr>
            </w:pPr>
            <w:r>
              <w:rPr>
                <w:rFonts w:ascii="Times New Roman" w:hAnsi="Times New Roman"/>
                <w:sz w:val="20"/>
                <w:szCs w:val="20"/>
              </w:rPr>
              <w:t>0.7</w:t>
            </w:r>
          </w:p>
        </w:tc>
        <w:tc>
          <w:tcPr>
            <w:tcW w:w="1925" w:type="dxa"/>
            <w:tcBorders>
              <w:top w:val="single" w:sz="4" w:space="0" w:color="000000"/>
              <w:left w:val="single" w:sz="4" w:space="0" w:color="000000"/>
              <w:bottom w:val="single" w:sz="4" w:space="0" w:color="000000"/>
              <w:right w:val="single" w:sz="4" w:space="0" w:color="000000"/>
            </w:tcBorders>
            <w:vAlign w:val="center"/>
          </w:tcPr>
          <w:p w14:paraId="72C6B841" w14:textId="71BFCD7B" w:rsidR="005A26FF" w:rsidRDefault="00DF10E9" w:rsidP="005A26FF">
            <w:pPr>
              <w:snapToGrid w:val="0"/>
              <w:rPr>
                <w:rFonts w:ascii="Times New Roman" w:hAnsi="Times New Roman"/>
                <w:sz w:val="20"/>
                <w:szCs w:val="20"/>
              </w:rPr>
            </w:pPr>
            <w:r>
              <w:rPr>
                <w:rFonts w:ascii="Times New Roman" w:hAnsi="Times New Roman"/>
                <w:sz w:val="20"/>
                <w:szCs w:val="20"/>
              </w:rPr>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4C979272" w14:textId="6DB72711" w:rsidR="005A26FF" w:rsidRDefault="00DF10E9" w:rsidP="005A26FF">
            <w:pPr>
              <w:snapToGrid w:val="0"/>
              <w:rPr>
                <w:rFonts w:ascii="Times New Roman" w:hAnsi="Times New Roman"/>
                <w:sz w:val="20"/>
                <w:szCs w:val="20"/>
              </w:rPr>
            </w:pPr>
            <w:r>
              <w:rPr>
                <w:rFonts w:ascii="Times New Roman" w:hAnsi="Times New Roman"/>
                <w:sz w:val="20"/>
                <w:szCs w:val="20"/>
              </w:rPr>
              <w:t>No (81%)</w:t>
            </w:r>
          </w:p>
        </w:tc>
      </w:tr>
      <w:tr w:rsidR="00F46F37" w14:paraId="13E977C4" w14:textId="77777777" w:rsidTr="00D7759F">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tcPr>
          <w:p w14:paraId="19DD6DD2" w14:textId="77777777" w:rsidR="00F46F37" w:rsidRDefault="00F46F37" w:rsidP="005A26FF">
            <w:pPr>
              <w:snapToGrid w:val="0"/>
              <w:rPr>
                <w:rFonts w:ascii="Times New Roman" w:hAnsi="Times New Roman"/>
                <w:sz w:val="20"/>
                <w:szCs w:val="20"/>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5ECAE01D" w14:textId="77777777" w:rsidR="00F46F37" w:rsidRDefault="00F46F37" w:rsidP="005A26FF">
            <w:pPr>
              <w:snapToGrid w:val="0"/>
              <w:rPr>
                <w:rFonts w:ascii="Times New Roman" w:hAnsi="Times New Roman"/>
                <w:sz w:val="20"/>
                <w:szCs w:val="20"/>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280495AC" w14:textId="77777777" w:rsidR="00F46F37" w:rsidRDefault="00F46F37" w:rsidP="005A26FF">
            <w:pPr>
              <w:snapToGrid w:val="0"/>
              <w:rPr>
                <w:rFonts w:ascii="Times New Roman" w:hAnsi="Times New Roman"/>
                <w:sz w:val="20"/>
                <w:szCs w:val="20"/>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52EEB8DB" w14:textId="77777777" w:rsidR="00F46F37" w:rsidRDefault="00F46F37" w:rsidP="005A26FF">
            <w:pPr>
              <w:snapToGrid w:val="0"/>
              <w:rPr>
                <w:rFonts w:ascii="Times New Roman" w:hAnsi="Times New Roman"/>
                <w:sz w:val="20"/>
                <w:szCs w:val="20"/>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B368D71" w14:textId="77777777" w:rsidR="00F46F37" w:rsidRDefault="00F46F37" w:rsidP="005A26FF">
            <w:pPr>
              <w:snapToGrid w:val="0"/>
              <w:rPr>
                <w:rFonts w:ascii="Times New Roman" w:hAnsi="Times New Roman"/>
                <w:sz w:val="20"/>
                <w:szCs w:val="20"/>
              </w:rPr>
            </w:pPr>
          </w:p>
        </w:tc>
        <w:tc>
          <w:tcPr>
            <w:tcW w:w="1925" w:type="dxa"/>
            <w:tcBorders>
              <w:top w:val="single" w:sz="4" w:space="0" w:color="000000"/>
              <w:left w:val="single" w:sz="4" w:space="0" w:color="000000"/>
              <w:bottom w:val="single" w:sz="4" w:space="0" w:color="000000"/>
              <w:right w:val="single" w:sz="4" w:space="0" w:color="000000"/>
            </w:tcBorders>
            <w:vAlign w:val="center"/>
          </w:tcPr>
          <w:p w14:paraId="66DCE065" w14:textId="77777777" w:rsidR="00F46F37" w:rsidRDefault="00F46F37" w:rsidP="005A26FF">
            <w:pPr>
              <w:snapToGrid w:val="0"/>
              <w:rPr>
                <w:rFonts w:ascii="Times New Roman" w:hAnsi="Times New Roman"/>
                <w:sz w:val="20"/>
                <w:szCs w:val="20"/>
              </w:rPr>
            </w:pPr>
          </w:p>
        </w:tc>
        <w:tc>
          <w:tcPr>
            <w:tcW w:w="1926" w:type="dxa"/>
            <w:tcBorders>
              <w:top w:val="single" w:sz="4" w:space="0" w:color="000000"/>
              <w:left w:val="single" w:sz="4" w:space="0" w:color="000000"/>
              <w:bottom w:val="single" w:sz="4" w:space="0" w:color="000000"/>
              <w:right w:val="single" w:sz="4" w:space="0" w:color="000000"/>
            </w:tcBorders>
            <w:vAlign w:val="center"/>
          </w:tcPr>
          <w:p w14:paraId="4299734F" w14:textId="77777777" w:rsidR="00F46F37" w:rsidRDefault="00F46F37" w:rsidP="005A26FF">
            <w:pPr>
              <w:snapToGrid w:val="0"/>
              <w:rPr>
                <w:rFonts w:ascii="Times New Roman" w:hAnsi="Times New Roman"/>
                <w:sz w:val="20"/>
                <w:szCs w:val="20"/>
              </w:rPr>
            </w:pPr>
          </w:p>
        </w:tc>
      </w:tr>
      <w:tr w:rsidR="00DF10E9" w14:paraId="51CEF75B" w14:textId="77777777" w:rsidTr="00D7759F">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tcPr>
          <w:p w14:paraId="4411EE3D" w14:textId="00D63669" w:rsidR="00DF10E9" w:rsidRDefault="00DF10E9" w:rsidP="00DF10E9">
            <w:pPr>
              <w:snapToGrid w:val="0"/>
              <w:rPr>
                <w:rFonts w:ascii="Times New Roman" w:hAnsi="Times New Roman"/>
                <w:sz w:val="20"/>
                <w:szCs w:val="20"/>
              </w:rPr>
            </w:pPr>
            <w:r>
              <w:rPr>
                <w:rFonts w:ascii="Times New Roman" w:hAnsi="Times New Roman"/>
                <w:sz w:val="20"/>
                <w:szCs w:val="20"/>
              </w:rPr>
              <w:t>BW#10M, FR#1, #Multi-RTT</w:t>
            </w:r>
          </w:p>
        </w:tc>
        <w:tc>
          <w:tcPr>
            <w:tcW w:w="824" w:type="dxa"/>
            <w:tcBorders>
              <w:top w:val="single" w:sz="4" w:space="0" w:color="000000"/>
              <w:left w:val="single" w:sz="4" w:space="0" w:color="000000"/>
              <w:bottom w:val="single" w:sz="4" w:space="0" w:color="000000"/>
              <w:right w:val="single" w:sz="4" w:space="0" w:color="000000"/>
            </w:tcBorders>
            <w:vAlign w:val="center"/>
          </w:tcPr>
          <w:p w14:paraId="7EED6E14" w14:textId="5F0A37FE" w:rsidR="00DF10E9" w:rsidRDefault="00DF10E9" w:rsidP="00DF10E9">
            <w:pPr>
              <w:snapToGrid w:val="0"/>
              <w:rPr>
                <w:rFonts w:ascii="Times New Roman" w:hAnsi="Times New Roman"/>
                <w:sz w:val="20"/>
                <w:szCs w:val="20"/>
              </w:rPr>
            </w:pPr>
            <w:r>
              <w:rPr>
                <w:rFonts w:ascii="Times New Roman" w:hAnsi="Times New Roman"/>
                <w:sz w:val="20"/>
                <w:szCs w:val="20"/>
              </w:rPr>
              <w:t>1.4</w:t>
            </w:r>
          </w:p>
        </w:tc>
        <w:tc>
          <w:tcPr>
            <w:tcW w:w="824" w:type="dxa"/>
            <w:tcBorders>
              <w:top w:val="single" w:sz="4" w:space="0" w:color="000000"/>
              <w:left w:val="single" w:sz="4" w:space="0" w:color="000000"/>
              <w:bottom w:val="single" w:sz="4" w:space="0" w:color="000000"/>
              <w:right w:val="single" w:sz="4" w:space="0" w:color="000000"/>
            </w:tcBorders>
            <w:vAlign w:val="center"/>
          </w:tcPr>
          <w:p w14:paraId="75A4DFE3" w14:textId="2612FC91" w:rsidR="00DF10E9" w:rsidRDefault="00DF10E9" w:rsidP="00DF10E9">
            <w:pPr>
              <w:snapToGrid w:val="0"/>
              <w:rPr>
                <w:rFonts w:ascii="Times New Roman" w:hAnsi="Times New Roman"/>
                <w:sz w:val="20"/>
                <w:szCs w:val="20"/>
              </w:rPr>
            </w:pPr>
            <w:r>
              <w:rPr>
                <w:rFonts w:ascii="Times New Roman" w:hAnsi="Times New Roman"/>
                <w:sz w:val="20"/>
                <w:szCs w:val="20"/>
              </w:rPr>
              <w:t>2.1</w:t>
            </w:r>
          </w:p>
        </w:tc>
        <w:tc>
          <w:tcPr>
            <w:tcW w:w="824" w:type="dxa"/>
            <w:tcBorders>
              <w:top w:val="single" w:sz="4" w:space="0" w:color="000000"/>
              <w:left w:val="single" w:sz="4" w:space="0" w:color="000000"/>
              <w:bottom w:val="single" w:sz="4" w:space="0" w:color="000000"/>
              <w:right w:val="single" w:sz="4" w:space="0" w:color="000000"/>
            </w:tcBorders>
            <w:vAlign w:val="center"/>
          </w:tcPr>
          <w:p w14:paraId="512DF396" w14:textId="417012BA" w:rsidR="00DF10E9" w:rsidRDefault="00DF10E9" w:rsidP="00DF10E9">
            <w:pPr>
              <w:snapToGrid w:val="0"/>
              <w:rPr>
                <w:rFonts w:ascii="Times New Roman" w:hAnsi="Times New Roman"/>
                <w:sz w:val="20"/>
                <w:szCs w:val="20"/>
              </w:rPr>
            </w:pPr>
            <w:r>
              <w:rPr>
                <w:rFonts w:ascii="Times New Roman" w:hAnsi="Times New Roman"/>
                <w:sz w:val="20"/>
                <w:szCs w:val="20"/>
              </w:rPr>
              <w:t>3.1</w:t>
            </w:r>
          </w:p>
        </w:tc>
        <w:tc>
          <w:tcPr>
            <w:tcW w:w="826" w:type="dxa"/>
            <w:tcBorders>
              <w:top w:val="single" w:sz="4" w:space="0" w:color="000000"/>
              <w:left w:val="single" w:sz="4" w:space="0" w:color="000000"/>
              <w:bottom w:val="single" w:sz="4" w:space="0" w:color="000000"/>
              <w:right w:val="single" w:sz="4" w:space="0" w:color="000000"/>
            </w:tcBorders>
            <w:vAlign w:val="center"/>
          </w:tcPr>
          <w:p w14:paraId="6AE69F86" w14:textId="038B516D" w:rsidR="00DF10E9" w:rsidRDefault="00DF10E9" w:rsidP="00DF10E9">
            <w:pPr>
              <w:snapToGrid w:val="0"/>
              <w:rPr>
                <w:rFonts w:ascii="Times New Roman" w:hAnsi="Times New Roman"/>
                <w:sz w:val="20"/>
                <w:szCs w:val="20"/>
              </w:rPr>
            </w:pPr>
            <w:r>
              <w:rPr>
                <w:rFonts w:ascii="Times New Roman" w:hAnsi="Times New Roman"/>
                <w:sz w:val="20"/>
                <w:szCs w:val="20"/>
              </w:rPr>
              <w:t>4.5</w:t>
            </w:r>
          </w:p>
        </w:tc>
        <w:tc>
          <w:tcPr>
            <w:tcW w:w="1925" w:type="dxa"/>
            <w:tcBorders>
              <w:top w:val="single" w:sz="4" w:space="0" w:color="000000"/>
              <w:left w:val="single" w:sz="4" w:space="0" w:color="000000"/>
              <w:bottom w:val="single" w:sz="4" w:space="0" w:color="000000"/>
              <w:right w:val="single" w:sz="4" w:space="0" w:color="000000"/>
            </w:tcBorders>
            <w:vAlign w:val="center"/>
          </w:tcPr>
          <w:p w14:paraId="2C82D64F" w14:textId="48904EB3" w:rsidR="00DF10E9" w:rsidRDefault="00DF10E9" w:rsidP="00DF10E9">
            <w:pPr>
              <w:snapToGrid w:val="0"/>
              <w:rPr>
                <w:rFonts w:ascii="Times New Roman" w:hAnsi="Times New Roman"/>
                <w:sz w:val="20"/>
                <w:szCs w:val="20"/>
              </w:rPr>
            </w:pPr>
            <w:r>
              <w:rPr>
                <w:rFonts w:ascii="Times New Roman" w:hAnsi="Times New Roman"/>
                <w:sz w:val="20"/>
                <w:szCs w:val="20"/>
              </w:rPr>
              <w:t>No (54%)</w:t>
            </w:r>
          </w:p>
        </w:tc>
        <w:tc>
          <w:tcPr>
            <w:tcW w:w="1926" w:type="dxa"/>
            <w:tcBorders>
              <w:top w:val="single" w:sz="4" w:space="0" w:color="000000"/>
              <w:left w:val="single" w:sz="4" w:space="0" w:color="000000"/>
              <w:bottom w:val="single" w:sz="4" w:space="0" w:color="000000"/>
              <w:right w:val="single" w:sz="4" w:space="0" w:color="000000"/>
            </w:tcBorders>
            <w:vAlign w:val="center"/>
          </w:tcPr>
          <w:p w14:paraId="32646DA4" w14:textId="6327F467" w:rsidR="00DF10E9" w:rsidRDefault="00DF10E9" w:rsidP="00DF10E9">
            <w:pPr>
              <w:snapToGrid w:val="0"/>
              <w:rPr>
                <w:rFonts w:ascii="Times New Roman" w:hAnsi="Times New Roman"/>
                <w:sz w:val="20"/>
                <w:szCs w:val="20"/>
              </w:rPr>
            </w:pPr>
            <w:r>
              <w:rPr>
                <w:rFonts w:ascii="Times New Roman" w:hAnsi="Times New Roman"/>
                <w:sz w:val="20"/>
                <w:szCs w:val="20"/>
              </w:rPr>
              <w:t>No (12%)</w:t>
            </w:r>
          </w:p>
        </w:tc>
      </w:tr>
      <w:tr w:rsidR="00DF10E9" w14:paraId="5114F8A8" w14:textId="77777777" w:rsidTr="00D7759F">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tcPr>
          <w:p w14:paraId="1DEAA85B" w14:textId="4D51E9F3" w:rsidR="00DF10E9" w:rsidRDefault="00DF10E9" w:rsidP="00DF10E9">
            <w:pPr>
              <w:snapToGrid w:val="0"/>
              <w:rPr>
                <w:rFonts w:ascii="Times New Roman" w:hAnsi="Times New Roman"/>
                <w:sz w:val="20"/>
                <w:szCs w:val="20"/>
              </w:rPr>
            </w:pPr>
            <w:r>
              <w:rPr>
                <w:rFonts w:ascii="Times New Roman" w:hAnsi="Times New Roman"/>
                <w:sz w:val="20"/>
                <w:szCs w:val="20"/>
              </w:rPr>
              <w:t>BW#20M, FR#1, #Multi-RTT</w:t>
            </w:r>
          </w:p>
        </w:tc>
        <w:tc>
          <w:tcPr>
            <w:tcW w:w="824" w:type="dxa"/>
            <w:tcBorders>
              <w:top w:val="single" w:sz="4" w:space="0" w:color="000000"/>
              <w:left w:val="single" w:sz="4" w:space="0" w:color="000000"/>
              <w:bottom w:val="single" w:sz="4" w:space="0" w:color="000000"/>
              <w:right w:val="single" w:sz="4" w:space="0" w:color="000000"/>
            </w:tcBorders>
            <w:vAlign w:val="center"/>
          </w:tcPr>
          <w:p w14:paraId="4E49735D" w14:textId="12BF6CA3" w:rsidR="00DF10E9" w:rsidRDefault="00DF10E9" w:rsidP="00DF10E9">
            <w:pPr>
              <w:snapToGrid w:val="0"/>
              <w:rPr>
                <w:rFonts w:ascii="Times New Roman" w:hAnsi="Times New Roman"/>
                <w:sz w:val="20"/>
                <w:szCs w:val="20"/>
              </w:rPr>
            </w:pPr>
            <w:r>
              <w:rPr>
                <w:rFonts w:ascii="Times New Roman" w:hAnsi="Times New Roman"/>
                <w:sz w:val="20"/>
                <w:szCs w:val="20"/>
              </w:rPr>
              <w:t>1.0</w:t>
            </w:r>
          </w:p>
        </w:tc>
        <w:tc>
          <w:tcPr>
            <w:tcW w:w="824" w:type="dxa"/>
            <w:tcBorders>
              <w:top w:val="single" w:sz="4" w:space="0" w:color="000000"/>
              <w:left w:val="single" w:sz="4" w:space="0" w:color="000000"/>
              <w:bottom w:val="single" w:sz="4" w:space="0" w:color="000000"/>
              <w:right w:val="single" w:sz="4" w:space="0" w:color="000000"/>
            </w:tcBorders>
            <w:vAlign w:val="center"/>
          </w:tcPr>
          <w:p w14:paraId="72DB9B7C" w14:textId="54B758DE" w:rsidR="00DF10E9" w:rsidRDefault="00DF10E9" w:rsidP="00DF10E9">
            <w:pPr>
              <w:snapToGrid w:val="0"/>
              <w:rPr>
                <w:rFonts w:ascii="Times New Roman" w:hAnsi="Times New Roman"/>
                <w:sz w:val="20"/>
                <w:szCs w:val="20"/>
              </w:rPr>
            </w:pPr>
            <w:r>
              <w:rPr>
                <w:rFonts w:ascii="Times New Roman" w:hAnsi="Times New Roman"/>
                <w:sz w:val="20"/>
                <w:szCs w:val="20"/>
              </w:rPr>
              <w:t>1.6</w:t>
            </w:r>
          </w:p>
        </w:tc>
        <w:tc>
          <w:tcPr>
            <w:tcW w:w="824" w:type="dxa"/>
            <w:tcBorders>
              <w:top w:val="single" w:sz="4" w:space="0" w:color="000000"/>
              <w:left w:val="single" w:sz="4" w:space="0" w:color="000000"/>
              <w:bottom w:val="single" w:sz="4" w:space="0" w:color="000000"/>
              <w:right w:val="single" w:sz="4" w:space="0" w:color="000000"/>
            </w:tcBorders>
            <w:vAlign w:val="center"/>
          </w:tcPr>
          <w:p w14:paraId="6DE8E90B" w14:textId="18D92A92" w:rsidR="00DF10E9" w:rsidRDefault="00DF10E9" w:rsidP="00DF10E9">
            <w:pPr>
              <w:snapToGrid w:val="0"/>
              <w:rPr>
                <w:rFonts w:ascii="Times New Roman" w:hAnsi="Times New Roman"/>
                <w:sz w:val="20"/>
                <w:szCs w:val="20"/>
              </w:rPr>
            </w:pPr>
            <w:r>
              <w:rPr>
                <w:rFonts w:ascii="Times New Roman" w:hAnsi="Times New Roman"/>
                <w:sz w:val="20"/>
                <w:szCs w:val="20"/>
              </w:rPr>
              <w:t>2.3</w:t>
            </w:r>
          </w:p>
        </w:tc>
        <w:tc>
          <w:tcPr>
            <w:tcW w:w="826" w:type="dxa"/>
            <w:tcBorders>
              <w:top w:val="single" w:sz="4" w:space="0" w:color="000000"/>
              <w:left w:val="single" w:sz="4" w:space="0" w:color="000000"/>
              <w:bottom w:val="single" w:sz="4" w:space="0" w:color="000000"/>
              <w:right w:val="single" w:sz="4" w:space="0" w:color="000000"/>
            </w:tcBorders>
            <w:vAlign w:val="center"/>
          </w:tcPr>
          <w:p w14:paraId="1B4134B9" w14:textId="5E42E86C" w:rsidR="00DF10E9" w:rsidRDefault="00DF10E9" w:rsidP="00DF10E9">
            <w:pPr>
              <w:snapToGrid w:val="0"/>
              <w:rPr>
                <w:rFonts w:ascii="Times New Roman" w:hAnsi="Times New Roman"/>
                <w:sz w:val="20"/>
                <w:szCs w:val="20"/>
              </w:rPr>
            </w:pPr>
            <w:r>
              <w:rPr>
                <w:rFonts w:ascii="Times New Roman" w:hAnsi="Times New Roman"/>
                <w:sz w:val="20"/>
                <w:szCs w:val="20"/>
              </w:rPr>
              <w:t>3.5</w:t>
            </w:r>
          </w:p>
        </w:tc>
        <w:tc>
          <w:tcPr>
            <w:tcW w:w="1925" w:type="dxa"/>
            <w:tcBorders>
              <w:top w:val="single" w:sz="4" w:space="0" w:color="000000"/>
              <w:left w:val="single" w:sz="4" w:space="0" w:color="000000"/>
              <w:bottom w:val="single" w:sz="4" w:space="0" w:color="000000"/>
              <w:right w:val="single" w:sz="4" w:space="0" w:color="000000"/>
            </w:tcBorders>
            <w:vAlign w:val="center"/>
          </w:tcPr>
          <w:p w14:paraId="2F905C13" w14:textId="0ED80949" w:rsidR="00DF10E9" w:rsidRDefault="00DF10E9" w:rsidP="00DF10E9">
            <w:pPr>
              <w:snapToGrid w:val="0"/>
              <w:rPr>
                <w:rFonts w:ascii="Times New Roman" w:hAnsi="Times New Roman"/>
                <w:sz w:val="20"/>
                <w:szCs w:val="20"/>
              </w:rPr>
            </w:pPr>
            <w:r>
              <w:rPr>
                <w:rFonts w:ascii="Times New Roman" w:hAnsi="Times New Roman"/>
                <w:sz w:val="20"/>
                <w:szCs w:val="20"/>
              </w:rPr>
              <w:t>No (64%)</w:t>
            </w:r>
          </w:p>
        </w:tc>
        <w:tc>
          <w:tcPr>
            <w:tcW w:w="1926" w:type="dxa"/>
            <w:tcBorders>
              <w:top w:val="single" w:sz="4" w:space="0" w:color="000000"/>
              <w:left w:val="single" w:sz="4" w:space="0" w:color="000000"/>
              <w:bottom w:val="single" w:sz="4" w:space="0" w:color="000000"/>
              <w:right w:val="single" w:sz="4" w:space="0" w:color="000000"/>
            </w:tcBorders>
            <w:vAlign w:val="center"/>
          </w:tcPr>
          <w:p w14:paraId="50290796" w14:textId="10E8DE49" w:rsidR="00DF10E9" w:rsidRDefault="00DF10E9" w:rsidP="00DF10E9">
            <w:pPr>
              <w:snapToGrid w:val="0"/>
              <w:rPr>
                <w:rFonts w:ascii="Times New Roman" w:hAnsi="Times New Roman"/>
                <w:sz w:val="20"/>
                <w:szCs w:val="20"/>
              </w:rPr>
            </w:pPr>
            <w:r>
              <w:rPr>
                <w:rFonts w:ascii="Times New Roman" w:hAnsi="Times New Roman"/>
                <w:sz w:val="20"/>
                <w:szCs w:val="20"/>
              </w:rPr>
              <w:t>No (18%)</w:t>
            </w:r>
          </w:p>
        </w:tc>
      </w:tr>
      <w:tr w:rsidR="00DF10E9" w14:paraId="10B7CD5B" w14:textId="77777777" w:rsidTr="00D7759F">
        <w:trPr>
          <w:trHeight w:val="523"/>
          <w:jc w:val="center"/>
        </w:trPr>
        <w:tc>
          <w:tcPr>
            <w:tcW w:w="2201" w:type="dxa"/>
            <w:tcBorders>
              <w:top w:val="single" w:sz="4" w:space="0" w:color="000000"/>
              <w:left w:val="single" w:sz="4" w:space="0" w:color="000000"/>
              <w:bottom w:val="single" w:sz="4" w:space="0" w:color="000000"/>
              <w:right w:val="single" w:sz="4" w:space="0" w:color="000000"/>
            </w:tcBorders>
            <w:vAlign w:val="center"/>
          </w:tcPr>
          <w:p w14:paraId="51C922A2" w14:textId="4CEBA485" w:rsidR="00DF10E9" w:rsidRDefault="00DF10E9" w:rsidP="00DF10E9">
            <w:pPr>
              <w:snapToGrid w:val="0"/>
              <w:rPr>
                <w:rFonts w:ascii="Times New Roman" w:hAnsi="Times New Roman"/>
                <w:sz w:val="20"/>
                <w:szCs w:val="20"/>
              </w:rPr>
            </w:pPr>
            <w:r>
              <w:rPr>
                <w:rFonts w:ascii="Times New Roman" w:hAnsi="Times New Roman"/>
                <w:sz w:val="20"/>
                <w:szCs w:val="20"/>
              </w:rPr>
              <w:t>BW#100M, FR#1, #Multi-RTT</w:t>
            </w:r>
          </w:p>
        </w:tc>
        <w:tc>
          <w:tcPr>
            <w:tcW w:w="824" w:type="dxa"/>
            <w:tcBorders>
              <w:top w:val="single" w:sz="4" w:space="0" w:color="000000"/>
              <w:left w:val="single" w:sz="4" w:space="0" w:color="000000"/>
              <w:bottom w:val="single" w:sz="4" w:space="0" w:color="000000"/>
              <w:right w:val="single" w:sz="4" w:space="0" w:color="000000"/>
            </w:tcBorders>
            <w:vAlign w:val="center"/>
          </w:tcPr>
          <w:p w14:paraId="2C4277B2" w14:textId="47DB58B7" w:rsidR="00DF10E9" w:rsidRDefault="00DF10E9" w:rsidP="00DF10E9">
            <w:pPr>
              <w:snapToGrid w:val="0"/>
              <w:rPr>
                <w:rFonts w:ascii="Times New Roman" w:hAnsi="Times New Roman"/>
                <w:sz w:val="20"/>
                <w:szCs w:val="20"/>
              </w:rPr>
            </w:pPr>
            <w:r>
              <w:rPr>
                <w:rFonts w:ascii="Times New Roman" w:hAnsi="Times New Roman"/>
                <w:sz w:val="20"/>
                <w:szCs w:val="20"/>
              </w:rPr>
              <w:t>0.2</w:t>
            </w:r>
          </w:p>
        </w:tc>
        <w:tc>
          <w:tcPr>
            <w:tcW w:w="824" w:type="dxa"/>
            <w:tcBorders>
              <w:top w:val="single" w:sz="4" w:space="0" w:color="000000"/>
              <w:left w:val="single" w:sz="4" w:space="0" w:color="000000"/>
              <w:bottom w:val="single" w:sz="4" w:space="0" w:color="000000"/>
              <w:right w:val="single" w:sz="4" w:space="0" w:color="000000"/>
            </w:tcBorders>
            <w:vAlign w:val="center"/>
          </w:tcPr>
          <w:p w14:paraId="0CF6AF26" w14:textId="44E74A62" w:rsidR="00DF10E9" w:rsidRDefault="00DF10E9" w:rsidP="00DF10E9">
            <w:pPr>
              <w:snapToGrid w:val="0"/>
              <w:rPr>
                <w:rFonts w:ascii="Times New Roman" w:hAnsi="Times New Roman"/>
                <w:sz w:val="20"/>
                <w:szCs w:val="20"/>
              </w:rPr>
            </w:pPr>
            <w:r>
              <w:rPr>
                <w:rFonts w:ascii="Times New Roman" w:hAnsi="Times New Roman"/>
                <w:sz w:val="20"/>
                <w:szCs w:val="20"/>
              </w:rPr>
              <w:t>0.3</w:t>
            </w:r>
          </w:p>
        </w:tc>
        <w:tc>
          <w:tcPr>
            <w:tcW w:w="824" w:type="dxa"/>
            <w:tcBorders>
              <w:top w:val="single" w:sz="4" w:space="0" w:color="000000"/>
              <w:left w:val="single" w:sz="4" w:space="0" w:color="000000"/>
              <w:bottom w:val="single" w:sz="4" w:space="0" w:color="000000"/>
              <w:right w:val="single" w:sz="4" w:space="0" w:color="000000"/>
            </w:tcBorders>
            <w:vAlign w:val="center"/>
          </w:tcPr>
          <w:p w14:paraId="6EAA0338" w14:textId="781D6CA3" w:rsidR="00DF10E9" w:rsidRDefault="00DF10E9" w:rsidP="00DF10E9">
            <w:pPr>
              <w:snapToGrid w:val="0"/>
              <w:rPr>
                <w:rFonts w:ascii="Times New Roman" w:hAnsi="Times New Roman"/>
                <w:sz w:val="20"/>
                <w:szCs w:val="20"/>
              </w:rPr>
            </w:pPr>
            <w:r>
              <w:rPr>
                <w:rFonts w:ascii="Times New Roman" w:hAnsi="Times New Roman"/>
                <w:sz w:val="20"/>
                <w:szCs w:val="20"/>
              </w:rPr>
              <w:t>0.5</w:t>
            </w:r>
          </w:p>
        </w:tc>
        <w:tc>
          <w:tcPr>
            <w:tcW w:w="826" w:type="dxa"/>
            <w:tcBorders>
              <w:top w:val="single" w:sz="4" w:space="0" w:color="000000"/>
              <w:left w:val="single" w:sz="4" w:space="0" w:color="000000"/>
              <w:bottom w:val="single" w:sz="4" w:space="0" w:color="000000"/>
              <w:right w:val="single" w:sz="4" w:space="0" w:color="000000"/>
            </w:tcBorders>
            <w:vAlign w:val="center"/>
          </w:tcPr>
          <w:p w14:paraId="0B4A60F3" w14:textId="1BDD9DA8" w:rsidR="00DF10E9" w:rsidRDefault="00DF10E9" w:rsidP="00DF10E9">
            <w:pPr>
              <w:snapToGrid w:val="0"/>
              <w:rPr>
                <w:rFonts w:ascii="Times New Roman" w:hAnsi="Times New Roman"/>
                <w:sz w:val="20"/>
                <w:szCs w:val="20"/>
              </w:rPr>
            </w:pPr>
            <w:r>
              <w:rPr>
                <w:rFonts w:ascii="Times New Roman" w:hAnsi="Times New Roman"/>
                <w:sz w:val="20"/>
                <w:szCs w:val="20"/>
              </w:rPr>
              <w:t>0.7</w:t>
            </w:r>
          </w:p>
        </w:tc>
        <w:tc>
          <w:tcPr>
            <w:tcW w:w="1925" w:type="dxa"/>
            <w:tcBorders>
              <w:top w:val="single" w:sz="4" w:space="0" w:color="000000"/>
              <w:left w:val="single" w:sz="4" w:space="0" w:color="000000"/>
              <w:bottom w:val="single" w:sz="4" w:space="0" w:color="000000"/>
              <w:right w:val="single" w:sz="4" w:space="0" w:color="000000"/>
            </w:tcBorders>
            <w:vAlign w:val="center"/>
          </w:tcPr>
          <w:p w14:paraId="3F760971" w14:textId="50A442CD" w:rsidR="00DF10E9" w:rsidRDefault="00DF10E9" w:rsidP="00DF10E9">
            <w:pPr>
              <w:snapToGrid w:val="0"/>
              <w:rPr>
                <w:rFonts w:ascii="Times New Roman" w:hAnsi="Times New Roman"/>
                <w:sz w:val="20"/>
                <w:szCs w:val="20"/>
              </w:rPr>
            </w:pPr>
            <w:r>
              <w:rPr>
                <w:rFonts w:ascii="Times New Roman" w:hAnsi="Times New Roman"/>
                <w:sz w:val="20"/>
                <w:szCs w:val="20"/>
              </w:rPr>
              <w:t>Yes</w:t>
            </w:r>
          </w:p>
        </w:tc>
        <w:tc>
          <w:tcPr>
            <w:tcW w:w="1926" w:type="dxa"/>
            <w:tcBorders>
              <w:top w:val="single" w:sz="4" w:space="0" w:color="000000"/>
              <w:left w:val="single" w:sz="4" w:space="0" w:color="000000"/>
              <w:bottom w:val="single" w:sz="4" w:space="0" w:color="000000"/>
              <w:right w:val="single" w:sz="4" w:space="0" w:color="000000"/>
            </w:tcBorders>
            <w:vAlign w:val="center"/>
          </w:tcPr>
          <w:p w14:paraId="2E55129D" w14:textId="48A399B9" w:rsidR="00DF10E9" w:rsidRDefault="00DF10E9" w:rsidP="00DF10E9">
            <w:pPr>
              <w:snapToGrid w:val="0"/>
              <w:rPr>
                <w:rFonts w:ascii="Times New Roman" w:hAnsi="Times New Roman"/>
                <w:sz w:val="20"/>
                <w:szCs w:val="20"/>
              </w:rPr>
            </w:pPr>
            <w:r>
              <w:rPr>
                <w:rFonts w:ascii="Times New Roman" w:hAnsi="Times New Roman"/>
                <w:sz w:val="20"/>
                <w:szCs w:val="20"/>
              </w:rPr>
              <w:t>No (81%)</w:t>
            </w:r>
          </w:p>
        </w:tc>
      </w:tr>
    </w:tbl>
    <w:p w14:paraId="00F846BD" w14:textId="77777777" w:rsidR="00D7759F" w:rsidRDefault="00D7759F" w:rsidP="00D7759F">
      <w:pPr>
        <w:snapToGrid w:val="0"/>
        <w:rPr>
          <w:rFonts w:ascii="Calibri" w:hAnsi="Calibri"/>
          <w:lang w:eastAsia="zh-CN"/>
        </w:rPr>
      </w:pPr>
    </w:p>
    <w:p w14:paraId="5AB056E0" w14:textId="77777777" w:rsidR="00D7759F" w:rsidRDefault="00D7759F" w:rsidP="00D7759F">
      <w:pPr>
        <w:snapToGrid w:val="0"/>
        <w:rPr>
          <w:rFonts w:ascii="Calibri" w:hAnsi="Calibri"/>
          <w:lang w:eastAsia="zh-CN"/>
        </w:rPr>
      </w:pPr>
    </w:p>
    <w:p w14:paraId="2E22A866" w14:textId="77777777" w:rsidR="00D7759F" w:rsidRDefault="00D7759F" w:rsidP="00D7759F">
      <w:pPr>
        <w:snapToGrid w:val="0"/>
        <w:spacing w:before="180"/>
        <w:jc w:val="center"/>
        <w:rPr>
          <w:rFonts w:ascii="Times New Roman" w:hAnsi="Times New Roman"/>
          <w:sz w:val="20"/>
          <w:szCs w:val="20"/>
          <w:lang w:eastAsia="zh-CN"/>
        </w:rPr>
      </w:pPr>
      <w:r>
        <w:rPr>
          <w:rFonts w:ascii="Times New Roman" w:hAnsi="Times New Roman"/>
          <w:sz w:val="20"/>
          <w:szCs w:val="20"/>
        </w:rPr>
        <w:lastRenderedPageBreak/>
        <w:t xml:space="preserve">Table h-6 Simulation results for </w:t>
      </w:r>
      <w:r>
        <w:rPr>
          <w:rFonts w:ascii="Times New Roman" w:eastAsia="SimSun" w:hAnsi="Times New Roman"/>
          <w:b/>
          <w:kern w:val="2"/>
          <w:sz w:val="20"/>
          <w:szCs w:val="20"/>
        </w:rPr>
        <w:t>highway</w:t>
      </w:r>
      <w:r>
        <w:rPr>
          <w:rFonts w:ascii="Times New Roman" w:hAnsi="Times New Roman"/>
          <w:sz w:val="20"/>
          <w:szCs w:val="20"/>
        </w:rPr>
        <w:t xml:space="preserve"> for </w:t>
      </w:r>
      <w:r>
        <w:rPr>
          <w:rFonts w:ascii="Times New Roman" w:hAnsi="Times New Roman"/>
          <w:b/>
          <w:sz w:val="20"/>
          <w:szCs w:val="20"/>
        </w:rPr>
        <w:t>ranging</w:t>
      </w:r>
      <w:r>
        <w:rPr>
          <w:rFonts w:ascii="Times New Roman" w:hAnsi="Times New Roman"/>
          <w:sz w:val="20"/>
          <w:szCs w:val="20"/>
        </w:rPr>
        <w:t xml:space="preserve"> - </w:t>
      </w:r>
      <w:r>
        <w:rPr>
          <w:rFonts w:ascii="Times New Roman" w:hAnsi="Times New Roman"/>
          <w:b/>
          <w:sz w:val="20"/>
          <w:szCs w:val="20"/>
        </w:rPr>
        <w:t>distance</w:t>
      </w:r>
      <w:r>
        <w:rPr>
          <w:rFonts w:ascii="Times New Roman" w:hAnsi="Times New Roman"/>
          <w:sz w:val="20"/>
          <w:szCs w:val="20"/>
        </w:rPr>
        <w:t xml:space="preserve"> accuracy</w:t>
      </w:r>
    </w:p>
    <w:tbl>
      <w:tblPr>
        <w:tblW w:w="94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8"/>
        <w:gridCol w:w="821"/>
        <w:gridCol w:w="821"/>
        <w:gridCol w:w="821"/>
        <w:gridCol w:w="824"/>
        <w:gridCol w:w="1975"/>
        <w:gridCol w:w="1975"/>
      </w:tblGrid>
      <w:tr w:rsidR="00D7759F" w14:paraId="7AC2B5EF" w14:textId="77777777" w:rsidTr="00C11B84">
        <w:trPr>
          <w:trHeight w:val="262"/>
          <w:jc w:val="center"/>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02A32E58" w14:textId="77777777" w:rsidR="00D7759F" w:rsidRDefault="00D7759F">
            <w:pPr>
              <w:snapToGrid w:val="0"/>
              <w:rPr>
                <w:rFonts w:ascii="Times New Roman" w:hAnsi="Times New Roman"/>
                <w:sz w:val="20"/>
                <w:szCs w:val="20"/>
              </w:rPr>
            </w:pPr>
            <w:r>
              <w:rPr>
                <w:rFonts w:ascii="Times New Roman" w:hAnsi="Times New Roman"/>
                <w:sz w:val="20"/>
                <w:szCs w:val="20"/>
              </w:rPr>
              <w:t>Case ID and brief description</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49359EEA" w14:textId="77777777" w:rsidR="00D7759F" w:rsidRDefault="00D7759F">
            <w:pPr>
              <w:snapToGrid w:val="0"/>
              <w:rPr>
                <w:rFonts w:ascii="Times New Roman" w:hAnsi="Times New Roman"/>
                <w:sz w:val="20"/>
                <w:szCs w:val="20"/>
              </w:rPr>
            </w:pPr>
            <w:r>
              <w:rPr>
                <w:rFonts w:ascii="Times New Roman" w:hAnsi="Times New Roman"/>
                <w:sz w:val="20"/>
                <w:szCs w:val="20"/>
              </w:rPr>
              <w:t>50%</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291E52A6" w14:textId="77777777" w:rsidR="00D7759F" w:rsidRDefault="00D7759F">
            <w:pPr>
              <w:snapToGrid w:val="0"/>
              <w:rPr>
                <w:rFonts w:ascii="Times New Roman" w:hAnsi="Times New Roman"/>
                <w:sz w:val="20"/>
                <w:szCs w:val="20"/>
              </w:rPr>
            </w:pPr>
            <w:r>
              <w:rPr>
                <w:rFonts w:ascii="Times New Roman" w:hAnsi="Times New Roman"/>
                <w:sz w:val="20"/>
                <w:szCs w:val="20"/>
              </w:rPr>
              <w:t>67%</w:t>
            </w:r>
          </w:p>
        </w:tc>
        <w:tc>
          <w:tcPr>
            <w:tcW w:w="821" w:type="dxa"/>
            <w:tcBorders>
              <w:top w:val="single" w:sz="4" w:space="0" w:color="000000"/>
              <w:left w:val="single" w:sz="4" w:space="0" w:color="000000"/>
              <w:bottom w:val="single" w:sz="4" w:space="0" w:color="000000"/>
              <w:right w:val="single" w:sz="4" w:space="0" w:color="000000"/>
            </w:tcBorders>
            <w:vAlign w:val="center"/>
            <w:hideMark/>
          </w:tcPr>
          <w:p w14:paraId="0B557A68" w14:textId="77777777" w:rsidR="00D7759F" w:rsidRDefault="00D7759F">
            <w:pPr>
              <w:snapToGrid w:val="0"/>
              <w:rPr>
                <w:rFonts w:ascii="Times New Roman" w:hAnsi="Times New Roman"/>
                <w:sz w:val="20"/>
                <w:szCs w:val="20"/>
              </w:rPr>
            </w:pPr>
            <w:r>
              <w:rPr>
                <w:rFonts w:ascii="Times New Roman" w:hAnsi="Times New Roman"/>
                <w:sz w:val="20"/>
                <w:szCs w:val="20"/>
              </w:rPr>
              <w:t>80%</w:t>
            </w:r>
          </w:p>
        </w:tc>
        <w:tc>
          <w:tcPr>
            <w:tcW w:w="824" w:type="dxa"/>
            <w:tcBorders>
              <w:top w:val="single" w:sz="4" w:space="0" w:color="000000"/>
              <w:left w:val="single" w:sz="4" w:space="0" w:color="000000"/>
              <w:bottom w:val="single" w:sz="4" w:space="0" w:color="000000"/>
              <w:right w:val="single" w:sz="4" w:space="0" w:color="000000"/>
            </w:tcBorders>
            <w:vAlign w:val="center"/>
            <w:hideMark/>
          </w:tcPr>
          <w:p w14:paraId="6945A1EC" w14:textId="77777777" w:rsidR="00D7759F" w:rsidRDefault="00D7759F">
            <w:pPr>
              <w:snapToGrid w:val="0"/>
              <w:rPr>
                <w:rFonts w:ascii="Times New Roman" w:hAnsi="Times New Roman"/>
                <w:sz w:val="20"/>
                <w:szCs w:val="20"/>
              </w:rPr>
            </w:pPr>
            <w:r>
              <w:rPr>
                <w:rFonts w:ascii="Times New Roman" w:hAnsi="Times New Roman"/>
                <w:sz w:val="20"/>
                <w:szCs w:val="20"/>
              </w:rPr>
              <w:t>90%</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2F61D924" w14:textId="251A11C4" w:rsidR="00D7759F" w:rsidRDefault="00D7759F">
            <w:pPr>
              <w:snapToGrid w:val="0"/>
              <w:rPr>
                <w:rFonts w:ascii="Times New Roman" w:hAnsi="Times New Roman"/>
                <w:sz w:val="20"/>
                <w:szCs w:val="20"/>
              </w:rPr>
            </w:pPr>
            <w:r>
              <w:rPr>
                <w:rFonts w:ascii="Times New Roman" w:hAnsi="Times New Roman"/>
                <w:sz w:val="20"/>
                <w:szCs w:val="20"/>
              </w:rPr>
              <w:t>Whether meet the requirement of set A</w:t>
            </w:r>
            <w:r w:rsidR="00C11B84">
              <w:rPr>
                <w:rFonts w:ascii="Times New Roman" w:hAnsi="Times New Roman"/>
                <w:sz w:val="20"/>
                <w:szCs w:val="20"/>
              </w:rPr>
              <w:t xml:space="preserve"> (1.5m)</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57D3FDF6" w14:textId="5AC018AB" w:rsidR="00D7759F" w:rsidRDefault="00D7759F">
            <w:pPr>
              <w:snapToGrid w:val="0"/>
              <w:rPr>
                <w:rFonts w:ascii="Times New Roman" w:hAnsi="Times New Roman"/>
                <w:sz w:val="20"/>
                <w:szCs w:val="20"/>
              </w:rPr>
            </w:pPr>
            <w:r>
              <w:rPr>
                <w:rFonts w:ascii="Times New Roman" w:hAnsi="Times New Roman"/>
                <w:sz w:val="20"/>
                <w:szCs w:val="20"/>
              </w:rPr>
              <w:t>Whether meet the requirement of set B</w:t>
            </w:r>
            <w:r w:rsidR="00C11B84">
              <w:rPr>
                <w:rFonts w:ascii="Times New Roman" w:hAnsi="Times New Roman"/>
                <w:sz w:val="20"/>
                <w:szCs w:val="20"/>
              </w:rPr>
              <w:t xml:space="preserve"> (0.5 m)</w:t>
            </w:r>
          </w:p>
        </w:tc>
      </w:tr>
      <w:tr w:rsidR="00C11B84" w14:paraId="5F2C235B" w14:textId="77777777" w:rsidTr="00C11B84">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hideMark/>
          </w:tcPr>
          <w:p w14:paraId="1ACA7D6D" w14:textId="5BE40BE7" w:rsidR="00C11B84" w:rsidRDefault="00C11B84" w:rsidP="00C11B84">
            <w:pPr>
              <w:snapToGrid w:val="0"/>
              <w:rPr>
                <w:rFonts w:ascii="Times New Roman" w:hAnsi="Times New Roman"/>
                <w:sz w:val="20"/>
                <w:szCs w:val="20"/>
              </w:rPr>
            </w:pPr>
            <w:r>
              <w:rPr>
                <w:rFonts w:ascii="Times New Roman" w:hAnsi="Times New Roman"/>
                <w:sz w:val="20"/>
                <w:szCs w:val="20"/>
              </w:rPr>
              <w:t>BW#10M,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653A6BC7" w14:textId="6C1D2576" w:rsidR="00C11B84" w:rsidRDefault="00C11B84" w:rsidP="00C11B84">
            <w:pPr>
              <w:snapToGrid w:val="0"/>
              <w:rPr>
                <w:rFonts w:ascii="Times New Roman" w:hAnsi="Times New Roman"/>
                <w:sz w:val="20"/>
                <w:szCs w:val="20"/>
              </w:rPr>
            </w:pPr>
            <w:r>
              <w:rPr>
                <w:rFonts w:ascii="Times New Roman" w:hAnsi="Times New Roman"/>
                <w:sz w:val="20"/>
                <w:szCs w:val="20"/>
              </w:rPr>
              <w:t>1.1</w:t>
            </w:r>
          </w:p>
        </w:tc>
        <w:tc>
          <w:tcPr>
            <w:tcW w:w="821" w:type="dxa"/>
            <w:tcBorders>
              <w:top w:val="single" w:sz="4" w:space="0" w:color="000000"/>
              <w:left w:val="single" w:sz="4" w:space="0" w:color="000000"/>
              <w:bottom w:val="single" w:sz="4" w:space="0" w:color="000000"/>
              <w:right w:val="single" w:sz="4" w:space="0" w:color="000000"/>
            </w:tcBorders>
            <w:vAlign w:val="center"/>
          </w:tcPr>
          <w:p w14:paraId="0D459F71" w14:textId="5D1E16D3" w:rsidR="00C11B84" w:rsidRDefault="00C11B84" w:rsidP="00C11B84">
            <w:pPr>
              <w:snapToGrid w:val="0"/>
              <w:rPr>
                <w:rFonts w:ascii="Times New Roman" w:hAnsi="Times New Roman"/>
                <w:sz w:val="20"/>
                <w:szCs w:val="20"/>
              </w:rPr>
            </w:pPr>
            <w:r>
              <w:rPr>
                <w:rFonts w:ascii="Times New Roman" w:hAnsi="Times New Roman"/>
                <w:sz w:val="20"/>
                <w:szCs w:val="20"/>
              </w:rPr>
              <w:t>1.8</w:t>
            </w:r>
          </w:p>
        </w:tc>
        <w:tc>
          <w:tcPr>
            <w:tcW w:w="821" w:type="dxa"/>
            <w:tcBorders>
              <w:top w:val="single" w:sz="4" w:space="0" w:color="000000"/>
              <w:left w:val="single" w:sz="4" w:space="0" w:color="000000"/>
              <w:bottom w:val="single" w:sz="4" w:space="0" w:color="000000"/>
              <w:right w:val="single" w:sz="4" w:space="0" w:color="000000"/>
            </w:tcBorders>
            <w:vAlign w:val="center"/>
          </w:tcPr>
          <w:p w14:paraId="430265FA" w14:textId="3AC388E8" w:rsidR="00C11B84" w:rsidRDefault="00C11B84" w:rsidP="00C11B84">
            <w:pPr>
              <w:snapToGrid w:val="0"/>
              <w:rPr>
                <w:rFonts w:ascii="Times New Roman" w:hAnsi="Times New Roman"/>
                <w:sz w:val="20"/>
                <w:szCs w:val="20"/>
              </w:rPr>
            </w:pPr>
            <w:r>
              <w:rPr>
                <w:rFonts w:ascii="Times New Roman" w:hAnsi="Times New Roman"/>
                <w:sz w:val="20"/>
                <w:szCs w:val="20"/>
              </w:rPr>
              <w:t>2.7</w:t>
            </w:r>
          </w:p>
        </w:tc>
        <w:tc>
          <w:tcPr>
            <w:tcW w:w="824" w:type="dxa"/>
            <w:tcBorders>
              <w:top w:val="single" w:sz="4" w:space="0" w:color="000000"/>
              <w:left w:val="single" w:sz="4" w:space="0" w:color="000000"/>
              <w:bottom w:val="single" w:sz="4" w:space="0" w:color="000000"/>
              <w:right w:val="single" w:sz="4" w:space="0" w:color="000000"/>
            </w:tcBorders>
            <w:vAlign w:val="center"/>
          </w:tcPr>
          <w:p w14:paraId="4E0EFCF0" w14:textId="76099FE2" w:rsidR="00C11B84" w:rsidRDefault="00C11B84" w:rsidP="00C11B84">
            <w:pPr>
              <w:snapToGrid w:val="0"/>
              <w:rPr>
                <w:rFonts w:ascii="Times New Roman" w:hAnsi="Times New Roman"/>
                <w:sz w:val="20"/>
                <w:szCs w:val="20"/>
              </w:rPr>
            </w:pPr>
            <w:r>
              <w:rPr>
                <w:rFonts w:ascii="Times New Roman" w:hAnsi="Times New Roman"/>
                <w:sz w:val="20"/>
                <w:szCs w:val="20"/>
              </w:rPr>
              <w:t>4.2</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1A999075" w14:textId="2F23535E" w:rsidR="00C11B84" w:rsidRDefault="00C11B84" w:rsidP="00C11B84">
            <w:pPr>
              <w:snapToGrid w:val="0"/>
              <w:rPr>
                <w:rFonts w:ascii="Times New Roman" w:hAnsi="Times New Roman"/>
                <w:sz w:val="20"/>
                <w:szCs w:val="20"/>
              </w:rPr>
            </w:pPr>
            <w:r>
              <w:rPr>
                <w:rFonts w:ascii="Times New Roman" w:hAnsi="Times New Roman"/>
                <w:sz w:val="20"/>
                <w:szCs w:val="20"/>
              </w:rPr>
              <w:t>No (</w:t>
            </w:r>
            <w:r w:rsidR="002F4094">
              <w:rPr>
                <w:rFonts w:ascii="Times New Roman" w:hAnsi="Times New Roman"/>
                <w:sz w:val="20"/>
                <w:szCs w:val="20"/>
              </w:rPr>
              <w:t>59</w:t>
            </w:r>
            <w:r>
              <w:rPr>
                <w:rFonts w:ascii="Times New Roman" w:hAnsi="Times New Roman"/>
                <w:sz w:val="20"/>
                <w:szCs w:val="20"/>
              </w:rPr>
              <w:t>%)</w:t>
            </w:r>
          </w:p>
        </w:tc>
        <w:tc>
          <w:tcPr>
            <w:tcW w:w="1975" w:type="dxa"/>
            <w:tcBorders>
              <w:top w:val="single" w:sz="4" w:space="0" w:color="000000"/>
              <w:left w:val="single" w:sz="4" w:space="0" w:color="000000"/>
              <w:bottom w:val="single" w:sz="4" w:space="0" w:color="000000"/>
              <w:right w:val="single" w:sz="4" w:space="0" w:color="000000"/>
            </w:tcBorders>
            <w:vAlign w:val="center"/>
            <w:hideMark/>
          </w:tcPr>
          <w:p w14:paraId="244AA86D" w14:textId="69207F4A" w:rsidR="00C11B84" w:rsidRDefault="00C11B84" w:rsidP="00C11B84">
            <w:pPr>
              <w:snapToGrid w:val="0"/>
              <w:rPr>
                <w:rFonts w:ascii="Times New Roman" w:hAnsi="Times New Roman"/>
                <w:sz w:val="20"/>
                <w:szCs w:val="20"/>
              </w:rPr>
            </w:pPr>
            <w:r>
              <w:rPr>
                <w:rFonts w:ascii="Times New Roman" w:hAnsi="Times New Roman"/>
                <w:sz w:val="20"/>
                <w:szCs w:val="20"/>
              </w:rPr>
              <w:t>No (25%)</w:t>
            </w:r>
          </w:p>
        </w:tc>
      </w:tr>
      <w:tr w:rsidR="00C11B84" w14:paraId="6C4F900B" w14:textId="77777777" w:rsidTr="00C11B84">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3B553805" w14:textId="0BF083C4" w:rsidR="00C11B84" w:rsidRDefault="00C11B84" w:rsidP="00C11B84">
            <w:pPr>
              <w:snapToGrid w:val="0"/>
              <w:rPr>
                <w:rFonts w:ascii="Times New Roman" w:hAnsi="Times New Roman"/>
                <w:sz w:val="20"/>
                <w:szCs w:val="20"/>
              </w:rPr>
            </w:pPr>
            <w:r>
              <w:rPr>
                <w:rFonts w:ascii="Times New Roman" w:hAnsi="Times New Roman"/>
                <w:sz w:val="20"/>
                <w:szCs w:val="20"/>
              </w:rPr>
              <w:t>BW#20M,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4F52E91D" w14:textId="56BD3BC3" w:rsidR="00C11B84" w:rsidRDefault="00C11B84" w:rsidP="00C11B84">
            <w:pPr>
              <w:snapToGrid w:val="0"/>
              <w:rPr>
                <w:rFonts w:ascii="Times New Roman" w:hAnsi="Times New Roman"/>
                <w:sz w:val="20"/>
                <w:szCs w:val="20"/>
              </w:rPr>
            </w:pPr>
            <w:r>
              <w:rPr>
                <w:rFonts w:ascii="Times New Roman" w:hAnsi="Times New Roman"/>
                <w:sz w:val="20"/>
                <w:szCs w:val="20"/>
              </w:rPr>
              <w:t>0.9</w:t>
            </w:r>
          </w:p>
        </w:tc>
        <w:tc>
          <w:tcPr>
            <w:tcW w:w="821" w:type="dxa"/>
            <w:tcBorders>
              <w:top w:val="single" w:sz="4" w:space="0" w:color="000000"/>
              <w:left w:val="single" w:sz="4" w:space="0" w:color="000000"/>
              <w:bottom w:val="single" w:sz="4" w:space="0" w:color="000000"/>
              <w:right w:val="single" w:sz="4" w:space="0" w:color="000000"/>
            </w:tcBorders>
            <w:vAlign w:val="center"/>
          </w:tcPr>
          <w:p w14:paraId="3AC5DA72" w14:textId="11F39969" w:rsidR="00C11B84" w:rsidRDefault="00C11B84" w:rsidP="00C11B84">
            <w:pPr>
              <w:snapToGrid w:val="0"/>
              <w:rPr>
                <w:rFonts w:ascii="Times New Roman" w:hAnsi="Times New Roman"/>
                <w:sz w:val="20"/>
                <w:szCs w:val="20"/>
              </w:rPr>
            </w:pPr>
            <w:r>
              <w:rPr>
                <w:rFonts w:ascii="Times New Roman" w:hAnsi="Times New Roman"/>
                <w:sz w:val="20"/>
                <w:szCs w:val="20"/>
              </w:rPr>
              <w:t>1.5</w:t>
            </w:r>
          </w:p>
        </w:tc>
        <w:tc>
          <w:tcPr>
            <w:tcW w:w="821" w:type="dxa"/>
            <w:tcBorders>
              <w:top w:val="single" w:sz="4" w:space="0" w:color="000000"/>
              <w:left w:val="single" w:sz="4" w:space="0" w:color="000000"/>
              <w:bottom w:val="single" w:sz="4" w:space="0" w:color="000000"/>
              <w:right w:val="single" w:sz="4" w:space="0" w:color="000000"/>
            </w:tcBorders>
            <w:vAlign w:val="center"/>
          </w:tcPr>
          <w:p w14:paraId="535A2A3E" w14:textId="334E819E" w:rsidR="00C11B84" w:rsidRDefault="00C11B84" w:rsidP="00C11B84">
            <w:pPr>
              <w:snapToGrid w:val="0"/>
              <w:rPr>
                <w:rFonts w:ascii="Times New Roman" w:hAnsi="Times New Roman"/>
                <w:sz w:val="20"/>
                <w:szCs w:val="20"/>
              </w:rPr>
            </w:pPr>
            <w:r>
              <w:rPr>
                <w:rFonts w:ascii="Times New Roman" w:hAnsi="Times New Roman"/>
                <w:sz w:val="20"/>
                <w:szCs w:val="20"/>
              </w:rPr>
              <w:t>2.2</w:t>
            </w:r>
          </w:p>
        </w:tc>
        <w:tc>
          <w:tcPr>
            <w:tcW w:w="824" w:type="dxa"/>
            <w:tcBorders>
              <w:top w:val="single" w:sz="4" w:space="0" w:color="000000"/>
              <w:left w:val="single" w:sz="4" w:space="0" w:color="000000"/>
              <w:bottom w:val="single" w:sz="4" w:space="0" w:color="000000"/>
              <w:right w:val="single" w:sz="4" w:space="0" w:color="000000"/>
            </w:tcBorders>
            <w:vAlign w:val="center"/>
          </w:tcPr>
          <w:p w14:paraId="45137CC4" w14:textId="527A2768" w:rsidR="00C11B84" w:rsidRDefault="00C11B84" w:rsidP="00C11B84">
            <w:pPr>
              <w:snapToGrid w:val="0"/>
              <w:rPr>
                <w:rFonts w:ascii="Times New Roman" w:hAnsi="Times New Roman"/>
                <w:sz w:val="20"/>
                <w:szCs w:val="20"/>
              </w:rPr>
            </w:pPr>
            <w:r>
              <w:rPr>
                <w:rFonts w:ascii="Times New Roman" w:hAnsi="Times New Roman"/>
                <w:sz w:val="20"/>
                <w:szCs w:val="20"/>
              </w:rPr>
              <w:t>3.5</w:t>
            </w:r>
          </w:p>
        </w:tc>
        <w:tc>
          <w:tcPr>
            <w:tcW w:w="1975" w:type="dxa"/>
            <w:tcBorders>
              <w:top w:val="single" w:sz="4" w:space="0" w:color="000000"/>
              <w:left w:val="single" w:sz="4" w:space="0" w:color="000000"/>
              <w:bottom w:val="single" w:sz="4" w:space="0" w:color="000000"/>
              <w:right w:val="single" w:sz="4" w:space="0" w:color="000000"/>
            </w:tcBorders>
            <w:vAlign w:val="center"/>
          </w:tcPr>
          <w:p w14:paraId="17A648CB" w14:textId="6F797686" w:rsidR="00C11B84" w:rsidRDefault="00C11B84" w:rsidP="00C11B84">
            <w:pPr>
              <w:snapToGrid w:val="0"/>
              <w:rPr>
                <w:rFonts w:ascii="Times New Roman" w:hAnsi="Times New Roman"/>
                <w:sz w:val="20"/>
                <w:szCs w:val="20"/>
              </w:rPr>
            </w:pPr>
            <w:r>
              <w:rPr>
                <w:rFonts w:ascii="Times New Roman" w:hAnsi="Times New Roman"/>
                <w:sz w:val="20"/>
                <w:szCs w:val="20"/>
              </w:rPr>
              <w:t>No (</w:t>
            </w:r>
            <w:r w:rsidR="002F4094">
              <w:rPr>
                <w:rFonts w:ascii="Times New Roman" w:hAnsi="Times New Roman"/>
                <w:sz w:val="20"/>
                <w:szCs w:val="20"/>
              </w:rPr>
              <w:t>68</w:t>
            </w:r>
            <w:r>
              <w:rPr>
                <w:rFonts w:ascii="Times New Roman" w:hAnsi="Times New Roman"/>
                <w:sz w:val="20"/>
                <w:szCs w:val="20"/>
              </w:rPr>
              <w:t>%)</w:t>
            </w:r>
          </w:p>
        </w:tc>
        <w:tc>
          <w:tcPr>
            <w:tcW w:w="1975" w:type="dxa"/>
            <w:tcBorders>
              <w:top w:val="single" w:sz="4" w:space="0" w:color="000000"/>
              <w:left w:val="single" w:sz="4" w:space="0" w:color="000000"/>
              <w:bottom w:val="single" w:sz="4" w:space="0" w:color="000000"/>
              <w:right w:val="single" w:sz="4" w:space="0" w:color="000000"/>
            </w:tcBorders>
            <w:vAlign w:val="center"/>
          </w:tcPr>
          <w:p w14:paraId="61434233" w14:textId="3005CEAD" w:rsidR="00C11B84" w:rsidRDefault="00C11B84" w:rsidP="00C11B84">
            <w:pPr>
              <w:snapToGrid w:val="0"/>
              <w:rPr>
                <w:rFonts w:ascii="Times New Roman" w:hAnsi="Times New Roman"/>
                <w:sz w:val="20"/>
                <w:szCs w:val="20"/>
              </w:rPr>
            </w:pPr>
            <w:r>
              <w:rPr>
                <w:rFonts w:ascii="Times New Roman" w:hAnsi="Times New Roman"/>
                <w:sz w:val="20"/>
                <w:szCs w:val="20"/>
              </w:rPr>
              <w:t>No (31%)</w:t>
            </w:r>
          </w:p>
        </w:tc>
      </w:tr>
      <w:tr w:rsidR="00C11B84" w14:paraId="0AB62A85" w14:textId="77777777" w:rsidTr="00C11B84">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6BE92FC9" w14:textId="1096B41D" w:rsidR="00C11B84" w:rsidRDefault="00C11B84" w:rsidP="00C11B84">
            <w:pPr>
              <w:snapToGrid w:val="0"/>
              <w:rPr>
                <w:rFonts w:ascii="Times New Roman" w:hAnsi="Times New Roman"/>
                <w:sz w:val="20"/>
                <w:szCs w:val="20"/>
              </w:rPr>
            </w:pPr>
            <w:r>
              <w:rPr>
                <w:rFonts w:ascii="Times New Roman" w:hAnsi="Times New Roman"/>
                <w:sz w:val="20"/>
                <w:szCs w:val="20"/>
              </w:rPr>
              <w:t>BW#100M, FR#1, #RTT</w:t>
            </w:r>
          </w:p>
        </w:tc>
        <w:tc>
          <w:tcPr>
            <w:tcW w:w="821" w:type="dxa"/>
            <w:tcBorders>
              <w:top w:val="single" w:sz="4" w:space="0" w:color="000000"/>
              <w:left w:val="single" w:sz="4" w:space="0" w:color="000000"/>
              <w:bottom w:val="single" w:sz="4" w:space="0" w:color="000000"/>
              <w:right w:val="single" w:sz="4" w:space="0" w:color="000000"/>
            </w:tcBorders>
            <w:vAlign w:val="center"/>
          </w:tcPr>
          <w:p w14:paraId="6BDB1B24" w14:textId="29DD9993" w:rsidR="00C11B84" w:rsidRDefault="00C11B84" w:rsidP="00C11B84">
            <w:pPr>
              <w:snapToGrid w:val="0"/>
              <w:rPr>
                <w:rFonts w:ascii="Times New Roman" w:hAnsi="Times New Roman"/>
                <w:sz w:val="20"/>
                <w:szCs w:val="20"/>
              </w:rPr>
            </w:pPr>
            <w:r>
              <w:rPr>
                <w:rFonts w:ascii="Times New Roman" w:hAnsi="Times New Roman"/>
                <w:sz w:val="20"/>
                <w:szCs w:val="20"/>
              </w:rPr>
              <w:t>0.4</w:t>
            </w:r>
          </w:p>
        </w:tc>
        <w:tc>
          <w:tcPr>
            <w:tcW w:w="821" w:type="dxa"/>
            <w:tcBorders>
              <w:top w:val="single" w:sz="4" w:space="0" w:color="000000"/>
              <w:left w:val="single" w:sz="4" w:space="0" w:color="000000"/>
              <w:bottom w:val="single" w:sz="4" w:space="0" w:color="000000"/>
              <w:right w:val="single" w:sz="4" w:space="0" w:color="000000"/>
            </w:tcBorders>
            <w:vAlign w:val="center"/>
          </w:tcPr>
          <w:p w14:paraId="4FAD2E49" w14:textId="2884D7A5" w:rsidR="00C11B84" w:rsidRDefault="00C11B84" w:rsidP="00C11B84">
            <w:pPr>
              <w:snapToGrid w:val="0"/>
              <w:rPr>
                <w:rFonts w:ascii="Times New Roman" w:hAnsi="Times New Roman"/>
                <w:sz w:val="20"/>
                <w:szCs w:val="20"/>
              </w:rPr>
            </w:pPr>
            <w:r>
              <w:rPr>
                <w:rFonts w:ascii="Times New Roman" w:hAnsi="Times New Roman"/>
                <w:sz w:val="20"/>
                <w:szCs w:val="20"/>
              </w:rPr>
              <w:t>0.7</w:t>
            </w:r>
          </w:p>
        </w:tc>
        <w:tc>
          <w:tcPr>
            <w:tcW w:w="821" w:type="dxa"/>
            <w:tcBorders>
              <w:top w:val="single" w:sz="4" w:space="0" w:color="000000"/>
              <w:left w:val="single" w:sz="4" w:space="0" w:color="000000"/>
              <w:bottom w:val="single" w:sz="4" w:space="0" w:color="000000"/>
              <w:right w:val="single" w:sz="4" w:space="0" w:color="000000"/>
            </w:tcBorders>
            <w:vAlign w:val="center"/>
          </w:tcPr>
          <w:p w14:paraId="41D58A40" w14:textId="74BBA92C" w:rsidR="00C11B84" w:rsidRDefault="00C11B84" w:rsidP="00C11B84">
            <w:pPr>
              <w:snapToGrid w:val="0"/>
              <w:rPr>
                <w:rFonts w:ascii="Times New Roman" w:hAnsi="Times New Roman"/>
                <w:sz w:val="20"/>
                <w:szCs w:val="20"/>
              </w:rPr>
            </w:pPr>
            <w:r>
              <w:rPr>
                <w:rFonts w:ascii="Times New Roman" w:hAnsi="Times New Roman"/>
                <w:sz w:val="20"/>
                <w:szCs w:val="20"/>
              </w:rPr>
              <w:t>1.2</w:t>
            </w:r>
          </w:p>
        </w:tc>
        <w:tc>
          <w:tcPr>
            <w:tcW w:w="824" w:type="dxa"/>
            <w:tcBorders>
              <w:top w:val="single" w:sz="4" w:space="0" w:color="000000"/>
              <w:left w:val="single" w:sz="4" w:space="0" w:color="000000"/>
              <w:bottom w:val="single" w:sz="4" w:space="0" w:color="000000"/>
              <w:right w:val="single" w:sz="4" w:space="0" w:color="000000"/>
            </w:tcBorders>
            <w:vAlign w:val="center"/>
          </w:tcPr>
          <w:p w14:paraId="38258A06" w14:textId="107AB6CF" w:rsidR="00C11B84" w:rsidRDefault="00C11B84" w:rsidP="00C11B84">
            <w:pPr>
              <w:snapToGrid w:val="0"/>
              <w:rPr>
                <w:rFonts w:ascii="Times New Roman" w:hAnsi="Times New Roman"/>
                <w:sz w:val="20"/>
                <w:szCs w:val="20"/>
              </w:rPr>
            </w:pPr>
            <w:r>
              <w:rPr>
                <w:rFonts w:ascii="Times New Roman" w:hAnsi="Times New Roman"/>
                <w:sz w:val="20"/>
                <w:szCs w:val="20"/>
              </w:rPr>
              <w:t>2.5</w:t>
            </w:r>
          </w:p>
        </w:tc>
        <w:tc>
          <w:tcPr>
            <w:tcW w:w="1975" w:type="dxa"/>
            <w:tcBorders>
              <w:top w:val="single" w:sz="4" w:space="0" w:color="000000"/>
              <w:left w:val="single" w:sz="4" w:space="0" w:color="000000"/>
              <w:bottom w:val="single" w:sz="4" w:space="0" w:color="000000"/>
              <w:right w:val="single" w:sz="4" w:space="0" w:color="000000"/>
            </w:tcBorders>
            <w:vAlign w:val="center"/>
          </w:tcPr>
          <w:p w14:paraId="132CDAAE" w14:textId="010778EA" w:rsidR="00C11B84" w:rsidRDefault="00C11B84" w:rsidP="00C11B84">
            <w:pPr>
              <w:snapToGrid w:val="0"/>
              <w:rPr>
                <w:rFonts w:ascii="Times New Roman" w:hAnsi="Times New Roman"/>
                <w:sz w:val="20"/>
                <w:szCs w:val="20"/>
              </w:rPr>
            </w:pPr>
            <w:r>
              <w:rPr>
                <w:rFonts w:ascii="Times New Roman" w:hAnsi="Times New Roman"/>
                <w:sz w:val="20"/>
                <w:szCs w:val="20"/>
              </w:rPr>
              <w:t>No (</w:t>
            </w:r>
            <w:r w:rsidR="002F4094">
              <w:rPr>
                <w:rFonts w:ascii="Times New Roman" w:hAnsi="Times New Roman"/>
                <w:sz w:val="20"/>
                <w:szCs w:val="20"/>
              </w:rPr>
              <w:t>83</w:t>
            </w:r>
            <w:r>
              <w:rPr>
                <w:rFonts w:ascii="Times New Roman" w:hAnsi="Times New Roman"/>
                <w:sz w:val="20"/>
                <w:szCs w:val="20"/>
              </w:rPr>
              <w:t>%)</w:t>
            </w:r>
          </w:p>
        </w:tc>
        <w:tc>
          <w:tcPr>
            <w:tcW w:w="1975" w:type="dxa"/>
            <w:tcBorders>
              <w:top w:val="single" w:sz="4" w:space="0" w:color="000000"/>
              <w:left w:val="single" w:sz="4" w:space="0" w:color="000000"/>
              <w:bottom w:val="single" w:sz="4" w:space="0" w:color="000000"/>
              <w:right w:val="single" w:sz="4" w:space="0" w:color="000000"/>
            </w:tcBorders>
            <w:vAlign w:val="center"/>
          </w:tcPr>
          <w:p w14:paraId="3ACDF82A" w14:textId="1AFB8D7B" w:rsidR="00C11B84" w:rsidRDefault="00C11B84" w:rsidP="00C11B84">
            <w:pPr>
              <w:snapToGrid w:val="0"/>
              <w:rPr>
                <w:rFonts w:ascii="Times New Roman" w:hAnsi="Times New Roman"/>
                <w:sz w:val="20"/>
                <w:szCs w:val="20"/>
              </w:rPr>
            </w:pPr>
            <w:r>
              <w:rPr>
                <w:rFonts w:ascii="Times New Roman" w:hAnsi="Times New Roman"/>
                <w:sz w:val="20"/>
                <w:szCs w:val="20"/>
              </w:rPr>
              <w:t>No (57%)</w:t>
            </w:r>
          </w:p>
        </w:tc>
      </w:tr>
      <w:tr w:rsidR="00F46F37" w14:paraId="2093EA5B" w14:textId="77777777" w:rsidTr="00C11B84">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2E4159B0" w14:textId="77777777" w:rsidR="00F46F37" w:rsidRDefault="00F46F37">
            <w:pPr>
              <w:snapToGrid w:val="0"/>
              <w:rPr>
                <w:rFonts w:ascii="Times New Roman" w:hAnsi="Times New Roman"/>
                <w:sz w:val="20"/>
                <w:szCs w:val="20"/>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1C1A700F" w14:textId="77777777" w:rsidR="00F46F37" w:rsidRDefault="00F46F37">
            <w:pPr>
              <w:snapToGrid w:val="0"/>
              <w:rPr>
                <w:rFonts w:ascii="Times New Roman" w:hAnsi="Times New Roman"/>
                <w:sz w:val="20"/>
                <w:szCs w:val="20"/>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3D49AEFD" w14:textId="77777777" w:rsidR="00F46F37" w:rsidRDefault="00F46F37">
            <w:pPr>
              <w:snapToGrid w:val="0"/>
              <w:rPr>
                <w:rFonts w:ascii="Times New Roman" w:hAnsi="Times New Roman"/>
                <w:sz w:val="20"/>
                <w:szCs w:val="20"/>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4ECAFAF3" w14:textId="77777777" w:rsidR="00F46F37" w:rsidRDefault="00F46F37">
            <w:pPr>
              <w:snapToGrid w:val="0"/>
              <w:rPr>
                <w:rFonts w:ascii="Times New Roman" w:hAnsi="Times New Roman"/>
                <w:sz w:val="20"/>
                <w:szCs w:val="20"/>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5C0A0A5A" w14:textId="77777777" w:rsidR="00F46F37" w:rsidRDefault="00F46F37">
            <w:pPr>
              <w:snapToGrid w:val="0"/>
              <w:rPr>
                <w:rFonts w:ascii="Times New Roman" w:hAnsi="Times New Roman"/>
                <w:sz w:val="20"/>
                <w:szCs w:val="20"/>
              </w:rPr>
            </w:pPr>
          </w:p>
        </w:tc>
        <w:tc>
          <w:tcPr>
            <w:tcW w:w="1975" w:type="dxa"/>
            <w:tcBorders>
              <w:top w:val="single" w:sz="4" w:space="0" w:color="000000"/>
              <w:left w:val="single" w:sz="4" w:space="0" w:color="000000"/>
              <w:bottom w:val="single" w:sz="4" w:space="0" w:color="000000"/>
              <w:right w:val="single" w:sz="4" w:space="0" w:color="000000"/>
            </w:tcBorders>
            <w:vAlign w:val="center"/>
          </w:tcPr>
          <w:p w14:paraId="083C02E1" w14:textId="5DA0F987" w:rsidR="00F46F37" w:rsidRDefault="00F46F37">
            <w:pPr>
              <w:snapToGrid w:val="0"/>
              <w:rPr>
                <w:rFonts w:ascii="Times New Roman" w:hAnsi="Times New Roman"/>
                <w:sz w:val="20"/>
                <w:szCs w:val="20"/>
              </w:rPr>
            </w:pPr>
          </w:p>
        </w:tc>
        <w:tc>
          <w:tcPr>
            <w:tcW w:w="1975" w:type="dxa"/>
            <w:tcBorders>
              <w:top w:val="single" w:sz="4" w:space="0" w:color="000000"/>
              <w:left w:val="single" w:sz="4" w:space="0" w:color="000000"/>
              <w:bottom w:val="single" w:sz="4" w:space="0" w:color="000000"/>
              <w:right w:val="single" w:sz="4" w:space="0" w:color="000000"/>
            </w:tcBorders>
            <w:vAlign w:val="center"/>
          </w:tcPr>
          <w:p w14:paraId="01471F99" w14:textId="7428575A" w:rsidR="00F46F37" w:rsidRDefault="00F46F37">
            <w:pPr>
              <w:snapToGrid w:val="0"/>
              <w:rPr>
                <w:rFonts w:ascii="Times New Roman" w:hAnsi="Times New Roman"/>
                <w:sz w:val="20"/>
                <w:szCs w:val="20"/>
              </w:rPr>
            </w:pPr>
          </w:p>
        </w:tc>
      </w:tr>
      <w:tr w:rsidR="00C11B84" w14:paraId="24E3D7B6" w14:textId="77777777" w:rsidTr="00C11B84">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18E6AB4A" w14:textId="5ED930C6" w:rsidR="00C11B84" w:rsidRDefault="00C11B84" w:rsidP="00C11B84">
            <w:pPr>
              <w:snapToGrid w:val="0"/>
              <w:rPr>
                <w:rFonts w:ascii="Times New Roman" w:hAnsi="Times New Roman"/>
                <w:sz w:val="20"/>
                <w:szCs w:val="20"/>
              </w:rPr>
            </w:pPr>
            <w:r>
              <w:rPr>
                <w:rFonts w:ascii="Times New Roman" w:hAnsi="Times New Roman"/>
                <w:sz w:val="20"/>
                <w:szCs w:val="20"/>
              </w:rPr>
              <w:t>BW#10M,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6445EBFB" w14:textId="03BE1348" w:rsidR="00C11B84" w:rsidRDefault="00C11B84" w:rsidP="00C11B84">
            <w:pPr>
              <w:snapToGrid w:val="0"/>
              <w:rPr>
                <w:rFonts w:ascii="Times New Roman" w:hAnsi="Times New Roman"/>
                <w:sz w:val="20"/>
                <w:szCs w:val="20"/>
              </w:rPr>
            </w:pPr>
            <w:r>
              <w:rPr>
                <w:rFonts w:ascii="Times New Roman" w:hAnsi="Times New Roman"/>
                <w:sz w:val="20"/>
                <w:szCs w:val="20"/>
              </w:rPr>
              <w:t>4.2</w:t>
            </w:r>
          </w:p>
        </w:tc>
        <w:tc>
          <w:tcPr>
            <w:tcW w:w="821" w:type="dxa"/>
            <w:tcBorders>
              <w:top w:val="single" w:sz="4" w:space="0" w:color="000000"/>
              <w:left w:val="single" w:sz="4" w:space="0" w:color="000000"/>
              <w:bottom w:val="single" w:sz="4" w:space="0" w:color="000000"/>
              <w:right w:val="single" w:sz="4" w:space="0" w:color="000000"/>
            </w:tcBorders>
            <w:vAlign w:val="center"/>
          </w:tcPr>
          <w:p w14:paraId="697ADB91" w14:textId="24CF68DC" w:rsidR="00C11B84" w:rsidRDefault="00C11B84" w:rsidP="00C11B84">
            <w:pPr>
              <w:snapToGrid w:val="0"/>
              <w:rPr>
                <w:rFonts w:ascii="Times New Roman" w:hAnsi="Times New Roman"/>
                <w:sz w:val="20"/>
                <w:szCs w:val="20"/>
              </w:rPr>
            </w:pPr>
            <w:r>
              <w:rPr>
                <w:rFonts w:ascii="Times New Roman" w:hAnsi="Times New Roman"/>
                <w:sz w:val="20"/>
                <w:szCs w:val="20"/>
              </w:rPr>
              <w:t>6.7</w:t>
            </w:r>
          </w:p>
        </w:tc>
        <w:tc>
          <w:tcPr>
            <w:tcW w:w="821" w:type="dxa"/>
            <w:tcBorders>
              <w:top w:val="single" w:sz="4" w:space="0" w:color="000000"/>
              <w:left w:val="single" w:sz="4" w:space="0" w:color="000000"/>
              <w:bottom w:val="single" w:sz="4" w:space="0" w:color="000000"/>
              <w:right w:val="single" w:sz="4" w:space="0" w:color="000000"/>
            </w:tcBorders>
            <w:vAlign w:val="center"/>
          </w:tcPr>
          <w:p w14:paraId="29462C48" w14:textId="53E6AD96" w:rsidR="00C11B84" w:rsidRDefault="00C11B84" w:rsidP="00C11B84">
            <w:pPr>
              <w:snapToGrid w:val="0"/>
              <w:rPr>
                <w:rFonts w:ascii="Times New Roman" w:hAnsi="Times New Roman"/>
                <w:sz w:val="20"/>
                <w:szCs w:val="20"/>
              </w:rPr>
            </w:pPr>
            <w:r>
              <w:rPr>
                <w:rFonts w:ascii="Times New Roman" w:hAnsi="Times New Roman"/>
                <w:sz w:val="20"/>
                <w:szCs w:val="20"/>
              </w:rPr>
              <w:t>9.8</w:t>
            </w:r>
          </w:p>
        </w:tc>
        <w:tc>
          <w:tcPr>
            <w:tcW w:w="824" w:type="dxa"/>
            <w:tcBorders>
              <w:top w:val="single" w:sz="4" w:space="0" w:color="000000"/>
              <w:left w:val="single" w:sz="4" w:space="0" w:color="000000"/>
              <w:bottom w:val="single" w:sz="4" w:space="0" w:color="000000"/>
              <w:right w:val="single" w:sz="4" w:space="0" w:color="000000"/>
            </w:tcBorders>
            <w:vAlign w:val="center"/>
          </w:tcPr>
          <w:p w14:paraId="041DA17F" w14:textId="187845CB" w:rsidR="00C11B84" w:rsidRDefault="00C11B84" w:rsidP="00C11B84">
            <w:pPr>
              <w:snapToGrid w:val="0"/>
              <w:rPr>
                <w:rFonts w:ascii="Times New Roman" w:hAnsi="Times New Roman"/>
                <w:sz w:val="20"/>
                <w:szCs w:val="20"/>
              </w:rPr>
            </w:pPr>
            <w:r>
              <w:rPr>
                <w:rFonts w:ascii="Times New Roman" w:hAnsi="Times New Roman"/>
                <w:sz w:val="20"/>
                <w:szCs w:val="20"/>
              </w:rPr>
              <w:t>14.8</w:t>
            </w:r>
          </w:p>
        </w:tc>
        <w:tc>
          <w:tcPr>
            <w:tcW w:w="1975" w:type="dxa"/>
            <w:tcBorders>
              <w:top w:val="single" w:sz="4" w:space="0" w:color="000000"/>
              <w:left w:val="single" w:sz="4" w:space="0" w:color="000000"/>
              <w:bottom w:val="single" w:sz="4" w:space="0" w:color="000000"/>
              <w:right w:val="single" w:sz="4" w:space="0" w:color="000000"/>
            </w:tcBorders>
            <w:vAlign w:val="center"/>
          </w:tcPr>
          <w:p w14:paraId="7FC948B8" w14:textId="760BAA01" w:rsidR="00C11B84" w:rsidRDefault="00C11B84" w:rsidP="00C11B84">
            <w:pPr>
              <w:snapToGrid w:val="0"/>
              <w:rPr>
                <w:rFonts w:ascii="Times New Roman" w:hAnsi="Times New Roman"/>
                <w:sz w:val="20"/>
                <w:szCs w:val="20"/>
              </w:rPr>
            </w:pPr>
            <w:r>
              <w:rPr>
                <w:rFonts w:ascii="Times New Roman" w:hAnsi="Times New Roman"/>
                <w:sz w:val="20"/>
                <w:szCs w:val="20"/>
              </w:rPr>
              <w:t>No (</w:t>
            </w:r>
            <w:r w:rsidR="002F4094">
              <w:rPr>
                <w:rFonts w:ascii="Times New Roman" w:hAnsi="Times New Roman"/>
                <w:sz w:val="20"/>
                <w:szCs w:val="20"/>
              </w:rPr>
              <w:t>19</w:t>
            </w:r>
            <w:r>
              <w:rPr>
                <w:rFonts w:ascii="Times New Roman" w:hAnsi="Times New Roman"/>
                <w:sz w:val="20"/>
                <w:szCs w:val="20"/>
              </w:rPr>
              <w:t>%)</w:t>
            </w:r>
          </w:p>
        </w:tc>
        <w:tc>
          <w:tcPr>
            <w:tcW w:w="1975" w:type="dxa"/>
            <w:tcBorders>
              <w:top w:val="single" w:sz="4" w:space="0" w:color="000000"/>
              <w:left w:val="single" w:sz="4" w:space="0" w:color="000000"/>
              <w:bottom w:val="single" w:sz="4" w:space="0" w:color="000000"/>
              <w:right w:val="single" w:sz="4" w:space="0" w:color="000000"/>
            </w:tcBorders>
            <w:vAlign w:val="center"/>
          </w:tcPr>
          <w:p w14:paraId="67F7B4E6" w14:textId="1EC0227C" w:rsidR="00C11B84" w:rsidRDefault="00C11B84" w:rsidP="00C11B84">
            <w:pPr>
              <w:snapToGrid w:val="0"/>
              <w:rPr>
                <w:rFonts w:ascii="Times New Roman" w:hAnsi="Times New Roman"/>
                <w:sz w:val="20"/>
                <w:szCs w:val="20"/>
              </w:rPr>
            </w:pPr>
            <w:r>
              <w:rPr>
                <w:rFonts w:ascii="Times New Roman" w:hAnsi="Times New Roman"/>
                <w:sz w:val="20"/>
                <w:szCs w:val="20"/>
              </w:rPr>
              <w:t>No (6%)</w:t>
            </w:r>
          </w:p>
        </w:tc>
      </w:tr>
      <w:tr w:rsidR="00C11B84" w14:paraId="63E05BD7" w14:textId="77777777" w:rsidTr="00C11B84">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18215E9A" w14:textId="7FE57211" w:rsidR="00C11B84" w:rsidRDefault="00C11B84" w:rsidP="00C11B84">
            <w:pPr>
              <w:snapToGrid w:val="0"/>
              <w:rPr>
                <w:rFonts w:ascii="Times New Roman" w:hAnsi="Times New Roman"/>
                <w:sz w:val="20"/>
                <w:szCs w:val="20"/>
              </w:rPr>
            </w:pPr>
            <w:r>
              <w:rPr>
                <w:rFonts w:ascii="Times New Roman" w:hAnsi="Times New Roman"/>
                <w:sz w:val="20"/>
                <w:szCs w:val="20"/>
              </w:rPr>
              <w:t>BW#20M,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5336F703" w14:textId="56228D7B" w:rsidR="00C11B84" w:rsidRDefault="00C11B84" w:rsidP="00C11B84">
            <w:pPr>
              <w:snapToGrid w:val="0"/>
              <w:rPr>
                <w:rFonts w:ascii="Times New Roman" w:hAnsi="Times New Roman"/>
                <w:sz w:val="20"/>
                <w:szCs w:val="20"/>
              </w:rPr>
            </w:pPr>
            <w:r>
              <w:rPr>
                <w:rFonts w:ascii="Times New Roman" w:hAnsi="Times New Roman"/>
                <w:sz w:val="20"/>
                <w:szCs w:val="20"/>
              </w:rPr>
              <w:t>3.2</w:t>
            </w:r>
          </w:p>
        </w:tc>
        <w:tc>
          <w:tcPr>
            <w:tcW w:w="821" w:type="dxa"/>
            <w:tcBorders>
              <w:top w:val="single" w:sz="4" w:space="0" w:color="000000"/>
              <w:left w:val="single" w:sz="4" w:space="0" w:color="000000"/>
              <w:bottom w:val="single" w:sz="4" w:space="0" w:color="000000"/>
              <w:right w:val="single" w:sz="4" w:space="0" w:color="000000"/>
            </w:tcBorders>
            <w:vAlign w:val="center"/>
          </w:tcPr>
          <w:p w14:paraId="7EAF0959" w14:textId="41F8CAD5" w:rsidR="00C11B84" w:rsidRDefault="00C11B84" w:rsidP="00C11B84">
            <w:pPr>
              <w:snapToGrid w:val="0"/>
              <w:rPr>
                <w:rFonts w:ascii="Times New Roman" w:hAnsi="Times New Roman"/>
                <w:sz w:val="20"/>
                <w:szCs w:val="20"/>
              </w:rPr>
            </w:pPr>
            <w:r>
              <w:rPr>
                <w:rFonts w:ascii="Times New Roman" w:hAnsi="Times New Roman"/>
                <w:sz w:val="20"/>
                <w:szCs w:val="20"/>
              </w:rPr>
              <w:t>5.1</w:t>
            </w:r>
          </w:p>
        </w:tc>
        <w:tc>
          <w:tcPr>
            <w:tcW w:w="821" w:type="dxa"/>
            <w:tcBorders>
              <w:top w:val="single" w:sz="4" w:space="0" w:color="000000"/>
              <w:left w:val="single" w:sz="4" w:space="0" w:color="000000"/>
              <w:bottom w:val="single" w:sz="4" w:space="0" w:color="000000"/>
              <w:right w:val="single" w:sz="4" w:space="0" w:color="000000"/>
            </w:tcBorders>
            <w:vAlign w:val="center"/>
          </w:tcPr>
          <w:p w14:paraId="1C06A4AE" w14:textId="14CE825C" w:rsidR="00C11B84" w:rsidRDefault="00C11B84" w:rsidP="00C11B84">
            <w:pPr>
              <w:snapToGrid w:val="0"/>
              <w:rPr>
                <w:rFonts w:ascii="Times New Roman" w:hAnsi="Times New Roman"/>
                <w:sz w:val="20"/>
                <w:szCs w:val="20"/>
              </w:rPr>
            </w:pPr>
            <w:r>
              <w:rPr>
                <w:rFonts w:ascii="Times New Roman" w:hAnsi="Times New Roman"/>
                <w:sz w:val="20"/>
                <w:szCs w:val="20"/>
              </w:rPr>
              <w:t>8.0</w:t>
            </w:r>
          </w:p>
        </w:tc>
        <w:tc>
          <w:tcPr>
            <w:tcW w:w="824" w:type="dxa"/>
            <w:tcBorders>
              <w:top w:val="single" w:sz="4" w:space="0" w:color="000000"/>
              <w:left w:val="single" w:sz="4" w:space="0" w:color="000000"/>
              <w:bottom w:val="single" w:sz="4" w:space="0" w:color="000000"/>
              <w:right w:val="single" w:sz="4" w:space="0" w:color="000000"/>
            </w:tcBorders>
            <w:vAlign w:val="center"/>
          </w:tcPr>
          <w:p w14:paraId="45E858BD" w14:textId="2F8A1FB4" w:rsidR="00C11B84" w:rsidRDefault="00C11B84" w:rsidP="00C11B84">
            <w:pPr>
              <w:snapToGrid w:val="0"/>
              <w:rPr>
                <w:rFonts w:ascii="Times New Roman" w:hAnsi="Times New Roman"/>
                <w:sz w:val="20"/>
                <w:szCs w:val="20"/>
              </w:rPr>
            </w:pPr>
            <w:r>
              <w:rPr>
                <w:rFonts w:ascii="Times New Roman" w:hAnsi="Times New Roman"/>
                <w:sz w:val="20"/>
                <w:szCs w:val="20"/>
              </w:rPr>
              <w:t>13.1</w:t>
            </w:r>
          </w:p>
        </w:tc>
        <w:tc>
          <w:tcPr>
            <w:tcW w:w="1975" w:type="dxa"/>
            <w:tcBorders>
              <w:top w:val="single" w:sz="4" w:space="0" w:color="000000"/>
              <w:left w:val="single" w:sz="4" w:space="0" w:color="000000"/>
              <w:bottom w:val="single" w:sz="4" w:space="0" w:color="000000"/>
              <w:right w:val="single" w:sz="4" w:space="0" w:color="000000"/>
            </w:tcBorders>
            <w:vAlign w:val="center"/>
          </w:tcPr>
          <w:p w14:paraId="7DA126F8" w14:textId="021B6CBD" w:rsidR="00C11B84" w:rsidRDefault="00C11B84" w:rsidP="00C11B84">
            <w:pPr>
              <w:snapToGrid w:val="0"/>
              <w:rPr>
                <w:rFonts w:ascii="Times New Roman" w:hAnsi="Times New Roman"/>
                <w:sz w:val="20"/>
                <w:szCs w:val="20"/>
              </w:rPr>
            </w:pPr>
            <w:r>
              <w:rPr>
                <w:rFonts w:ascii="Times New Roman" w:hAnsi="Times New Roman"/>
                <w:sz w:val="20"/>
                <w:szCs w:val="20"/>
              </w:rPr>
              <w:t>No (</w:t>
            </w:r>
            <w:r w:rsidR="002F4094">
              <w:rPr>
                <w:rFonts w:ascii="Times New Roman" w:hAnsi="Times New Roman"/>
                <w:sz w:val="20"/>
                <w:szCs w:val="20"/>
              </w:rPr>
              <w:t>27</w:t>
            </w:r>
            <w:r>
              <w:rPr>
                <w:rFonts w:ascii="Times New Roman" w:hAnsi="Times New Roman"/>
                <w:sz w:val="20"/>
                <w:szCs w:val="20"/>
              </w:rPr>
              <w:t>%)</w:t>
            </w:r>
          </w:p>
        </w:tc>
        <w:tc>
          <w:tcPr>
            <w:tcW w:w="1975" w:type="dxa"/>
            <w:tcBorders>
              <w:top w:val="single" w:sz="4" w:space="0" w:color="000000"/>
              <w:left w:val="single" w:sz="4" w:space="0" w:color="000000"/>
              <w:bottom w:val="single" w:sz="4" w:space="0" w:color="000000"/>
              <w:right w:val="single" w:sz="4" w:space="0" w:color="000000"/>
            </w:tcBorders>
            <w:vAlign w:val="center"/>
          </w:tcPr>
          <w:p w14:paraId="2A60EFE8" w14:textId="4BF7B867" w:rsidR="00C11B84" w:rsidRDefault="00C11B84" w:rsidP="00C11B84">
            <w:pPr>
              <w:snapToGrid w:val="0"/>
              <w:rPr>
                <w:rFonts w:ascii="Times New Roman" w:hAnsi="Times New Roman"/>
                <w:sz w:val="20"/>
                <w:szCs w:val="20"/>
              </w:rPr>
            </w:pPr>
            <w:r>
              <w:rPr>
                <w:rFonts w:ascii="Times New Roman" w:hAnsi="Times New Roman"/>
                <w:sz w:val="20"/>
                <w:szCs w:val="20"/>
              </w:rPr>
              <w:t>No (9%)</w:t>
            </w:r>
          </w:p>
        </w:tc>
      </w:tr>
      <w:tr w:rsidR="00C11B84" w14:paraId="7084AF62" w14:textId="77777777" w:rsidTr="00C11B84">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2B5C2257" w14:textId="2055F27C" w:rsidR="00C11B84" w:rsidRDefault="00C11B84" w:rsidP="00C11B84">
            <w:pPr>
              <w:snapToGrid w:val="0"/>
              <w:rPr>
                <w:rFonts w:ascii="Times New Roman" w:hAnsi="Times New Roman"/>
                <w:sz w:val="20"/>
                <w:szCs w:val="20"/>
              </w:rPr>
            </w:pPr>
            <w:r>
              <w:rPr>
                <w:rFonts w:ascii="Times New Roman" w:hAnsi="Times New Roman"/>
                <w:sz w:val="20"/>
                <w:szCs w:val="20"/>
              </w:rPr>
              <w:t>BW#100M, FR#1, #TA-OWR</w:t>
            </w:r>
          </w:p>
        </w:tc>
        <w:tc>
          <w:tcPr>
            <w:tcW w:w="821" w:type="dxa"/>
            <w:tcBorders>
              <w:top w:val="single" w:sz="4" w:space="0" w:color="000000"/>
              <w:left w:val="single" w:sz="4" w:space="0" w:color="000000"/>
              <w:bottom w:val="single" w:sz="4" w:space="0" w:color="000000"/>
              <w:right w:val="single" w:sz="4" w:space="0" w:color="000000"/>
            </w:tcBorders>
            <w:vAlign w:val="center"/>
          </w:tcPr>
          <w:p w14:paraId="089E21CD" w14:textId="68FB4EC4" w:rsidR="00C11B84" w:rsidRDefault="00C11B84" w:rsidP="00C11B84">
            <w:pPr>
              <w:snapToGrid w:val="0"/>
              <w:rPr>
                <w:rFonts w:ascii="Times New Roman" w:hAnsi="Times New Roman"/>
                <w:sz w:val="20"/>
                <w:szCs w:val="20"/>
              </w:rPr>
            </w:pPr>
            <w:r>
              <w:rPr>
                <w:rFonts w:ascii="Times New Roman" w:hAnsi="Times New Roman"/>
                <w:sz w:val="20"/>
                <w:szCs w:val="20"/>
              </w:rPr>
              <w:t>1.7</w:t>
            </w:r>
          </w:p>
        </w:tc>
        <w:tc>
          <w:tcPr>
            <w:tcW w:w="821" w:type="dxa"/>
            <w:tcBorders>
              <w:top w:val="single" w:sz="4" w:space="0" w:color="000000"/>
              <w:left w:val="single" w:sz="4" w:space="0" w:color="000000"/>
              <w:bottom w:val="single" w:sz="4" w:space="0" w:color="000000"/>
              <w:right w:val="single" w:sz="4" w:space="0" w:color="000000"/>
            </w:tcBorders>
            <w:vAlign w:val="center"/>
          </w:tcPr>
          <w:p w14:paraId="35835FCF" w14:textId="4BA0E316" w:rsidR="00C11B84" w:rsidRDefault="00C11B84" w:rsidP="00C11B84">
            <w:pPr>
              <w:snapToGrid w:val="0"/>
              <w:rPr>
                <w:rFonts w:ascii="Times New Roman" w:hAnsi="Times New Roman"/>
                <w:sz w:val="20"/>
                <w:szCs w:val="20"/>
              </w:rPr>
            </w:pPr>
            <w:r>
              <w:rPr>
                <w:rFonts w:ascii="Times New Roman" w:hAnsi="Times New Roman"/>
                <w:sz w:val="20"/>
                <w:szCs w:val="20"/>
              </w:rPr>
              <w:t>2.7</w:t>
            </w:r>
          </w:p>
        </w:tc>
        <w:tc>
          <w:tcPr>
            <w:tcW w:w="821" w:type="dxa"/>
            <w:tcBorders>
              <w:top w:val="single" w:sz="4" w:space="0" w:color="000000"/>
              <w:left w:val="single" w:sz="4" w:space="0" w:color="000000"/>
              <w:bottom w:val="single" w:sz="4" w:space="0" w:color="000000"/>
              <w:right w:val="single" w:sz="4" w:space="0" w:color="000000"/>
            </w:tcBorders>
            <w:vAlign w:val="center"/>
          </w:tcPr>
          <w:p w14:paraId="0BFF53BB" w14:textId="316162DD" w:rsidR="00C11B84" w:rsidRDefault="00C11B84" w:rsidP="00C11B84">
            <w:pPr>
              <w:snapToGrid w:val="0"/>
              <w:rPr>
                <w:rFonts w:ascii="Times New Roman" w:hAnsi="Times New Roman"/>
                <w:sz w:val="20"/>
                <w:szCs w:val="20"/>
              </w:rPr>
            </w:pPr>
            <w:r>
              <w:rPr>
                <w:rFonts w:ascii="Times New Roman" w:hAnsi="Times New Roman"/>
                <w:sz w:val="20"/>
                <w:szCs w:val="20"/>
              </w:rPr>
              <w:t>4.3</w:t>
            </w:r>
          </w:p>
        </w:tc>
        <w:tc>
          <w:tcPr>
            <w:tcW w:w="824" w:type="dxa"/>
            <w:tcBorders>
              <w:top w:val="single" w:sz="4" w:space="0" w:color="000000"/>
              <w:left w:val="single" w:sz="4" w:space="0" w:color="000000"/>
              <w:bottom w:val="single" w:sz="4" w:space="0" w:color="000000"/>
              <w:right w:val="single" w:sz="4" w:space="0" w:color="000000"/>
            </w:tcBorders>
            <w:vAlign w:val="center"/>
          </w:tcPr>
          <w:p w14:paraId="5D3BE401" w14:textId="0D5C2E8F" w:rsidR="00C11B84" w:rsidRDefault="00C11B84" w:rsidP="00C11B84">
            <w:pPr>
              <w:snapToGrid w:val="0"/>
              <w:rPr>
                <w:rFonts w:ascii="Times New Roman" w:hAnsi="Times New Roman"/>
                <w:sz w:val="20"/>
                <w:szCs w:val="20"/>
              </w:rPr>
            </w:pPr>
            <w:r>
              <w:rPr>
                <w:rFonts w:ascii="Times New Roman" w:hAnsi="Times New Roman"/>
                <w:sz w:val="20"/>
                <w:szCs w:val="20"/>
              </w:rPr>
              <w:t>7.9</w:t>
            </w:r>
          </w:p>
        </w:tc>
        <w:tc>
          <w:tcPr>
            <w:tcW w:w="1975" w:type="dxa"/>
            <w:tcBorders>
              <w:top w:val="single" w:sz="4" w:space="0" w:color="000000"/>
              <w:left w:val="single" w:sz="4" w:space="0" w:color="000000"/>
              <w:bottom w:val="single" w:sz="4" w:space="0" w:color="000000"/>
              <w:right w:val="single" w:sz="4" w:space="0" w:color="000000"/>
            </w:tcBorders>
            <w:vAlign w:val="center"/>
          </w:tcPr>
          <w:p w14:paraId="5DA6E79B" w14:textId="0C3A9235" w:rsidR="00C11B84" w:rsidRDefault="00C11B84" w:rsidP="00C11B84">
            <w:pPr>
              <w:snapToGrid w:val="0"/>
              <w:rPr>
                <w:rFonts w:ascii="Times New Roman" w:hAnsi="Times New Roman"/>
                <w:sz w:val="20"/>
                <w:szCs w:val="20"/>
              </w:rPr>
            </w:pPr>
            <w:r>
              <w:rPr>
                <w:rFonts w:ascii="Times New Roman" w:hAnsi="Times New Roman"/>
                <w:sz w:val="20"/>
                <w:szCs w:val="20"/>
              </w:rPr>
              <w:t>No (</w:t>
            </w:r>
            <w:r w:rsidR="002F4094">
              <w:rPr>
                <w:rFonts w:ascii="Times New Roman" w:hAnsi="Times New Roman"/>
                <w:sz w:val="20"/>
                <w:szCs w:val="20"/>
              </w:rPr>
              <w:t>46</w:t>
            </w:r>
            <w:r>
              <w:rPr>
                <w:rFonts w:ascii="Times New Roman" w:hAnsi="Times New Roman"/>
                <w:sz w:val="20"/>
                <w:szCs w:val="20"/>
              </w:rPr>
              <w:t>%)</w:t>
            </w:r>
          </w:p>
        </w:tc>
        <w:tc>
          <w:tcPr>
            <w:tcW w:w="1975" w:type="dxa"/>
            <w:tcBorders>
              <w:top w:val="single" w:sz="4" w:space="0" w:color="000000"/>
              <w:left w:val="single" w:sz="4" w:space="0" w:color="000000"/>
              <w:bottom w:val="single" w:sz="4" w:space="0" w:color="000000"/>
              <w:right w:val="single" w:sz="4" w:space="0" w:color="000000"/>
            </w:tcBorders>
            <w:vAlign w:val="center"/>
          </w:tcPr>
          <w:p w14:paraId="67101F11" w14:textId="768ADE28" w:rsidR="00C11B84" w:rsidRDefault="00C11B84" w:rsidP="00C11B84">
            <w:pPr>
              <w:snapToGrid w:val="0"/>
              <w:rPr>
                <w:rFonts w:ascii="Times New Roman" w:hAnsi="Times New Roman"/>
                <w:sz w:val="20"/>
                <w:szCs w:val="20"/>
              </w:rPr>
            </w:pPr>
            <w:r>
              <w:rPr>
                <w:rFonts w:ascii="Times New Roman" w:hAnsi="Times New Roman"/>
                <w:sz w:val="20"/>
                <w:szCs w:val="20"/>
              </w:rPr>
              <w:t>No (19%)</w:t>
            </w:r>
          </w:p>
        </w:tc>
      </w:tr>
      <w:tr w:rsidR="006953E1" w14:paraId="50417712" w14:textId="77777777" w:rsidTr="00C11B84">
        <w:trPr>
          <w:trHeight w:val="523"/>
          <w:jc w:val="center"/>
        </w:trPr>
        <w:tc>
          <w:tcPr>
            <w:tcW w:w="2258" w:type="dxa"/>
            <w:tcBorders>
              <w:top w:val="single" w:sz="4" w:space="0" w:color="000000"/>
              <w:left w:val="single" w:sz="4" w:space="0" w:color="000000"/>
              <w:bottom w:val="single" w:sz="4" w:space="0" w:color="000000"/>
              <w:right w:val="single" w:sz="4" w:space="0" w:color="000000"/>
            </w:tcBorders>
            <w:vAlign w:val="center"/>
          </w:tcPr>
          <w:p w14:paraId="721D491F" w14:textId="77777777" w:rsidR="006953E1" w:rsidRDefault="006953E1">
            <w:pPr>
              <w:snapToGrid w:val="0"/>
              <w:rPr>
                <w:rFonts w:ascii="Times New Roman" w:hAnsi="Times New Roman"/>
                <w:sz w:val="20"/>
                <w:szCs w:val="20"/>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688B163B" w14:textId="77777777" w:rsidR="006953E1" w:rsidRDefault="006953E1">
            <w:pPr>
              <w:snapToGrid w:val="0"/>
              <w:rPr>
                <w:rFonts w:ascii="Times New Roman" w:hAnsi="Times New Roman"/>
                <w:sz w:val="20"/>
                <w:szCs w:val="20"/>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3AE0CBE5" w14:textId="77777777" w:rsidR="006953E1" w:rsidRDefault="006953E1">
            <w:pPr>
              <w:snapToGrid w:val="0"/>
              <w:rPr>
                <w:rFonts w:ascii="Times New Roman" w:hAnsi="Times New Roman"/>
                <w:sz w:val="20"/>
                <w:szCs w:val="20"/>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5CFAF0B3" w14:textId="77777777" w:rsidR="006953E1" w:rsidRDefault="006953E1">
            <w:pPr>
              <w:snapToGrid w:val="0"/>
              <w:rPr>
                <w:rFonts w:ascii="Times New Roman" w:hAnsi="Times New Roman"/>
                <w:sz w:val="20"/>
                <w:szCs w:val="20"/>
              </w:rPr>
            </w:pPr>
          </w:p>
        </w:tc>
        <w:tc>
          <w:tcPr>
            <w:tcW w:w="824" w:type="dxa"/>
            <w:tcBorders>
              <w:top w:val="single" w:sz="4" w:space="0" w:color="000000"/>
              <w:left w:val="single" w:sz="4" w:space="0" w:color="000000"/>
              <w:bottom w:val="single" w:sz="4" w:space="0" w:color="000000"/>
              <w:right w:val="single" w:sz="4" w:space="0" w:color="000000"/>
            </w:tcBorders>
            <w:vAlign w:val="center"/>
          </w:tcPr>
          <w:p w14:paraId="21F0DB12" w14:textId="77777777" w:rsidR="006953E1" w:rsidRDefault="006953E1">
            <w:pPr>
              <w:snapToGrid w:val="0"/>
              <w:rPr>
                <w:rFonts w:ascii="Times New Roman" w:hAnsi="Times New Roman"/>
                <w:sz w:val="20"/>
                <w:szCs w:val="20"/>
              </w:rPr>
            </w:pPr>
          </w:p>
        </w:tc>
        <w:tc>
          <w:tcPr>
            <w:tcW w:w="1975" w:type="dxa"/>
            <w:tcBorders>
              <w:top w:val="single" w:sz="4" w:space="0" w:color="000000"/>
              <w:left w:val="single" w:sz="4" w:space="0" w:color="000000"/>
              <w:bottom w:val="single" w:sz="4" w:space="0" w:color="000000"/>
              <w:right w:val="single" w:sz="4" w:space="0" w:color="000000"/>
            </w:tcBorders>
            <w:vAlign w:val="center"/>
          </w:tcPr>
          <w:p w14:paraId="3011056D" w14:textId="77777777" w:rsidR="006953E1" w:rsidRDefault="006953E1">
            <w:pPr>
              <w:snapToGrid w:val="0"/>
              <w:rPr>
                <w:rFonts w:ascii="Times New Roman" w:hAnsi="Times New Roman"/>
                <w:sz w:val="20"/>
                <w:szCs w:val="20"/>
              </w:rPr>
            </w:pPr>
          </w:p>
        </w:tc>
        <w:tc>
          <w:tcPr>
            <w:tcW w:w="1975" w:type="dxa"/>
            <w:tcBorders>
              <w:top w:val="single" w:sz="4" w:space="0" w:color="000000"/>
              <w:left w:val="single" w:sz="4" w:space="0" w:color="000000"/>
              <w:bottom w:val="single" w:sz="4" w:space="0" w:color="000000"/>
              <w:right w:val="single" w:sz="4" w:space="0" w:color="000000"/>
            </w:tcBorders>
            <w:vAlign w:val="center"/>
          </w:tcPr>
          <w:p w14:paraId="1809EFCE" w14:textId="77777777" w:rsidR="006953E1" w:rsidRDefault="006953E1">
            <w:pPr>
              <w:snapToGrid w:val="0"/>
              <w:rPr>
                <w:rFonts w:ascii="Times New Roman" w:hAnsi="Times New Roman"/>
                <w:sz w:val="20"/>
                <w:szCs w:val="20"/>
              </w:rPr>
            </w:pPr>
          </w:p>
        </w:tc>
      </w:tr>
    </w:tbl>
    <w:p w14:paraId="40697F13" w14:textId="77777777" w:rsidR="00D7759F" w:rsidRDefault="00D7759F" w:rsidP="00D7759F">
      <w:pPr>
        <w:snapToGrid w:val="0"/>
        <w:spacing w:before="180"/>
        <w:jc w:val="center"/>
        <w:rPr>
          <w:rFonts w:ascii="Times New Roman" w:hAnsi="Times New Roman"/>
          <w:sz w:val="20"/>
          <w:szCs w:val="20"/>
          <w:lang w:eastAsia="zh-CN"/>
        </w:rPr>
      </w:pPr>
    </w:p>
    <w:p w14:paraId="30462A51" w14:textId="77777777" w:rsidR="00D7759F" w:rsidRPr="00121A12" w:rsidRDefault="00D7759F"/>
    <w:sectPr w:rsidR="00D7759F" w:rsidRPr="00121A12"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1FE34" w14:textId="77777777" w:rsidR="005456A2" w:rsidRDefault="005456A2">
      <w:r>
        <w:separator/>
      </w:r>
    </w:p>
  </w:endnote>
  <w:endnote w:type="continuationSeparator" w:id="0">
    <w:p w14:paraId="5F732215" w14:textId="77777777" w:rsidR="005456A2" w:rsidRDefault="005456A2">
      <w:r>
        <w:continuationSeparator/>
      </w:r>
    </w:p>
  </w:endnote>
  <w:endnote w:type="continuationNotice" w:id="1">
    <w:p w14:paraId="22CBD9CA" w14:textId="77777777" w:rsidR="005456A2" w:rsidRDefault="00545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notTrueType/>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20B0604020202020204"/>
    <w:charset w:val="00"/>
    <w:family w:val="roman"/>
    <w:pitch w:val="default"/>
  </w:font>
  <w:font w:name="Lohit Devanagari">
    <w:altName w:val="Cambria"/>
    <w:panose1 w:val="020B0604020202020204"/>
    <w:charset w:val="01"/>
    <w:family w:val="roman"/>
    <w:pitch w:val="default"/>
  </w:font>
  <w:font w:name="楷体_GB2312">
    <w:altName w:val="楷体"/>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84FC" w14:textId="77777777" w:rsidR="005456A2" w:rsidRDefault="005456A2">
      <w:r>
        <w:separator/>
      </w:r>
    </w:p>
  </w:footnote>
  <w:footnote w:type="continuationSeparator" w:id="0">
    <w:p w14:paraId="400C52A0" w14:textId="77777777" w:rsidR="005456A2" w:rsidRDefault="005456A2">
      <w:r>
        <w:continuationSeparator/>
      </w:r>
    </w:p>
  </w:footnote>
  <w:footnote w:type="continuationNotice" w:id="1">
    <w:p w14:paraId="7D96CFDC" w14:textId="77777777" w:rsidR="005456A2" w:rsidRDefault="005456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1"/>
    <w:multiLevelType w:val="singleLevel"/>
    <w:tmpl w:val="74AA2FCA"/>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DE6C378"/>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EA450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86FE8"/>
    <w:multiLevelType w:val="hybridMultilevel"/>
    <w:tmpl w:val="21644942"/>
    <w:lvl w:ilvl="0" w:tplc="CF488B30">
      <w:start w:val="12"/>
      <w:numFmt w:val="bullet"/>
      <w:lvlText w:val=""/>
      <w:lvlJc w:val="left"/>
      <w:pPr>
        <w:ind w:left="720" w:hanging="360"/>
      </w:pPr>
      <w:rPr>
        <w:rFonts w:ascii="Symbol" w:eastAsiaTheme="minorEastAsia"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C2B14"/>
    <w:multiLevelType w:val="hybridMultilevel"/>
    <w:tmpl w:val="4E4ABB92"/>
    <w:lvl w:ilvl="0" w:tplc="F09AFF30">
      <w:start w:val="10"/>
      <w:numFmt w:val="bullet"/>
      <w:lvlText w:val="-"/>
      <w:lvlJc w:val="left"/>
      <w:pPr>
        <w:ind w:left="1664" w:hanging="360"/>
      </w:pPr>
      <w:rPr>
        <w:rFonts w:ascii="Calibri" w:eastAsia="Malgun Gothic" w:hAnsi="Calibri" w:cs="Calibri" w:hint="default"/>
      </w:rPr>
    </w:lvl>
    <w:lvl w:ilvl="1" w:tplc="FFFFFFFF" w:tentative="1">
      <w:start w:val="1"/>
      <w:numFmt w:val="lowerLetter"/>
      <w:lvlText w:val="%2."/>
      <w:lvlJc w:val="left"/>
      <w:pPr>
        <w:tabs>
          <w:tab w:val="num" w:pos="2744"/>
        </w:tabs>
        <w:ind w:left="2744" w:hanging="360"/>
      </w:pPr>
    </w:lvl>
    <w:lvl w:ilvl="2" w:tplc="FFFFFFFF" w:tentative="1">
      <w:start w:val="1"/>
      <w:numFmt w:val="lowerRoman"/>
      <w:lvlText w:val="%3."/>
      <w:lvlJc w:val="right"/>
      <w:pPr>
        <w:tabs>
          <w:tab w:val="num" w:pos="3464"/>
        </w:tabs>
        <w:ind w:left="3464" w:hanging="180"/>
      </w:pPr>
    </w:lvl>
    <w:lvl w:ilvl="3" w:tplc="FFFFFFFF" w:tentative="1">
      <w:start w:val="1"/>
      <w:numFmt w:val="decimal"/>
      <w:lvlText w:val="%4."/>
      <w:lvlJc w:val="left"/>
      <w:pPr>
        <w:tabs>
          <w:tab w:val="num" w:pos="4184"/>
        </w:tabs>
        <w:ind w:left="4184" w:hanging="360"/>
      </w:pPr>
    </w:lvl>
    <w:lvl w:ilvl="4" w:tplc="FFFFFFFF" w:tentative="1">
      <w:start w:val="1"/>
      <w:numFmt w:val="lowerLetter"/>
      <w:lvlText w:val="%5."/>
      <w:lvlJc w:val="left"/>
      <w:pPr>
        <w:tabs>
          <w:tab w:val="num" w:pos="4904"/>
        </w:tabs>
        <w:ind w:left="4904" w:hanging="360"/>
      </w:pPr>
    </w:lvl>
    <w:lvl w:ilvl="5" w:tplc="FFFFFFFF" w:tentative="1">
      <w:start w:val="1"/>
      <w:numFmt w:val="lowerRoman"/>
      <w:lvlText w:val="%6."/>
      <w:lvlJc w:val="right"/>
      <w:pPr>
        <w:tabs>
          <w:tab w:val="num" w:pos="5624"/>
        </w:tabs>
        <w:ind w:left="5624" w:hanging="180"/>
      </w:pPr>
    </w:lvl>
    <w:lvl w:ilvl="6" w:tplc="FFFFFFFF" w:tentative="1">
      <w:start w:val="1"/>
      <w:numFmt w:val="decimal"/>
      <w:lvlText w:val="%7."/>
      <w:lvlJc w:val="left"/>
      <w:pPr>
        <w:tabs>
          <w:tab w:val="num" w:pos="6344"/>
        </w:tabs>
        <w:ind w:left="6344" w:hanging="360"/>
      </w:pPr>
    </w:lvl>
    <w:lvl w:ilvl="7" w:tplc="FFFFFFFF" w:tentative="1">
      <w:start w:val="1"/>
      <w:numFmt w:val="lowerLetter"/>
      <w:lvlText w:val="%8."/>
      <w:lvlJc w:val="left"/>
      <w:pPr>
        <w:tabs>
          <w:tab w:val="num" w:pos="7064"/>
        </w:tabs>
        <w:ind w:left="7064" w:hanging="360"/>
      </w:pPr>
    </w:lvl>
    <w:lvl w:ilvl="8" w:tplc="FFFFFFFF" w:tentative="1">
      <w:start w:val="1"/>
      <w:numFmt w:val="lowerRoman"/>
      <w:lvlText w:val="%9."/>
      <w:lvlJc w:val="right"/>
      <w:pPr>
        <w:tabs>
          <w:tab w:val="num" w:pos="7784"/>
        </w:tabs>
        <w:ind w:left="7784"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3475AC"/>
    <w:multiLevelType w:val="multilevel"/>
    <w:tmpl w:val="553475AC"/>
    <w:lvl w:ilvl="0">
      <w:start w:val="1"/>
      <w:numFmt w:val="decimal"/>
      <w:lvlText w:val="%1"/>
      <w:lvlJc w:val="left"/>
      <w:pPr>
        <w:tabs>
          <w:tab w:val="left" w:pos="432"/>
        </w:tabs>
        <w:ind w:left="432" w:hanging="432"/>
      </w:pPr>
      <w:rPr>
        <w:i w:val="0"/>
        <w:sz w:val="28"/>
        <w:lang w:val="en-US"/>
      </w:rPr>
    </w:lvl>
    <w:lvl w:ilvl="1">
      <w:start w:val="1"/>
      <w:numFmt w:val="decimal"/>
      <w:lvlText w:val="%1.%2"/>
      <w:lvlJc w:val="left"/>
      <w:pPr>
        <w:tabs>
          <w:tab w:val="left" w:pos="576"/>
        </w:tabs>
        <w:ind w:left="576" w:hanging="576"/>
      </w:pPr>
      <w:rPr>
        <w:rFonts w:ascii="Arial" w:hAnsi="Arial"/>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8279968">
    <w:abstractNumId w:val="12"/>
  </w:num>
  <w:num w:numId="2" w16cid:durableId="1396011223">
    <w:abstractNumId w:val="10"/>
  </w:num>
  <w:num w:numId="3" w16cid:durableId="813067247">
    <w:abstractNumId w:val="0"/>
  </w:num>
  <w:num w:numId="4" w16cid:durableId="125205219">
    <w:abstractNumId w:val="14"/>
  </w:num>
  <w:num w:numId="5" w16cid:durableId="493688229">
    <w:abstractNumId w:val="16"/>
  </w:num>
  <w:num w:numId="6" w16cid:durableId="1258903205">
    <w:abstractNumId w:val="7"/>
  </w:num>
  <w:num w:numId="7" w16cid:durableId="1479957460">
    <w:abstractNumId w:val="8"/>
  </w:num>
  <w:num w:numId="8" w16cid:durableId="910503618">
    <w:abstractNumId w:val="4"/>
  </w:num>
  <w:num w:numId="9" w16cid:durableId="728189983">
    <w:abstractNumId w:val="18"/>
  </w:num>
  <w:num w:numId="10" w16cid:durableId="1896232143">
    <w:abstractNumId w:val="9"/>
  </w:num>
  <w:num w:numId="11" w16cid:durableId="1843008138">
    <w:abstractNumId w:val="17"/>
  </w:num>
  <w:num w:numId="12" w16cid:durableId="772749303">
    <w:abstractNumId w:val="13"/>
    <w:lvlOverride w:ilvl="0">
      <w:startOverride w:val="1"/>
    </w:lvlOverride>
  </w:num>
  <w:num w:numId="13" w16cid:durableId="1430009209">
    <w:abstractNumId w:val="11"/>
  </w:num>
  <w:num w:numId="14" w16cid:durableId="696810467">
    <w:abstractNumId w:val="3"/>
  </w:num>
  <w:num w:numId="15" w16cid:durableId="924142645">
    <w:abstractNumId w:val="5"/>
  </w:num>
  <w:num w:numId="16" w16cid:durableId="633826332">
    <w:abstractNumId w:val="6"/>
  </w:num>
  <w:num w:numId="17" w16cid:durableId="479926649">
    <w:abstractNumId w:val="15"/>
  </w:num>
  <w:num w:numId="18" w16cid:durableId="408614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7384004">
    <w:abstractNumId w:val="2"/>
  </w:num>
  <w:num w:numId="20" w16cid:durableId="106687770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E1"/>
    <w:rsid w:val="00001845"/>
    <w:rsid w:val="00001CF6"/>
    <w:rsid w:val="00001F83"/>
    <w:rsid w:val="00002A37"/>
    <w:rsid w:val="00003E1B"/>
    <w:rsid w:val="00003F32"/>
    <w:rsid w:val="0000564C"/>
    <w:rsid w:val="00006446"/>
    <w:rsid w:val="00006896"/>
    <w:rsid w:val="00007CDC"/>
    <w:rsid w:val="00007CE6"/>
    <w:rsid w:val="00011B28"/>
    <w:rsid w:val="000125E6"/>
    <w:rsid w:val="00015523"/>
    <w:rsid w:val="00015D15"/>
    <w:rsid w:val="00016894"/>
    <w:rsid w:val="0001778C"/>
    <w:rsid w:val="00017A47"/>
    <w:rsid w:val="0002161C"/>
    <w:rsid w:val="000219A8"/>
    <w:rsid w:val="000219E1"/>
    <w:rsid w:val="0002564D"/>
    <w:rsid w:val="00025ECA"/>
    <w:rsid w:val="00026ACA"/>
    <w:rsid w:val="00026DFB"/>
    <w:rsid w:val="00026E02"/>
    <w:rsid w:val="000270AA"/>
    <w:rsid w:val="00030958"/>
    <w:rsid w:val="000313C3"/>
    <w:rsid w:val="000317EB"/>
    <w:rsid w:val="00031E4E"/>
    <w:rsid w:val="0003223D"/>
    <w:rsid w:val="000325B8"/>
    <w:rsid w:val="000329FE"/>
    <w:rsid w:val="00034C15"/>
    <w:rsid w:val="00036BA1"/>
    <w:rsid w:val="00037253"/>
    <w:rsid w:val="000373A9"/>
    <w:rsid w:val="00037F8B"/>
    <w:rsid w:val="000422E2"/>
    <w:rsid w:val="00042F22"/>
    <w:rsid w:val="000434EA"/>
    <w:rsid w:val="0004355B"/>
    <w:rsid w:val="000444EF"/>
    <w:rsid w:val="000458EE"/>
    <w:rsid w:val="00046AB3"/>
    <w:rsid w:val="00047BD7"/>
    <w:rsid w:val="00050950"/>
    <w:rsid w:val="00051097"/>
    <w:rsid w:val="00051B0B"/>
    <w:rsid w:val="00051BCB"/>
    <w:rsid w:val="00052A07"/>
    <w:rsid w:val="000534E3"/>
    <w:rsid w:val="000555B1"/>
    <w:rsid w:val="0005606A"/>
    <w:rsid w:val="000568DC"/>
    <w:rsid w:val="00057117"/>
    <w:rsid w:val="000574BB"/>
    <w:rsid w:val="000574DF"/>
    <w:rsid w:val="00057CAD"/>
    <w:rsid w:val="000610CE"/>
    <w:rsid w:val="000616E7"/>
    <w:rsid w:val="00062530"/>
    <w:rsid w:val="00062764"/>
    <w:rsid w:val="00063837"/>
    <w:rsid w:val="000641FE"/>
    <w:rsid w:val="0006487E"/>
    <w:rsid w:val="00065E1A"/>
    <w:rsid w:val="00070146"/>
    <w:rsid w:val="00070831"/>
    <w:rsid w:val="00072540"/>
    <w:rsid w:val="00072908"/>
    <w:rsid w:val="0007585D"/>
    <w:rsid w:val="00077188"/>
    <w:rsid w:val="00077716"/>
    <w:rsid w:val="00077E5F"/>
    <w:rsid w:val="0008036A"/>
    <w:rsid w:val="00081AE6"/>
    <w:rsid w:val="00084824"/>
    <w:rsid w:val="000855EB"/>
    <w:rsid w:val="0008562D"/>
    <w:rsid w:val="00085B52"/>
    <w:rsid w:val="00085C4B"/>
    <w:rsid w:val="000863DD"/>
    <w:rsid w:val="000866F2"/>
    <w:rsid w:val="0008750F"/>
    <w:rsid w:val="0009009F"/>
    <w:rsid w:val="00091557"/>
    <w:rsid w:val="00091D4F"/>
    <w:rsid w:val="000924C1"/>
    <w:rsid w:val="000924F0"/>
    <w:rsid w:val="00093474"/>
    <w:rsid w:val="0009510F"/>
    <w:rsid w:val="000955A2"/>
    <w:rsid w:val="0009675A"/>
    <w:rsid w:val="00096F3A"/>
    <w:rsid w:val="00097E00"/>
    <w:rsid w:val="000A1B7B"/>
    <w:rsid w:val="000A56F2"/>
    <w:rsid w:val="000A6E24"/>
    <w:rsid w:val="000A77ED"/>
    <w:rsid w:val="000B0297"/>
    <w:rsid w:val="000B04C7"/>
    <w:rsid w:val="000B2719"/>
    <w:rsid w:val="000B3A8F"/>
    <w:rsid w:val="000B4A6F"/>
    <w:rsid w:val="000B4AB9"/>
    <w:rsid w:val="000B5554"/>
    <w:rsid w:val="000B58C3"/>
    <w:rsid w:val="000B61E9"/>
    <w:rsid w:val="000B6254"/>
    <w:rsid w:val="000B70C0"/>
    <w:rsid w:val="000C05BE"/>
    <w:rsid w:val="000C08E2"/>
    <w:rsid w:val="000C0CA9"/>
    <w:rsid w:val="000C165A"/>
    <w:rsid w:val="000C1BA5"/>
    <w:rsid w:val="000C2E19"/>
    <w:rsid w:val="000C4ACC"/>
    <w:rsid w:val="000D0D07"/>
    <w:rsid w:val="000D0E95"/>
    <w:rsid w:val="000D10CB"/>
    <w:rsid w:val="000D19D9"/>
    <w:rsid w:val="000D2CE5"/>
    <w:rsid w:val="000D3321"/>
    <w:rsid w:val="000D4797"/>
    <w:rsid w:val="000D489A"/>
    <w:rsid w:val="000D548B"/>
    <w:rsid w:val="000D6A2D"/>
    <w:rsid w:val="000D6E75"/>
    <w:rsid w:val="000D742B"/>
    <w:rsid w:val="000E0527"/>
    <w:rsid w:val="000E1506"/>
    <w:rsid w:val="000E1E92"/>
    <w:rsid w:val="000E7727"/>
    <w:rsid w:val="000F06D6"/>
    <w:rsid w:val="000F0EB1"/>
    <w:rsid w:val="000F1106"/>
    <w:rsid w:val="000F161B"/>
    <w:rsid w:val="000F26E0"/>
    <w:rsid w:val="000F2ABF"/>
    <w:rsid w:val="000F3BE9"/>
    <w:rsid w:val="000F3F6C"/>
    <w:rsid w:val="000F461D"/>
    <w:rsid w:val="000F6C5F"/>
    <w:rsid w:val="000F6DF3"/>
    <w:rsid w:val="001005FF"/>
    <w:rsid w:val="00100648"/>
    <w:rsid w:val="00100C51"/>
    <w:rsid w:val="00100CFF"/>
    <w:rsid w:val="00101D18"/>
    <w:rsid w:val="001043FA"/>
    <w:rsid w:val="00104460"/>
    <w:rsid w:val="0010491F"/>
    <w:rsid w:val="00105D48"/>
    <w:rsid w:val="001062FB"/>
    <w:rsid w:val="001063E6"/>
    <w:rsid w:val="0010652A"/>
    <w:rsid w:val="00107471"/>
    <w:rsid w:val="00110EE6"/>
    <w:rsid w:val="00111882"/>
    <w:rsid w:val="00113CF4"/>
    <w:rsid w:val="001153EA"/>
    <w:rsid w:val="00115643"/>
    <w:rsid w:val="001164CF"/>
    <w:rsid w:val="00116765"/>
    <w:rsid w:val="001219F5"/>
    <w:rsid w:val="00121A12"/>
    <w:rsid w:val="00121A20"/>
    <w:rsid w:val="0012377F"/>
    <w:rsid w:val="0012408D"/>
    <w:rsid w:val="00124314"/>
    <w:rsid w:val="0012448B"/>
    <w:rsid w:val="00125F4C"/>
    <w:rsid w:val="00126017"/>
    <w:rsid w:val="00126B4A"/>
    <w:rsid w:val="001329E9"/>
    <w:rsid w:val="00132FD0"/>
    <w:rsid w:val="001344C0"/>
    <w:rsid w:val="001346FA"/>
    <w:rsid w:val="00135252"/>
    <w:rsid w:val="00137AB5"/>
    <w:rsid w:val="00137F0B"/>
    <w:rsid w:val="00140210"/>
    <w:rsid w:val="00140827"/>
    <w:rsid w:val="00142D91"/>
    <w:rsid w:val="00144376"/>
    <w:rsid w:val="00144D61"/>
    <w:rsid w:val="001457CF"/>
    <w:rsid w:val="0014696F"/>
    <w:rsid w:val="0014775C"/>
    <w:rsid w:val="001515DB"/>
    <w:rsid w:val="00151E23"/>
    <w:rsid w:val="001526BC"/>
    <w:rsid w:val="001526E0"/>
    <w:rsid w:val="00153C8C"/>
    <w:rsid w:val="001551B5"/>
    <w:rsid w:val="00156240"/>
    <w:rsid w:val="001659C1"/>
    <w:rsid w:val="00166EC4"/>
    <w:rsid w:val="001673F3"/>
    <w:rsid w:val="0016791E"/>
    <w:rsid w:val="00171963"/>
    <w:rsid w:val="00171B3F"/>
    <w:rsid w:val="0017344A"/>
    <w:rsid w:val="00173A8E"/>
    <w:rsid w:val="001743AD"/>
    <w:rsid w:val="00174576"/>
    <w:rsid w:val="00174B10"/>
    <w:rsid w:val="0017502C"/>
    <w:rsid w:val="00180A3D"/>
    <w:rsid w:val="00181073"/>
    <w:rsid w:val="0018143F"/>
    <w:rsid w:val="001815AE"/>
    <w:rsid w:val="00181FF8"/>
    <w:rsid w:val="0018281F"/>
    <w:rsid w:val="001839C2"/>
    <w:rsid w:val="001853EC"/>
    <w:rsid w:val="0018573B"/>
    <w:rsid w:val="00185F33"/>
    <w:rsid w:val="00186277"/>
    <w:rsid w:val="00187C14"/>
    <w:rsid w:val="00190AC1"/>
    <w:rsid w:val="00191FD3"/>
    <w:rsid w:val="0019298C"/>
    <w:rsid w:val="001929D4"/>
    <w:rsid w:val="0019341A"/>
    <w:rsid w:val="0019688B"/>
    <w:rsid w:val="00197DF9"/>
    <w:rsid w:val="001A1987"/>
    <w:rsid w:val="001A2564"/>
    <w:rsid w:val="001A28D6"/>
    <w:rsid w:val="001A2B55"/>
    <w:rsid w:val="001A3472"/>
    <w:rsid w:val="001A459D"/>
    <w:rsid w:val="001A5A6F"/>
    <w:rsid w:val="001A6173"/>
    <w:rsid w:val="001A6CBA"/>
    <w:rsid w:val="001B0D97"/>
    <w:rsid w:val="001B22B7"/>
    <w:rsid w:val="001B5495"/>
    <w:rsid w:val="001B5930"/>
    <w:rsid w:val="001B5A5D"/>
    <w:rsid w:val="001B6E86"/>
    <w:rsid w:val="001B6F80"/>
    <w:rsid w:val="001C0903"/>
    <w:rsid w:val="001C1253"/>
    <w:rsid w:val="001C1CE5"/>
    <w:rsid w:val="001C1FAC"/>
    <w:rsid w:val="001C2DDB"/>
    <w:rsid w:val="001C2E86"/>
    <w:rsid w:val="001C377E"/>
    <w:rsid w:val="001C3D2A"/>
    <w:rsid w:val="001C5974"/>
    <w:rsid w:val="001C5A89"/>
    <w:rsid w:val="001C6F2A"/>
    <w:rsid w:val="001C775B"/>
    <w:rsid w:val="001D0EB4"/>
    <w:rsid w:val="001D1DAC"/>
    <w:rsid w:val="001D3C44"/>
    <w:rsid w:val="001D4897"/>
    <w:rsid w:val="001D4937"/>
    <w:rsid w:val="001D51BA"/>
    <w:rsid w:val="001D53E7"/>
    <w:rsid w:val="001D5562"/>
    <w:rsid w:val="001D6342"/>
    <w:rsid w:val="001D6D53"/>
    <w:rsid w:val="001D6EAD"/>
    <w:rsid w:val="001E01FF"/>
    <w:rsid w:val="001E0F13"/>
    <w:rsid w:val="001E2118"/>
    <w:rsid w:val="001E241D"/>
    <w:rsid w:val="001E58E2"/>
    <w:rsid w:val="001E66A6"/>
    <w:rsid w:val="001E7AED"/>
    <w:rsid w:val="001F1D53"/>
    <w:rsid w:val="001F21A7"/>
    <w:rsid w:val="001F2905"/>
    <w:rsid w:val="001F31A2"/>
    <w:rsid w:val="001F3916"/>
    <w:rsid w:val="001F3CA5"/>
    <w:rsid w:val="001F3D73"/>
    <w:rsid w:val="001F54C5"/>
    <w:rsid w:val="001F662C"/>
    <w:rsid w:val="001F6CC3"/>
    <w:rsid w:val="001F7074"/>
    <w:rsid w:val="001F7CB5"/>
    <w:rsid w:val="00200490"/>
    <w:rsid w:val="00201001"/>
    <w:rsid w:val="00201F3A"/>
    <w:rsid w:val="00201FDB"/>
    <w:rsid w:val="00203F96"/>
    <w:rsid w:val="00204B52"/>
    <w:rsid w:val="00205130"/>
    <w:rsid w:val="002069B2"/>
    <w:rsid w:val="00207FA3"/>
    <w:rsid w:val="002114C7"/>
    <w:rsid w:val="0021331B"/>
    <w:rsid w:val="00214DA8"/>
    <w:rsid w:val="00215423"/>
    <w:rsid w:val="002158FA"/>
    <w:rsid w:val="00215961"/>
    <w:rsid w:val="00215E5A"/>
    <w:rsid w:val="00220600"/>
    <w:rsid w:val="0022164B"/>
    <w:rsid w:val="00221B85"/>
    <w:rsid w:val="002224DB"/>
    <w:rsid w:val="002226BE"/>
    <w:rsid w:val="00222E34"/>
    <w:rsid w:val="00223FCB"/>
    <w:rsid w:val="002252C3"/>
    <w:rsid w:val="00225C54"/>
    <w:rsid w:val="0022610E"/>
    <w:rsid w:val="002265A2"/>
    <w:rsid w:val="00226DA0"/>
    <w:rsid w:val="00230765"/>
    <w:rsid w:val="00230A55"/>
    <w:rsid w:val="00230D18"/>
    <w:rsid w:val="002312B3"/>
    <w:rsid w:val="002319E4"/>
    <w:rsid w:val="00231D50"/>
    <w:rsid w:val="002322CB"/>
    <w:rsid w:val="00234150"/>
    <w:rsid w:val="00235632"/>
    <w:rsid w:val="00235872"/>
    <w:rsid w:val="00236549"/>
    <w:rsid w:val="00236BE7"/>
    <w:rsid w:val="00237083"/>
    <w:rsid w:val="00240101"/>
    <w:rsid w:val="00241559"/>
    <w:rsid w:val="0024162B"/>
    <w:rsid w:val="002435B3"/>
    <w:rsid w:val="00245319"/>
    <w:rsid w:val="002458EB"/>
    <w:rsid w:val="002500C8"/>
    <w:rsid w:val="00251BC0"/>
    <w:rsid w:val="00253092"/>
    <w:rsid w:val="002547EF"/>
    <w:rsid w:val="00254D4B"/>
    <w:rsid w:val="00256DF9"/>
    <w:rsid w:val="00257543"/>
    <w:rsid w:val="00257556"/>
    <w:rsid w:val="00260B9A"/>
    <w:rsid w:val="002617E7"/>
    <w:rsid w:val="00262C29"/>
    <w:rsid w:val="00264228"/>
    <w:rsid w:val="00264334"/>
    <w:rsid w:val="0026473E"/>
    <w:rsid w:val="00264F7C"/>
    <w:rsid w:val="00266117"/>
    <w:rsid w:val="00266214"/>
    <w:rsid w:val="00267C83"/>
    <w:rsid w:val="00267D63"/>
    <w:rsid w:val="00270D1D"/>
    <w:rsid w:val="0027144F"/>
    <w:rsid w:val="00271813"/>
    <w:rsid w:val="002718FA"/>
    <w:rsid w:val="00271EE4"/>
    <w:rsid w:val="00271F3A"/>
    <w:rsid w:val="00272C8C"/>
    <w:rsid w:val="00273278"/>
    <w:rsid w:val="002737F4"/>
    <w:rsid w:val="00273960"/>
    <w:rsid w:val="00273A4F"/>
    <w:rsid w:val="00274480"/>
    <w:rsid w:val="002748B0"/>
    <w:rsid w:val="00276318"/>
    <w:rsid w:val="002764CE"/>
    <w:rsid w:val="00277B34"/>
    <w:rsid w:val="00277FA1"/>
    <w:rsid w:val="002805F5"/>
    <w:rsid w:val="00280751"/>
    <w:rsid w:val="00280EE3"/>
    <w:rsid w:val="00281676"/>
    <w:rsid w:val="0028280A"/>
    <w:rsid w:val="00286ACD"/>
    <w:rsid w:val="00287838"/>
    <w:rsid w:val="002907B5"/>
    <w:rsid w:val="00292EB7"/>
    <w:rsid w:val="00296227"/>
    <w:rsid w:val="00296F44"/>
    <w:rsid w:val="0029777D"/>
    <w:rsid w:val="00297C52"/>
    <w:rsid w:val="002A055E"/>
    <w:rsid w:val="002A0B29"/>
    <w:rsid w:val="002A10AE"/>
    <w:rsid w:val="002A1A94"/>
    <w:rsid w:val="002A1D4E"/>
    <w:rsid w:val="002A2869"/>
    <w:rsid w:val="002A4EE0"/>
    <w:rsid w:val="002A6C77"/>
    <w:rsid w:val="002A75FF"/>
    <w:rsid w:val="002B0D5B"/>
    <w:rsid w:val="002B1797"/>
    <w:rsid w:val="002B17C1"/>
    <w:rsid w:val="002B24D6"/>
    <w:rsid w:val="002B66AC"/>
    <w:rsid w:val="002B7CA8"/>
    <w:rsid w:val="002C00FC"/>
    <w:rsid w:val="002C168C"/>
    <w:rsid w:val="002C3376"/>
    <w:rsid w:val="002C41E6"/>
    <w:rsid w:val="002C41FD"/>
    <w:rsid w:val="002D071A"/>
    <w:rsid w:val="002D0C12"/>
    <w:rsid w:val="002D0EEF"/>
    <w:rsid w:val="002D2D80"/>
    <w:rsid w:val="002D34B2"/>
    <w:rsid w:val="002D3C58"/>
    <w:rsid w:val="002D48B0"/>
    <w:rsid w:val="002D5B37"/>
    <w:rsid w:val="002D7637"/>
    <w:rsid w:val="002D7691"/>
    <w:rsid w:val="002E17F2"/>
    <w:rsid w:val="002E1DE2"/>
    <w:rsid w:val="002E3E3F"/>
    <w:rsid w:val="002E43B3"/>
    <w:rsid w:val="002E739B"/>
    <w:rsid w:val="002E7CAE"/>
    <w:rsid w:val="002F0F47"/>
    <w:rsid w:val="002F1997"/>
    <w:rsid w:val="002F2771"/>
    <w:rsid w:val="002F37A9"/>
    <w:rsid w:val="002F4094"/>
    <w:rsid w:val="002F4655"/>
    <w:rsid w:val="002F7E4D"/>
    <w:rsid w:val="00301CE6"/>
    <w:rsid w:val="0030256B"/>
    <w:rsid w:val="00303D1A"/>
    <w:rsid w:val="003047A4"/>
    <w:rsid w:val="00304AE7"/>
    <w:rsid w:val="0030501F"/>
    <w:rsid w:val="0030532A"/>
    <w:rsid w:val="00306605"/>
    <w:rsid w:val="00307BA1"/>
    <w:rsid w:val="00310657"/>
    <w:rsid w:val="00311503"/>
    <w:rsid w:val="00311702"/>
    <w:rsid w:val="00311E82"/>
    <w:rsid w:val="0031397E"/>
    <w:rsid w:val="00313FD6"/>
    <w:rsid w:val="003143BD"/>
    <w:rsid w:val="00315363"/>
    <w:rsid w:val="003159C2"/>
    <w:rsid w:val="003161C4"/>
    <w:rsid w:val="00316282"/>
    <w:rsid w:val="0031673E"/>
    <w:rsid w:val="0031704F"/>
    <w:rsid w:val="00317DF7"/>
    <w:rsid w:val="003203ED"/>
    <w:rsid w:val="0032073B"/>
    <w:rsid w:val="00321190"/>
    <w:rsid w:val="00321812"/>
    <w:rsid w:val="00322C9F"/>
    <w:rsid w:val="0032439B"/>
    <w:rsid w:val="00324597"/>
    <w:rsid w:val="00324D23"/>
    <w:rsid w:val="00325093"/>
    <w:rsid w:val="00325E4C"/>
    <w:rsid w:val="00330EFD"/>
    <w:rsid w:val="00331751"/>
    <w:rsid w:val="00333664"/>
    <w:rsid w:val="00333679"/>
    <w:rsid w:val="003343DE"/>
    <w:rsid w:val="00334579"/>
    <w:rsid w:val="003345F4"/>
    <w:rsid w:val="003355C9"/>
    <w:rsid w:val="00335858"/>
    <w:rsid w:val="003362A4"/>
    <w:rsid w:val="00336BDA"/>
    <w:rsid w:val="0033711E"/>
    <w:rsid w:val="00337EA4"/>
    <w:rsid w:val="003401AF"/>
    <w:rsid w:val="00340840"/>
    <w:rsid w:val="00340AB9"/>
    <w:rsid w:val="00342B7E"/>
    <w:rsid w:val="00342BD7"/>
    <w:rsid w:val="00344AC1"/>
    <w:rsid w:val="00346D9F"/>
    <w:rsid w:val="00346DB5"/>
    <w:rsid w:val="0034779B"/>
    <w:rsid w:val="003477B1"/>
    <w:rsid w:val="00353195"/>
    <w:rsid w:val="00353DD2"/>
    <w:rsid w:val="00353F2D"/>
    <w:rsid w:val="00355B18"/>
    <w:rsid w:val="00357380"/>
    <w:rsid w:val="00357C65"/>
    <w:rsid w:val="003602D9"/>
    <w:rsid w:val="003604CE"/>
    <w:rsid w:val="00360CE7"/>
    <w:rsid w:val="003616EC"/>
    <w:rsid w:val="0036363F"/>
    <w:rsid w:val="003642F0"/>
    <w:rsid w:val="00364BB3"/>
    <w:rsid w:val="003659A9"/>
    <w:rsid w:val="00365B5D"/>
    <w:rsid w:val="003679CC"/>
    <w:rsid w:val="00370A16"/>
    <w:rsid w:val="00370E47"/>
    <w:rsid w:val="0037429B"/>
    <w:rsid w:val="003742AC"/>
    <w:rsid w:val="0037506E"/>
    <w:rsid w:val="003751D4"/>
    <w:rsid w:val="00376561"/>
    <w:rsid w:val="00376FB8"/>
    <w:rsid w:val="00376FD1"/>
    <w:rsid w:val="00377743"/>
    <w:rsid w:val="00377A84"/>
    <w:rsid w:val="00377CE1"/>
    <w:rsid w:val="00380EE3"/>
    <w:rsid w:val="00381403"/>
    <w:rsid w:val="003821AD"/>
    <w:rsid w:val="00382491"/>
    <w:rsid w:val="00383772"/>
    <w:rsid w:val="00385A4D"/>
    <w:rsid w:val="00385BF0"/>
    <w:rsid w:val="00385E83"/>
    <w:rsid w:val="00385EF2"/>
    <w:rsid w:val="0038728C"/>
    <w:rsid w:val="003876E2"/>
    <w:rsid w:val="003939FF"/>
    <w:rsid w:val="0039527D"/>
    <w:rsid w:val="003960DA"/>
    <w:rsid w:val="00396462"/>
    <w:rsid w:val="00396C7C"/>
    <w:rsid w:val="0039797B"/>
    <w:rsid w:val="003A0726"/>
    <w:rsid w:val="003A2223"/>
    <w:rsid w:val="003A2517"/>
    <w:rsid w:val="003A2A0F"/>
    <w:rsid w:val="003A32FE"/>
    <w:rsid w:val="003A45A1"/>
    <w:rsid w:val="003A52B3"/>
    <w:rsid w:val="003A5B0A"/>
    <w:rsid w:val="003A5F49"/>
    <w:rsid w:val="003A6BAC"/>
    <w:rsid w:val="003A70A4"/>
    <w:rsid w:val="003A7EF3"/>
    <w:rsid w:val="003B06CC"/>
    <w:rsid w:val="003B159C"/>
    <w:rsid w:val="003B32AB"/>
    <w:rsid w:val="003B369F"/>
    <w:rsid w:val="003B36A3"/>
    <w:rsid w:val="003B6171"/>
    <w:rsid w:val="003B64BB"/>
    <w:rsid w:val="003B6637"/>
    <w:rsid w:val="003B729B"/>
    <w:rsid w:val="003B7FE5"/>
    <w:rsid w:val="003C11C8"/>
    <w:rsid w:val="003C1C3F"/>
    <w:rsid w:val="003C2702"/>
    <w:rsid w:val="003C3F76"/>
    <w:rsid w:val="003C404A"/>
    <w:rsid w:val="003C5B0B"/>
    <w:rsid w:val="003C5DD8"/>
    <w:rsid w:val="003C679C"/>
    <w:rsid w:val="003C7806"/>
    <w:rsid w:val="003D109F"/>
    <w:rsid w:val="003D1F25"/>
    <w:rsid w:val="003D2478"/>
    <w:rsid w:val="003D2DA9"/>
    <w:rsid w:val="003D3C45"/>
    <w:rsid w:val="003D5303"/>
    <w:rsid w:val="003D5423"/>
    <w:rsid w:val="003D5B1F"/>
    <w:rsid w:val="003D6534"/>
    <w:rsid w:val="003D69FE"/>
    <w:rsid w:val="003D6A7C"/>
    <w:rsid w:val="003D6D35"/>
    <w:rsid w:val="003D6E9C"/>
    <w:rsid w:val="003E15FA"/>
    <w:rsid w:val="003E20D7"/>
    <w:rsid w:val="003E38BE"/>
    <w:rsid w:val="003E44B7"/>
    <w:rsid w:val="003E480A"/>
    <w:rsid w:val="003E4D9C"/>
    <w:rsid w:val="003E4FC4"/>
    <w:rsid w:val="003E55E4"/>
    <w:rsid w:val="003E573B"/>
    <w:rsid w:val="003E5771"/>
    <w:rsid w:val="003E5888"/>
    <w:rsid w:val="003E5BEA"/>
    <w:rsid w:val="003E6036"/>
    <w:rsid w:val="003E607C"/>
    <w:rsid w:val="003E74E3"/>
    <w:rsid w:val="003E76C0"/>
    <w:rsid w:val="003E7F57"/>
    <w:rsid w:val="003F05C7"/>
    <w:rsid w:val="003F06DA"/>
    <w:rsid w:val="003F0A49"/>
    <w:rsid w:val="003F241C"/>
    <w:rsid w:val="003F2CD4"/>
    <w:rsid w:val="003F681C"/>
    <w:rsid w:val="003F6BBE"/>
    <w:rsid w:val="003F73AA"/>
    <w:rsid w:val="004000E8"/>
    <w:rsid w:val="00400748"/>
    <w:rsid w:val="00402E2B"/>
    <w:rsid w:val="0040512B"/>
    <w:rsid w:val="00405CA5"/>
    <w:rsid w:val="0040605B"/>
    <w:rsid w:val="004067F8"/>
    <w:rsid w:val="00407CD3"/>
    <w:rsid w:val="00410134"/>
    <w:rsid w:val="00410B44"/>
    <w:rsid w:val="00410B72"/>
    <w:rsid w:val="00410F18"/>
    <w:rsid w:val="00411231"/>
    <w:rsid w:val="0041263E"/>
    <w:rsid w:val="00413AAC"/>
    <w:rsid w:val="00413E92"/>
    <w:rsid w:val="00417C21"/>
    <w:rsid w:val="00417E90"/>
    <w:rsid w:val="00420F89"/>
    <w:rsid w:val="00421105"/>
    <w:rsid w:val="00422AA4"/>
    <w:rsid w:val="0042372E"/>
    <w:rsid w:val="004242F4"/>
    <w:rsid w:val="00427248"/>
    <w:rsid w:val="0043047B"/>
    <w:rsid w:val="00430729"/>
    <w:rsid w:val="004307C6"/>
    <w:rsid w:val="00431C61"/>
    <w:rsid w:val="004326F5"/>
    <w:rsid w:val="00432BFF"/>
    <w:rsid w:val="00434B9B"/>
    <w:rsid w:val="0043599A"/>
    <w:rsid w:val="00437447"/>
    <w:rsid w:val="00437851"/>
    <w:rsid w:val="00440A05"/>
    <w:rsid w:val="00441831"/>
    <w:rsid w:val="00441A92"/>
    <w:rsid w:val="00441AFC"/>
    <w:rsid w:val="00441EF8"/>
    <w:rsid w:val="00442C22"/>
    <w:rsid w:val="00442EB7"/>
    <w:rsid w:val="004431DC"/>
    <w:rsid w:val="00444F56"/>
    <w:rsid w:val="00445B3A"/>
    <w:rsid w:val="00446488"/>
    <w:rsid w:val="004470C9"/>
    <w:rsid w:val="00447B44"/>
    <w:rsid w:val="004517AA"/>
    <w:rsid w:val="00451A0B"/>
    <w:rsid w:val="00451D5F"/>
    <w:rsid w:val="004523DE"/>
    <w:rsid w:val="00452CAC"/>
    <w:rsid w:val="004540D3"/>
    <w:rsid w:val="004544A0"/>
    <w:rsid w:val="00456514"/>
    <w:rsid w:val="00457565"/>
    <w:rsid w:val="00457B71"/>
    <w:rsid w:val="00460E6F"/>
    <w:rsid w:val="00461996"/>
    <w:rsid w:val="00461A42"/>
    <w:rsid w:val="00461E8C"/>
    <w:rsid w:val="004627A0"/>
    <w:rsid w:val="00464245"/>
    <w:rsid w:val="004655E5"/>
    <w:rsid w:val="004669E2"/>
    <w:rsid w:val="00466A18"/>
    <w:rsid w:val="00466CB9"/>
    <w:rsid w:val="00470C31"/>
    <w:rsid w:val="004711BF"/>
    <w:rsid w:val="00471D2C"/>
    <w:rsid w:val="00471DE0"/>
    <w:rsid w:val="004734D0"/>
    <w:rsid w:val="00473AAD"/>
    <w:rsid w:val="00474D16"/>
    <w:rsid w:val="0047556B"/>
    <w:rsid w:val="00475A16"/>
    <w:rsid w:val="004766FD"/>
    <w:rsid w:val="00477035"/>
    <w:rsid w:val="00477768"/>
    <w:rsid w:val="004778D1"/>
    <w:rsid w:val="0048049C"/>
    <w:rsid w:val="00481710"/>
    <w:rsid w:val="0048302A"/>
    <w:rsid w:val="00485CCA"/>
    <w:rsid w:val="0048650A"/>
    <w:rsid w:val="00487F38"/>
    <w:rsid w:val="00490783"/>
    <w:rsid w:val="00490AC9"/>
    <w:rsid w:val="0049110B"/>
    <w:rsid w:val="004921C5"/>
    <w:rsid w:val="00492BC5"/>
    <w:rsid w:val="004947D2"/>
    <w:rsid w:val="00494C8F"/>
    <w:rsid w:val="00495379"/>
    <w:rsid w:val="004964F1"/>
    <w:rsid w:val="0049662D"/>
    <w:rsid w:val="004974BD"/>
    <w:rsid w:val="004A0C6C"/>
    <w:rsid w:val="004A16BC"/>
    <w:rsid w:val="004A1CE7"/>
    <w:rsid w:val="004A2B94"/>
    <w:rsid w:val="004A31DA"/>
    <w:rsid w:val="004A67E5"/>
    <w:rsid w:val="004A6829"/>
    <w:rsid w:val="004A7EF2"/>
    <w:rsid w:val="004A7F5B"/>
    <w:rsid w:val="004A7FE5"/>
    <w:rsid w:val="004B0224"/>
    <w:rsid w:val="004B1B0D"/>
    <w:rsid w:val="004B2D2C"/>
    <w:rsid w:val="004B2F1E"/>
    <w:rsid w:val="004B4662"/>
    <w:rsid w:val="004B64F3"/>
    <w:rsid w:val="004B6B2F"/>
    <w:rsid w:val="004B6F6A"/>
    <w:rsid w:val="004B7B51"/>
    <w:rsid w:val="004B7C0C"/>
    <w:rsid w:val="004C03A4"/>
    <w:rsid w:val="004C2141"/>
    <w:rsid w:val="004C3898"/>
    <w:rsid w:val="004C58DC"/>
    <w:rsid w:val="004C5C61"/>
    <w:rsid w:val="004C7C23"/>
    <w:rsid w:val="004D04A3"/>
    <w:rsid w:val="004D346B"/>
    <w:rsid w:val="004D36B1"/>
    <w:rsid w:val="004D37E0"/>
    <w:rsid w:val="004D43C3"/>
    <w:rsid w:val="004D43DF"/>
    <w:rsid w:val="004D4C9A"/>
    <w:rsid w:val="004D545B"/>
    <w:rsid w:val="004D58DB"/>
    <w:rsid w:val="004D68E4"/>
    <w:rsid w:val="004D756F"/>
    <w:rsid w:val="004D7EBD"/>
    <w:rsid w:val="004E0197"/>
    <w:rsid w:val="004E2680"/>
    <w:rsid w:val="004E28F9"/>
    <w:rsid w:val="004E36A6"/>
    <w:rsid w:val="004E37B4"/>
    <w:rsid w:val="004E3A96"/>
    <w:rsid w:val="004E4277"/>
    <w:rsid w:val="004E462E"/>
    <w:rsid w:val="004E56DC"/>
    <w:rsid w:val="004E76F4"/>
    <w:rsid w:val="004F0B4E"/>
    <w:rsid w:val="004F0B6C"/>
    <w:rsid w:val="004F142C"/>
    <w:rsid w:val="004F182B"/>
    <w:rsid w:val="004F2078"/>
    <w:rsid w:val="004F4A70"/>
    <w:rsid w:val="004F4BBB"/>
    <w:rsid w:val="004F4DA3"/>
    <w:rsid w:val="004F548F"/>
    <w:rsid w:val="004F634F"/>
    <w:rsid w:val="004F709D"/>
    <w:rsid w:val="004F76EC"/>
    <w:rsid w:val="004F7BBE"/>
    <w:rsid w:val="0050022F"/>
    <w:rsid w:val="0050064D"/>
    <w:rsid w:val="0050157E"/>
    <w:rsid w:val="005027A0"/>
    <w:rsid w:val="00505DDF"/>
    <w:rsid w:val="00506557"/>
    <w:rsid w:val="0050677A"/>
    <w:rsid w:val="00507CBC"/>
    <w:rsid w:val="005108D8"/>
    <w:rsid w:val="005116F9"/>
    <w:rsid w:val="005129C7"/>
    <w:rsid w:val="0051330C"/>
    <w:rsid w:val="00514840"/>
    <w:rsid w:val="00515052"/>
    <w:rsid w:val="00515331"/>
    <w:rsid w:val="005153A7"/>
    <w:rsid w:val="00520042"/>
    <w:rsid w:val="00520048"/>
    <w:rsid w:val="00520428"/>
    <w:rsid w:val="005209D9"/>
    <w:rsid w:val="005219CF"/>
    <w:rsid w:val="00522DE1"/>
    <w:rsid w:val="0052429E"/>
    <w:rsid w:val="0052440C"/>
    <w:rsid w:val="005251FB"/>
    <w:rsid w:val="00525B44"/>
    <w:rsid w:val="00525F91"/>
    <w:rsid w:val="00527842"/>
    <w:rsid w:val="00533C93"/>
    <w:rsid w:val="00534B59"/>
    <w:rsid w:val="0053505E"/>
    <w:rsid w:val="0053520B"/>
    <w:rsid w:val="00536759"/>
    <w:rsid w:val="005377A7"/>
    <w:rsid w:val="00537C62"/>
    <w:rsid w:val="00540A5E"/>
    <w:rsid w:val="00540DDD"/>
    <w:rsid w:val="005415C3"/>
    <w:rsid w:val="005456A2"/>
    <w:rsid w:val="00546970"/>
    <w:rsid w:val="00551A0C"/>
    <w:rsid w:val="00551A2A"/>
    <w:rsid w:val="00551C4C"/>
    <w:rsid w:val="00554E19"/>
    <w:rsid w:val="00555A7E"/>
    <w:rsid w:val="0056060B"/>
    <w:rsid w:val="0056121F"/>
    <w:rsid w:val="00561A31"/>
    <w:rsid w:val="00562818"/>
    <w:rsid w:val="00563360"/>
    <w:rsid w:val="00564668"/>
    <w:rsid w:val="005660A2"/>
    <w:rsid w:val="00566746"/>
    <w:rsid w:val="00566C3A"/>
    <w:rsid w:val="0056720C"/>
    <w:rsid w:val="005705B6"/>
    <w:rsid w:val="00570BBC"/>
    <w:rsid w:val="00572505"/>
    <w:rsid w:val="0057492C"/>
    <w:rsid w:val="00576BDA"/>
    <w:rsid w:val="00577E14"/>
    <w:rsid w:val="00582199"/>
    <w:rsid w:val="00582809"/>
    <w:rsid w:val="005843AF"/>
    <w:rsid w:val="00585651"/>
    <w:rsid w:val="0058798C"/>
    <w:rsid w:val="00587F1A"/>
    <w:rsid w:val="005900FA"/>
    <w:rsid w:val="005919A1"/>
    <w:rsid w:val="005921E1"/>
    <w:rsid w:val="00592DEC"/>
    <w:rsid w:val="005932E7"/>
    <w:rsid w:val="005935A4"/>
    <w:rsid w:val="00594053"/>
    <w:rsid w:val="00594673"/>
    <w:rsid w:val="005948C2"/>
    <w:rsid w:val="00595718"/>
    <w:rsid w:val="00595DCA"/>
    <w:rsid w:val="005969C6"/>
    <w:rsid w:val="00596B0E"/>
    <w:rsid w:val="0059779B"/>
    <w:rsid w:val="005979D1"/>
    <w:rsid w:val="005A0C66"/>
    <w:rsid w:val="005A0D54"/>
    <w:rsid w:val="005A0D74"/>
    <w:rsid w:val="005A16EF"/>
    <w:rsid w:val="005A209A"/>
    <w:rsid w:val="005A26FF"/>
    <w:rsid w:val="005A662D"/>
    <w:rsid w:val="005A7807"/>
    <w:rsid w:val="005B000B"/>
    <w:rsid w:val="005B0B95"/>
    <w:rsid w:val="005B1409"/>
    <w:rsid w:val="005B33E4"/>
    <w:rsid w:val="005B35D7"/>
    <w:rsid w:val="005B392A"/>
    <w:rsid w:val="005B3AA3"/>
    <w:rsid w:val="005B4403"/>
    <w:rsid w:val="005B63F0"/>
    <w:rsid w:val="005B6562"/>
    <w:rsid w:val="005B6F83"/>
    <w:rsid w:val="005C24A9"/>
    <w:rsid w:val="005C3A6D"/>
    <w:rsid w:val="005C3F3D"/>
    <w:rsid w:val="005C74FB"/>
    <w:rsid w:val="005D0428"/>
    <w:rsid w:val="005D1602"/>
    <w:rsid w:val="005D2E4E"/>
    <w:rsid w:val="005D32F9"/>
    <w:rsid w:val="005D5D6D"/>
    <w:rsid w:val="005D63A3"/>
    <w:rsid w:val="005D6EC3"/>
    <w:rsid w:val="005D7276"/>
    <w:rsid w:val="005E0561"/>
    <w:rsid w:val="005E24A4"/>
    <w:rsid w:val="005E2868"/>
    <w:rsid w:val="005E2EB3"/>
    <w:rsid w:val="005E385F"/>
    <w:rsid w:val="005E588A"/>
    <w:rsid w:val="005E5B3F"/>
    <w:rsid w:val="005E5B81"/>
    <w:rsid w:val="005E70A1"/>
    <w:rsid w:val="005E73F6"/>
    <w:rsid w:val="005F023F"/>
    <w:rsid w:val="005F052F"/>
    <w:rsid w:val="005F1ACD"/>
    <w:rsid w:val="005F2ACE"/>
    <w:rsid w:val="005F2CB1"/>
    <w:rsid w:val="005F3025"/>
    <w:rsid w:val="005F618C"/>
    <w:rsid w:val="005F70BD"/>
    <w:rsid w:val="005F7366"/>
    <w:rsid w:val="005F7C88"/>
    <w:rsid w:val="005F7F1A"/>
    <w:rsid w:val="00601019"/>
    <w:rsid w:val="00601A3F"/>
    <w:rsid w:val="0060283C"/>
    <w:rsid w:val="006029EB"/>
    <w:rsid w:val="00603CDD"/>
    <w:rsid w:val="00604E05"/>
    <w:rsid w:val="00604F14"/>
    <w:rsid w:val="00605EA9"/>
    <w:rsid w:val="0061009F"/>
    <w:rsid w:val="0061040F"/>
    <w:rsid w:val="00611B83"/>
    <w:rsid w:val="00613257"/>
    <w:rsid w:val="00613BE8"/>
    <w:rsid w:val="006144F1"/>
    <w:rsid w:val="00614BAB"/>
    <w:rsid w:val="00620A71"/>
    <w:rsid w:val="00620D80"/>
    <w:rsid w:val="006234A6"/>
    <w:rsid w:val="00624C78"/>
    <w:rsid w:val="006250DE"/>
    <w:rsid w:val="00625726"/>
    <w:rsid w:val="0062732C"/>
    <w:rsid w:val="00630001"/>
    <w:rsid w:val="006309D2"/>
    <w:rsid w:val="006311B3"/>
    <w:rsid w:val="0063284C"/>
    <w:rsid w:val="006347C1"/>
    <w:rsid w:val="00636398"/>
    <w:rsid w:val="006368D3"/>
    <w:rsid w:val="006377EC"/>
    <w:rsid w:val="00640BDF"/>
    <w:rsid w:val="0064151F"/>
    <w:rsid w:val="00641533"/>
    <w:rsid w:val="0064208D"/>
    <w:rsid w:val="006420E5"/>
    <w:rsid w:val="00643475"/>
    <w:rsid w:val="0064396A"/>
    <w:rsid w:val="0064624E"/>
    <w:rsid w:val="0064651D"/>
    <w:rsid w:val="00646A0C"/>
    <w:rsid w:val="00647516"/>
    <w:rsid w:val="00650AB9"/>
    <w:rsid w:val="00650BE3"/>
    <w:rsid w:val="0065122A"/>
    <w:rsid w:val="00651EAF"/>
    <w:rsid w:val="0065256D"/>
    <w:rsid w:val="006534BD"/>
    <w:rsid w:val="00655733"/>
    <w:rsid w:val="00655874"/>
    <w:rsid w:val="00655ACD"/>
    <w:rsid w:val="00656A92"/>
    <w:rsid w:val="00656DDE"/>
    <w:rsid w:val="006576C6"/>
    <w:rsid w:val="006579D6"/>
    <w:rsid w:val="0066011D"/>
    <w:rsid w:val="006607C0"/>
    <w:rsid w:val="006613A6"/>
    <w:rsid w:val="00661D7A"/>
    <w:rsid w:val="006627A2"/>
    <w:rsid w:val="006634E6"/>
    <w:rsid w:val="00663E96"/>
    <w:rsid w:val="006655EE"/>
    <w:rsid w:val="00667EE7"/>
    <w:rsid w:val="00670922"/>
    <w:rsid w:val="00670BE1"/>
    <w:rsid w:val="00671577"/>
    <w:rsid w:val="0067218F"/>
    <w:rsid w:val="00673857"/>
    <w:rsid w:val="00674070"/>
    <w:rsid w:val="006741F2"/>
    <w:rsid w:val="00674CC3"/>
    <w:rsid w:val="00675456"/>
    <w:rsid w:val="00675C72"/>
    <w:rsid w:val="006771F9"/>
    <w:rsid w:val="006776D7"/>
    <w:rsid w:val="00680CFD"/>
    <w:rsid w:val="00681003"/>
    <w:rsid w:val="006817C9"/>
    <w:rsid w:val="0068274F"/>
    <w:rsid w:val="00682CDE"/>
    <w:rsid w:val="00683414"/>
    <w:rsid w:val="00683ECE"/>
    <w:rsid w:val="006844D7"/>
    <w:rsid w:val="006853BC"/>
    <w:rsid w:val="00685CEE"/>
    <w:rsid w:val="00685D85"/>
    <w:rsid w:val="00687911"/>
    <w:rsid w:val="00691EBE"/>
    <w:rsid w:val="00693FDE"/>
    <w:rsid w:val="006941DE"/>
    <w:rsid w:val="00695337"/>
    <w:rsid w:val="006953E1"/>
    <w:rsid w:val="00695FC2"/>
    <w:rsid w:val="0069614B"/>
    <w:rsid w:val="00696949"/>
    <w:rsid w:val="00697052"/>
    <w:rsid w:val="006A0996"/>
    <w:rsid w:val="006A1AB1"/>
    <w:rsid w:val="006A1B8F"/>
    <w:rsid w:val="006A3E3D"/>
    <w:rsid w:val="006A46BD"/>
    <w:rsid w:val="006A46FB"/>
    <w:rsid w:val="006A50A1"/>
    <w:rsid w:val="006A5E28"/>
    <w:rsid w:val="006A62F1"/>
    <w:rsid w:val="006A640C"/>
    <w:rsid w:val="006A697B"/>
    <w:rsid w:val="006A7AFF"/>
    <w:rsid w:val="006B1816"/>
    <w:rsid w:val="006B2099"/>
    <w:rsid w:val="006B218E"/>
    <w:rsid w:val="006B296E"/>
    <w:rsid w:val="006B301E"/>
    <w:rsid w:val="006B50CF"/>
    <w:rsid w:val="006B54EE"/>
    <w:rsid w:val="006B5979"/>
    <w:rsid w:val="006C03B8"/>
    <w:rsid w:val="006C1E5C"/>
    <w:rsid w:val="006C5EC9"/>
    <w:rsid w:val="006C6059"/>
    <w:rsid w:val="006C72BC"/>
    <w:rsid w:val="006C7522"/>
    <w:rsid w:val="006D160C"/>
    <w:rsid w:val="006D2846"/>
    <w:rsid w:val="006D2A3F"/>
    <w:rsid w:val="006D6F08"/>
    <w:rsid w:val="006E062C"/>
    <w:rsid w:val="006E1266"/>
    <w:rsid w:val="006E193F"/>
    <w:rsid w:val="006E1C82"/>
    <w:rsid w:val="006E28B7"/>
    <w:rsid w:val="006E2A9B"/>
    <w:rsid w:val="006E3310"/>
    <w:rsid w:val="006E3C85"/>
    <w:rsid w:val="006E46EE"/>
    <w:rsid w:val="006E4E39"/>
    <w:rsid w:val="006E565E"/>
    <w:rsid w:val="006E673D"/>
    <w:rsid w:val="006E7C18"/>
    <w:rsid w:val="006E7D3B"/>
    <w:rsid w:val="006F14E0"/>
    <w:rsid w:val="006F158F"/>
    <w:rsid w:val="006F1B70"/>
    <w:rsid w:val="006F1CDF"/>
    <w:rsid w:val="006F1DAC"/>
    <w:rsid w:val="006F2113"/>
    <w:rsid w:val="006F341D"/>
    <w:rsid w:val="006F3CDE"/>
    <w:rsid w:val="006F51BF"/>
    <w:rsid w:val="006F58D4"/>
    <w:rsid w:val="006F5D72"/>
    <w:rsid w:val="006F6138"/>
    <w:rsid w:val="006F6582"/>
    <w:rsid w:val="007008B4"/>
    <w:rsid w:val="00700B25"/>
    <w:rsid w:val="007029A0"/>
    <w:rsid w:val="0070346E"/>
    <w:rsid w:val="00704B17"/>
    <w:rsid w:val="00704EDB"/>
    <w:rsid w:val="0070603D"/>
    <w:rsid w:val="00706101"/>
    <w:rsid w:val="00706BD4"/>
    <w:rsid w:val="00706D3C"/>
    <w:rsid w:val="00707072"/>
    <w:rsid w:val="00707D61"/>
    <w:rsid w:val="00710E7F"/>
    <w:rsid w:val="00711308"/>
    <w:rsid w:val="00712287"/>
    <w:rsid w:val="00712772"/>
    <w:rsid w:val="0071361D"/>
    <w:rsid w:val="007148D3"/>
    <w:rsid w:val="00715B9A"/>
    <w:rsid w:val="00717696"/>
    <w:rsid w:val="00722A3E"/>
    <w:rsid w:val="007257D0"/>
    <w:rsid w:val="00726817"/>
    <w:rsid w:val="00726998"/>
    <w:rsid w:val="00726EA6"/>
    <w:rsid w:val="00727208"/>
    <w:rsid w:val="00727426"/>
    <w:rsid w:val="00727680"/>
    <w:rsid w:val="00730B00"/>
    <w:rsid w:val="007321AC"/>
    <w:rsid w:val="00733712"/>
    <w:rsid w:val="00733AF7"/>
    <w:rsid w:val="00734503"/>
    <w:rsid w:val="007348B1"/>
    <w:rsid w:val="00735B1B"/>
    <w:rsid w:val="007362A6"/>
    <w:rsid w:val="00736D7D"/>
    <w:rsid w:val="00740E58"/>
    <w:rsid w:val="007422EA"/>
    <w:rsid w:val="00742322"/>
    <w:rsid w:val="007445A0"/>
    <w:rsid w:val="00744F7C"/>
    <w:rsid w:val="0074524B"/>
    <w:rsid w:val="007463C6"/>
    <w:rsid w:val="00747D8B"/>
    <w:rsid w:val="00751228"/>
    <w:rsid w:val="00753536"/>
    <w:rsid w:val="00753821"/>
    <w:rsid w:val="007540AD"/>
    <w:rsid w:val="0075540D"/>
    <w:rsid w:val="00755E33"/>
    <w:rsid w:val="00756CDB"/>
    <w:rsid w:val="007571E1"/>
    <w:rsid w:val="00757764"/>
    <w:rsid w:val="00757A16"/>
    <w:rsid w:val="007604B2"/>
    <w:rsid w:val="00761482"/>
    <w:rsid w:val="0076300B"/>
    <w:rsid w:val="00763BA5"/>
    <w:rsid w:val="00765281"/>
    <w:rsid w:val="00766BAD"/>
    <w:rsid w:val="00766DCC"/>
    <w:rsid w:val="00767ACB"/>
    <w:rsid w:val="00770D49"/>
    <w:rsid w:val="0077139A"/>
    <w:rsid w:val="00771AFE"/>
    <w:rsid w:val="00771BAA"/>
    <w:rsid w:val="007729A2"/>
    <w:rsid w:val="00772DD7"/>
    <w:rsid w:val="00772E3D"/>
    <w:rsid w:val="0077355F"/>
    <w:rsid w:val="00773965"/>
    <w:rsid w:val="00774989"/>
    <w:rsid w:val="007749DE"/>
    <w:rsid w:val="00774B0E"/>
    <w:rsid w:val="00774B2F"/>
    <w:rsid w:val="007755F2"/>
    <w:rsid w:val="00776971"/>
    <w:rsid w:val="00780A80"/>
    <w:rsid w:val="0078177E"/>
    <w:rsid w:val="0078209C"/>
    <w:rsid w:val="0078304C"/>
    <w:rsid w:val="0078364C"/>
    <w:rsid w:val="00783673"/>
    <w:rsid w:val="00784AB6"/>
    <w:rsid w:val="00784EA6"/>
    <w:rsid w:val="00785490"/>
    <w:rsid w:val="00786C8A"/>
    <w:rsid w:val="007879B8"/>
    <w:rsid w:val="0079185E"/>
    <w:rsid w:val="007918F7"/>
    <w:rsid w:val="00791DFA"/>
    <w:rsid w:val="007925EA"/>
    <w:rsid w:val="007927DE"/>
    <w:rsid w:val="00793CD8"/>
    <w:rsid w:val="00795C92"/>
    <w:rsid w:val="00796231"/>
    <w:rsid w:val="00797A15"/>
    <w:rsid w:val="007A0F55"/>
    <w:rsid w:val="007A1CB3"/>
    <w:rsid w:val="007A1D7A"/>
    <w:rsid w:val="007A25B6"/>
    <w:rsid w:val="007A306F"/>
    <w:rsid w:val="007A3A07"/>
    <w:rsid w:val="007A43A6"/>
    <w:rsid w:val="007A56E4"/>
    <w:rsid w:val="007A58A6"/>
    <w:rsid w:val="007A695C"/>
    <w:rsid w:val="007A6BF0"/>
    <w:rsid w:val="007A6C8C"/>
    <w:rsid w:val="007B0044"/>
    <w:rsid w:val="007B0B4E"/>
    <w:rsid w:val="007B1191"/>
    <w:rsid w:val="007B3D2D"/>
    <w:rsid w:val="007B4E07"/>
    <w:rsid w:val="007B50AE"/>
    <w:rsid w:val="007B51DF"/>
    <w:rsid w:val="007C05DD"/>
    <w:rsid w:val="007C16BC"/>
    <w:rsid w:val="007C1BCA"/>
    <w:rsid w:val="007C2A35"/>
    <w:rsid w:val="007C3D18"/>
    <w:rsid w:val="007C60BF"/>
    <w:rsid w:val="007C6A07"/>
    <w:rsid w:val="007C755B"/>
    <w:rsid w:val="007C75A1"/>
    <w:rsid w:val="007C77A5"/>
    <w:rsid w:val="007D04E5"/>
    <w:rsid w:val="007D0D53"/>
    <w:rsid w:val="007D12FB"/>
    <w:rsid w:val="007D303A"/>
    <w:rsid w:val="007D5352"/>
    <w:rsid w:val="007D5384"/>
    <w:rsid w:val="007D573C"/>
    <w:rsid w:val="007D5901"/>
    <w:rsid w:val="007D5F62"/>
    <w:rsid w:val="007D6C55"/>
    <w:rsid w:val="007D7526"/>
    <w:rsid w:val="007D75A1"/>
    <w:rsid w:val="007E0603"/>
    <w:rsid w:val="007E0866"/>
    <w:rsid w:val="007E4610"/>
    <w:rsid w:val="007E4715"/>
    <w:rsid w:val="007E4787"/>
    <w:rsid w:val="007E505B"/>
    <w:rsid w:val="007E7091"/>
    <w:rsid w:val="007E7BC0"/>
    <w:rsid w:val="007F31D5"/>
    <w:rsid w:val="007F3542"/>
    <w:rsid w:val="007F5ADF"/>
    <w:rsid w:val="007F6649"/>
    <w:rsid w:val="007F7247"/>
    <w:rsid w:val="007F744C"/>
    <w:rsid w:val="00802050"/>
    <w:rsid w:val="0080207C"/>
    <w:rsid w:val="00802B22"/>
    <w:rsid w:val="00803FAE"/>
    <w:rsid w:val="008041A7"/>
    <w:rsid w:val="00804967"/>
    <w:rsid w:val="0080605F"/>
    <w:rsid w:val="00807786"/>
    <w:rsid w:val="00811FCB"/>
    <w:rsid w:val="00812107"/>
    <w:rsid w:val="00812F46"/>
    <w:rsid w:val="00814201"/>
    <w:rsid w:val="008158D6"/>
    <w:rsid w:val="00817196"/>
    <w:rsid w:val="008171C5"/>
    <w:rsid w:val="00817885"/>
    <w:rsid w:val="008219E6"/>
    <w:rsid w:val="008235DB"/>
    <w:rsid w:val="00823EE1"/>
    <w:rsid w:val="00824AB4"/>
    <w:rsid w:val="008253F8"/>
    <w:rsid w:val="00825C42"/>
    <w:rsid w:val="00825D25"/>
    <w:rsid w:val="00827D6F"/>
    <w:rsid w:val="008315C6"/>
    <w:rsid w:val="008318A1"/>
    <w:rsid w:val="00832E9C"/>
    <w:rsid w:val="008368CC"/>
    <w:rsid w:val="00836F6B"/>
    <w:rsid w:val="008376AC"/>
    <w:rsid w:val="00842517"/>
    <w:rsid w:val="00843E3B"/>
    <w:rsid w:val="008442E7"/>
    <w:rsid w:val="008444E8"/>
    <w:rsid w:val="00844E80"/>
    <w:rsid w:val="0084508C"/>
    <w:rsid w:val="00846FE7"/>
    <w:rsid w:val="0084746E"/>
    <w:rsid w:val="00847500"/>
    <w:rsid w:val="0084799C"/>
    <w:rsid w:val="00850027"/>
    <w:rsid w:val="00850F0C"/>
    <w:rsid w:val="00851076"/>
    <w:rsid w:val="0085295F"/>
    <w:rsid w:val="00856911"/>
    <w:rsid w:val="0086073E"/>
    <w:rsid w:val="00861CF9"/>
    <w:rsid w:val="00862017"/>
    <w:rsid w:val="0086208D"/>
    <w:rsid w:val="008628E8"/>
    <w:rsid w:val="00864CCE"/>
    <w:rsid w:val="00867696"/>
    <w:rsid w:val="008677FD"/>
    <w:rsid w:val="008706D4"/>
    <w:rsid w:val="00870F8A"/>
    <w:rsid w:val="008719A4"/>
    <w:rsid w:val="00871D23"/>
    <w:rsid w:val="00872A2E"/>
    <w:rsid w:val="00873A22"/>
    <w:rsid w:val="00874312"/>
    <w:rsid w:val="0087437C"/>
    <w:rsid w:val="00875192"/>
    <w:rsid w:val="0087543E"/>
    <w:rsid w:val="00875715"/>
    <w:rsid w:val="00875CD7"/>
    <w:rsid w:val="00876226"/>
    <w:rsid w:val="00876B4D"/>
    <w:rsid w:val="00877F18"/>
    <w:rsid w:val="00880424"/>
    <w:rsid w:val="00882111"/>
    <w:rsid w:val="008874BE"/>
    <w:rsid w:val="00887752"/>
    <w:rsid w:val="00887DD9"/>
    <w:rsid w:val="008927FD"/>
    <w:rsid w:val="0089314E"/>
    <w:rsid w:val="008941E3"/>
    <w:rsid w:val="00894A88"/>
    <w:rsid w:val="00895386"/>
    <w:rsid w:val="008A013D"/>
    <w:rsid w:val="008A0C37"/>
    <w:rsid w:val="008A1093"/>
    <w:rsid w:val="008A123A"/>
    <w:rsid w:val="008A1292"/>
    <w:rsid w:val="008A21FF"/>
    <w:rsid w:val="008A25CC"/>
    <w:rsid w:val="008A2CE2"/>
    <w:rsid w:val="008A2EAB"/>
    <w:rsid w:val="008A30AC"/>
    <w:rsid w:val="008A44B8"/>
    <w:rsid w:val="008A51A8"/>
    <w:rsid w:val="008A54C7"/>
    <w:rsid w:val="008A6545"/>
    <w:rsid w:val="008A66C7"/>
    <w:rsid w:val="008A77D8"/>
    <w:rsid w:val="008B0483"/>
    <w:rsid w:val="008B0CCC"/>
    <w:rsid w:val="008B120C"/>
    <w:rsid w:val="008B51A0"/>
    <w:rsid w:val="008B592A"/>
    <w:rsid w:val="008B5C85"/>
    <w:rsid w:val="008B7B5C"/>
    <w:rsid w:val="008C015B"/>
    <w:rsid w:val="008C0C99"/>
    <w:rsid w:val="008C2017"/>
    <w:rsid w:val="008C3D06"/>
    <w:rsid w:val="008C4456"/>
    <w:rsid w:val="008C4958"/>
    <w:rsid w:val="008C4BAA"/>
    <w:rsid w:val="008C55F9"/>
    <w:rsid w:val="008C659C"/>
    <w:rsid w:val="008C6AE8"/>
    <w:rsid w:val="008C7573"/>
    <w:rsid w:val="008D00A5"/>
    <w:rsid w:val="008D34F1"/>
    <w:rsid w:val="008D365E"/>
    <w:rsid w:val="008D37A4"/>
    <w:rsid w:val="008D39D8"/>
    <w:rsid w:val="008D3E71"/>
    <w:rsid w:val="008D44EC"/>
    <w:rsid w:val="008D6278"/>
    <w:rsid w:val="008D6D1A"/>
    <w:rsid w:val="008E065E"/>
    <w:rsid w:val="008E0927"/>
    <w:rsid w:val="008E098F"/>
    <w:rsid w:val="008E1909"/>
    <w:rsid w:val="008E1CE1"/>
    <w:rsid w:val="008E1D10"/>
    <w:rsid w:val="008E1D29"/>
    <w:rsid w:val="008E2D62"/>
    <w:rsid w:val="008E57E7"/>
    <w:rsid w:val="008F1EAB"/>
    <w:rsid w:val="008F2116"/>
    <w:rsid w:val="008F33DC"/>
    <w:rsid w:val="008F3CB9"/>
    <w:rsid w:val="008F477F"/>
    <w:rsid w:val="0090182F"/>
    <w:rsid w:val="00902350"/>
    <w:rsid w:val="00902619"/>
    <w:rsid w:val="0090336B"/>
    <w:rsid w:val="009053AA"/>
    <w:rsid w:val="0090546C"/>
    <w:rsid w:val="00906788"/>
    <w:rsid w:val="00906939"/>
    <w:rsid w:val="00906D28"/>
    <w:rsid w:val="009071E8"/>
    <w:rsid w:val="00910258"/>
    <w:rsid w:val="00910B7D"/>
    <w:rsid w:val="00910BAE"/>
    <w:rsid w:val="00911DFB"/>
    <w:rsid w:val="009139D9"/>
    <w:rsid w:val="009143B2"/>
    <w:rsid w:val="00914721"/>
    <w:rsid w:val="00914AD8"/>
    <w:rsid w:val="009157A8"/>
    <w:rsid w:val="00916079"/>
    <w:rsid w:val="009170FB"/>
    <w:rsid w:val="0091796D"/>
    <w:rsid w:val="00917CE9"/>
    <w:rsid w:val="00920BF2"/>
    <w:rsid w:val="00922010"/>
    <w:rsid w:val="00922F45"/>
    <w:rsid w:val="009258A3"/>
    <w:rsid w:val="009259DD"/>
    <w:rsid w:val="00925D81"/>
    <w:rsid w:val="00926223"/>
    <w:rsid w:val="00927D3D"/>
    <w:rsid w:val="009302F1"/>
    <w:rsid w:val="00930307"/>
    <w:rsid w:val="009310DE"/>
    <w:rsid w:val="0093131C"/>
    <w:rsid w:val="00931BD9"/>
    <w:rsid w:val="009335B2"/>
    <w:rsid w:val="0093483B"/>
    <w:rsid w:val="00934B70"/>
    <w:rsid w:val="00934C93"/>
    <w:rsid w:val="009368F3"/>
    <w:rsid w:val="00937F6D"/>
    <w:rsid w:val="0094039F"/>
    <w:rsid w:val="00940617"/>
    <w:rsid w:val="00941636"/>
    <w:rsid w:val="00942665"/>
    <w:rsid w:val="00943742"/>
    <w:rsid w:val="00945C05"/>
    <w:rsid w:val="00945D6C"/>
    <w:rsid w:val="00946945"/>
    <w:rsid w:val="00947713"/>
    <w:rsid w:val="00950DE7"/>
    <w:rsid w:val="00951FDF"/>
    <w:rsid w:val="009521B6"/>
    <w:rsid w:val="00952757"/>
    <w:rsid w:val="00953388"/>
    <w:rsid w:val="00953920"/>
    <w:rsid w:val="00953D47"/>
    <w:rsid w:val="0095681E"/>
    <w:rsid w:val="00956B32"/>
    <w:rsid w:val="00957261"/>
    <w:rsid w:val="009572D4"/>
    <w:rsid w:val="009579D6"/>
    <w:rsid w:val="00957E72"/>
    <w:rsid w:val="00961921"/>
    <w:rsid w:val="00961F8A"/>
    <w:rsid w:val="009640CF"/>
    <w:rsid w:val="00964298"/>
    <w:rsid w:val="0096430A"/>
    <w:rsid w:val="009654E9"/>
    <w:rsid w:val="0096554B"/>
    <w:rsid w:val="0096584A"/>
    <w:rsid w:val="009665C5"/>
    <w:rsid w:val="00971900"/>
    <w:rsid w:val="00971F08"/>
    <w:rsid w:val="0097274B"/>
    <w:rsid w:val="00972D68"/>
    <w:rsid w:val="00976023"/>
    <w:rsid w:val="0097603D"/>
    <w:rsid w:val="009765BD"/>
    <w:rsid w:val="00976949"/>
    <w:rsid w:val="00980477"/>
    <w:rsid w:val="00980AE8"/>
    <w:rsid w:val="009820AE"/>
    <w:rsid w:val="0098348E"/>
    <w:rsid w:val="00983565"/>
    <w:rsid w:val="00983902"/>
    <w:rsid w:val="0098445E"/>
    <w:rsid w:val="00985253"/>
    <w:rsid w:val="00985387"/>
    <w:rsid w:val="009853B3"/>
    <w:rsid w:val="00986EC6"/>
    <w:rsid w:val="009875A2"/>
    <w:rsid w:val="009875AE"/>
    <w:rsid w:val="00990630"/>
    <w:rsid w:val="00991761"/>
    <w:rsid w:val="00991BFF"/>
    <w:rsid w:val="00994DCA"/>
    <w:rsid w:val="009960EC"/>
    <w:rsid w:val="009970DD"/>
    <w:rsid w:val="009A0FBA"/>
    <w:rsid w:val="009A1601"/>
    <w:rsid w:val="009A3BB6"/>
    <w:rsid w:val="009A462D"/>
    <w:rsid w:val="009A5600"/>
    <w:rsid w:val="009A5CBA"/>
    <w:rsid w:val="009A5D64"/>
    <w:rsid w:val="009A5EBA"/>
    <w:rsid w:val="009B09EB"/>
    <w:rsid w:val="009B1F30"/>
    <w:rsid w:val="009B2121"/>
    <w:rsid w:val="009B35B8"/>
    <w:rsid w:val="009B3AC2"/>
    <w:rsid w:val="009B3E30"/>
    <w:rsid w:val="009B3E76"/>
    <w:rsid w:val="009B40CC"/>
    <w:rsid w:val="009B4B47"/>
    <w:rsid w:val="009B4DF4"/>
    <w:rsid w:val="009B564E"/>
    <w:rsid w:val="009B5713"/>
    <w:rsid w:val="009B6B56"/>
    <w:rsid w:val="009B7E87"/>
    <w:rsid w:val="009B7F1B"/>
    <w:rsid w:val="009C0169"/>
    <w:rsid w:val="009C2050"/>
    <w:rsid w:val="009C2D55"/>
    <w:rsid w:val="009C403E"/>
    <w:rsid w:val="009C5EBF"/>
    <w:rsid w:val="009C61AC"/>
    <w:rsid w:val="009D4FF0"/>
    <w:rsid w:val="009D651D"/>
    <w:rsid w:val="009D6E67"/>
    <w:rsid w:val="009D703C"/>
    <w:rsid w:val="009D718F"/>
    <w:rsid w:val="009E058F"/>
    <w:rsid w:val="009E068F"/>
    <w:rsid w:val="009E095F"/>
    <w:rsid w:val="009E1326"/>
    <w:rsid w:val="009E1485"/>
    <w:rsid w:val="009E14E0"/>
    <w:rsid w:val="009E1EEF"/>
    <w:rsid w:val="009E35DB"/>
    <w:rsid w:val="009E47A3"/>
    <w:rsid w:val="009E4F66"/>
    <w:rsid w:val="009E5561"/>
    <w:rsid w:val="009E6534"/>
    <w:rsid w:val="009E662E"/>
    <w:rsid w:val="009F08F3"/>
    <w:rsid w:val="009F344F"/>
    <w:rsid w:val="00A01697"/>
    <w:rsid w:val="00A02E03"/>
    <w:rsid w:val="00A031D8"/>
    <w:rsid w:val="00A04857"/>
    <w:rsid w:val="00A048A8"/>
    <w:rsid w:val="00A04F49"/>
    <w:rsid w:val="00A050CB"/>
    <w:rsid w:val="00A06C8F"/>
    <w:rsid w:val="00A076E4"/>
    <w:rsid w:val="00A10A69"/>
    <w:rsid w:val="00A10D8D"/>
    <w:rsid w:val="00A11013"/>
    <w:rsid w:val="00A11F8B"/>
    <w:rsid w:val="00A13CA3"/>
    <w:rsid w:val="00A13E54"/>
    <w:rsid w:val="00A15289"/>
    <w:rsid w:val="00A15944"/>
    <w:rsid w:val="00A17F63"/>
    <w:rsid w:val="00A2102C"/>
    <w:rsid w:val="00A218DE"/>
    <w:rsid w:val="00A2193B"/>
    <w:rsid w:val="00A22033"/>
    <w:rsid w:val="00A220A3"/>
    <w:rsid w:val="00A22EA5"/>
    <w:rsid w:val="00A2351A"/>
    <w:rsid w:val="00A2577B"/>
    <w:rsid w:val="00A264A9"/>
    <w:rsid w:val="00A268F6"/>
    <w:rsid w:val="00A26DCF"/>
    <w:rsid w:val="00A2712C"/>
    <w:rsid w:val="00A27785"/>
    <w:rsid w:val="00A27A70"/>
    <w:rsid w:val="00A30187"/>
    <w:rsid w:val="00A309AE"/>
    <w:rsid w:val="00A31112"/>
    <w:rsid w:val="00A3448A"/>
    <w:rsid w:val="00A34AEB"/>
    <w:rsid w:val="00A36297"/>
    <w:rsid w:val="00A414B1"/>
    <w:rsid w:val="00A4168F"/>
    <w:rsid w:val="00A41D82"/>
    <w:rsid w:val="00A41E2B"/>
    <w:rsid w:val="00A430B0"/>
    <w:rsid w:val="00A4448B"/>
    <w:rsid w:val="00A45B74"/>
    <w:rsid w:val="00A46652"/>
    <w:rsid w:val="00A470BF"/>
    <w:rsid w:val="00A50422"/>
    <w:rsid w:val="00A50CA5"/>
    <w:rsid w:val="00A5175D"/>
    <w:rsid w:val="00A52E1D"/>
    <w:rsid w:val="00A53F11"/>
    <w:rsid w:val="00A546EE"/>
    <w:rsid w:val="00A55052"/>
    <w:rsid w:val="00A556EB"/>
    <w:rsid w:val="00A55C46"/>
    <w:rsid w:val="00A55D75"/>
    <w:rsid w:val="00A569AF"/>
    <w:rsid w:val="00A60571"/>
    <w:rsid w:val="00A60FB7"/>
    <w:rsid w:val="00A61499"/>
    <w:rsid w:val="00A61531"/>
    <w:rsid w:val="00A62A77"/>
    <w:rsid w:val="00A63483"/>
    <w:rsid w:val="00A6407E"/>
    <w:rsid w:val="00A657D7"/>
    <w:rsid w:val="00A660AC"/>
    <w:rsid w:val="00A66393"/>
    <w:rsid w:val="00A67877"/>
    <w:rsid w:val="00A6798F"/>
    <w:rsid w:val="00A67E6C"/>
    <w:rsid w:val="00A71B99"/>
    <w:rsid w:val="00A724AF"/>
    <w:rsid w:val="00A739D0"/>
    <w:rsid w:val="00A761D4"/>
    <w:rsid w:val="00A774F3"/>
    <w:rsid w:val="00A77EC4"/>
    <w:rsid w:val="00A8090D"/>
    <w:rsid w:val="00A83398"/>
    <w:rsid w:val="00A8520E"/>
    <w:rsid w:val="00A852B0"/>
    <w:rsid w:val="00A85AC9"/>
    <w:rsid w:val="00A86DB2"/>
    <w:rsid w:val="00A90141"/>
    <w:rsid w:val="00A91917"/>
    <w:rsid w:val="00A91F30"/>
    <w:rsid w:val="00A922E5"/>
    <w:rsid w:val="00A92511"/>
    <w:rsid w:val="00A92879"/>
    <w:rsid w:val="00A9442A"/>
    <w:rsid w:val="00A95C7B"/>
    <w:rsid w:val="00A95FDD"/>
    <w:rsid w:val="00A964FF"/>
    <w:rsid w:val="00A968B6"/>
    <w:rsid w:val="00A96B72"/>
    <w:rsid w:val="00A974EF"/>
    <w:rsid w:val="00A97DDD"/>
    <w:rsid w:val="00AA016F"/>
    <w:rsid w:val="00AA1E5B"/>
    <w:rsid w:val="00AA1ED6"/>
    <w:rsid w:val="00AA2069"/>
    <w:rsid w:val="00AA34E9"/>
    <w:rsid w:val="00AA5046"/>
    <w:rsid w:val="00AA51D6"/>
    <w:rsid w:val="00AA5216"/>
    <w:rsid w:val="00AA5C20"/>
    <w:rsid w:val="00AA5C2C"/>
    <w:rsid w:val="00AA668B"/>
    <w:rsid w:val="00AA77D9"/>
    <w:rsid w:val="00AB0BC8"/>
    <w:rsid w:val="00AB1150"/>
    <w:rsid w:val="00AB11A8"/>
    <w:rsid w:val="00AB11CA"/>
    <w:rsid w:val="00AB14D9"/>
    <w:rsid w:val="00AB17F0"/>
    <w:rsid w:val="00AB1EFD"/>
    <w:rsid w:val="00AB4AB8"/>
    <w:rsid w:val="00AB655E"/>
    <w:rsid w:val="00AB6A64"/>
    <w:rsid w:val="00AC007F"/>
    <w:rsid w:val="00AC0E3C"/>
    <w:rsid w:val="00AC2ECD"/>
    <w:rsid w:val="00AC2FD8"/>
    <w:rsid w:val="00AC3119"/>
    <w:rsid w:val="00AC3E1E"/>
    <w:rsid w:val="00AC4186"/>
    <w:rsid w:val="00AC43F8"/>
    <w:rsid w:val="00AC49FB"/>
    <w:rsid w:val="00AC5A10"/>
    <w:rsid w:val="00AC65DA"/>
    <w:rsid w:val="00AC6AE3"/>
    <w:rsid w:val="00AD0AA3"/>
    <w:rsid w:val="00AD1F30"/>
    <w:rsid w:val="00AD2F12"/>
    <w:rsid w:val="00AD2FF3"/>
    <w:rsid w:val="00AD3F94"/>
    <w:rsid w:val="00AD4A5A"/>
    <w:rsid w:val="00AD6450"/>
    <w:rsid w:val="00AE027F"/>
    <w:rsid w:val="00AE27AC"/>
    <w:rsid w:val="00AE40E0"/>
    <w:rsid w:val="00AE4DBA"/>
    <w:rsid w:val="00AE4F07"/>
    <w:rsid w:val="00AE5129"/>
    <w:rsid w:val="00AE5C1C"/>
    <w:rsid w:val="00AF07A0"/>
    <w:rsid w:val="00AF1C5D"/>
    <w:rsid w:val="00AF42D7"/>
    <w:rsid w:val="00AF608F"/>
    <w:rsid w:val="00AF61BE"/>
    <w:rsid w:val="00AF676A"/>
    <w:rsid w:val="00B006FE"/>
    <w:rsid w:val="00B007CB"/>
    <w:rsid w:val="00B00B50"/>
    <w:rsid w:val="00B02AA9"/>
    <w:rsid w:val="00B02FA3"/>
    <w:rsid w:val="00B031BE"/>
    <w:rsid w:val="00B04400"/>
    <w:rsid w:val="00B05084"/>
    <w:rsid w:val="00B05655"/>
    <w:rsid w:val="00B07EDA"/>
    <w:rsid w:val="00B107BF"/>
    <w:rsid w:val="00B1306E"/>
    <w:rsid w:val="00B157F9"/>
    <w:rsid w:val="00B15B4C"/>
    <w:rsid w:val="00B15EA3"/>
    <w:rsid w:val="00B176B9"/>
    <w:rsid w:val="00B17864"/>
    <w:rsid w:val="00B20256"/>
    <w:rsid w:val="00B20D09"/>
    <w:rsid w:val="00B20EE6"/>
    <w:rsid w:val="00B219CA"/>
    <w:rsid w:val="00B24A44"/>
    <w:rsid w:val="00B24E2B"/>
    <w:rsid w:val="00B251A8"/>
    <w:rsid w:val="00B26EF1"/>
    <w:rsid w:val="00B2763F"/>
    <w:rsid w:val="00B27AAC"/>
    <w:rsid w:val="00B27BC0"/>
    <w:rsid w:val="00B30929"/>
    <w:rsid w:val="00B30BD9"/>
    <w:rsid w:val="00B35920"/>
    <w:rsid w:val="00B361FE"/>
    <w:rsid w:val="00B36725"/>
    <w:rsid w:val="00B369CE"/>
    <w:rsid w:val="00B372AA"/>
    <w:rsid w:val="00B40445"/>
    <w:rsid w:val="00B409E0"/>
    <w:rsid w:val="00B40C8A"/>
    <w:rsid w:val="00B41888"/>
    <w:rsid w:val="00B428E2"/>
    <w:rsid w:val="00B43F9F"/>
    <w:rsid w:val="00B44E41"/>
    <w:rsid w:val="00B45A52"/>
    <w:rsid w:val="00B45EBF"/>
    <w:rsid w:val="00B46175"/>
    <w:rsid w:val="00B5012D"/>
    <w:rsid w:val="00B50E13"/>
    <w:rsid w:val="00B548B7"/>
    <w:rsid w:val="00B55DFD"/>
    <w:rsid w:val="00B569BD"/>
    <w:rsid w:val="00B56E32"/>
    <w:rsid w:val="00B60F64"/>
    <w:rsid w:val="00B61176"/>
    <w:rsid w:val="00B61B70"/>
    <w:rsid w:val="00B65CED"/>
    <w:rsid w:val="00B664C7"/>
    <w:rsid w:val="00B66A4C"/>
    <w:rsid w:val="00B703C0"/>
    <w:rsid w:val="00B710A2"/>
    <w:rsid w:val="00B71F0B"/>
    <w:rsid w:val="00B723AC"/>
    <w:rsid w:val="00B739F6"/>
    <w:rsid w:val="00B749C5"/>
    <w:rsid w:val="00B8180D"/>
    <w:rsid w:val="00B81A6C"/>
    <w:rsid w:val="00B81E96"/>
    <w:rsid w:val="00B85DE5"/>
    <w:rsid w:val="00B86446"/>
    <w:rsid w:val="00B864D9"/>
    <w:rsid w:val="00B86630"/>
    <w:rsid w:val="00B900FE"/>
    <w:rsid w:val="00B90F73"/>
    <w:rsid w:val="00B9113A"/>
    <w:rsid w:val="00B929F1"/>
    <w:rsid w:val="00B934BF"/>
    <w:rsid w:val="00B93B59"/>
    <w:rsid w:val="00B93CBD"/>
    <w:rsid w:val="00B93DC4"/>
    <w:rsid w:val="00B9406A"/>
    <w:rsid w:val="00B95413"/>
    <w:rsid w:val="00BA0409"/>
    <w:rsid w:val="00BA2280"/>
    <w:rsid w:val="00BA2A08"/>
    <w:rsid w:val="00BA32FA"/>
    <w:rsid w:val="00BA4598"/>
    <w:rsid w:val="00BA56D2"/>
    <w:rsid w:val="00BA6A88"/>
    <w:rsid w:val="00BA76E0"/>
    <w:rsid w:val="00BB0EB3"/>
    <w:rsid w:val="00BB0FD1"/>
    <w:rsid w:val="00BB2A25"/>
    <w:rsid w:val="00BB4BCB"/>
    <w:rsid w:val="00BB51E9"/>
    <w:rsid w:val="00BB5C69"/>
    <w:rsid w:val="00BB6105"/>
    <w:rsid w:val="00BC0FDC"/>
    <w:rsid w:val="00BC3053"/>
    <w:rsid w:val="00BC35DA"/>
    <w:rsid w:val="00BC45D2"/>
    <w:rsid w:val="00BC4D2E"/>
    <w:rsid w:val="00BC54C7"/>
    <w:rsid w:val="00BC59EE"/>
    <w:rsid w:val="00BC7CB6"/>
    <w:rsid w:val="00BD0582"/>
    <w:rsid w:val="00BD3820"/>
    <w:rsid w:val="00BD48AC"/>
    <w:rsid w:val="00BD5625"/>
    <w:rsid w:val="00BD5F1A"/>
    <w:rsid w:val="00BE1234"/>
    <w:rsid w:val="00BE205E"/>
    <w:rsid w:val="00BE2FA6"/>
    <w:rsid w:val="00BE333F"/>
    <w:rsid w:val="00BE3A40"/>
    <w:rsid w:val="00BE7406"/>
    <w:rsid w:val="00BE7603"/>
    <w:rsid w:val="00BF3279"/>
    <w:rsid w:val="00BF6091"/>
    <w:rsid w:val="00BF6689"/>
    <w:rsid w:val="00BF74C7"/>
    <w:rsid w:val="00C015F1"/>
    <w:rsid w:val="00C01F33"/>
    <w:rsid w:val="00C02CC6"/>
    <w:rsid w:val="00C031D1"/>
    <w:rsid w:val="00C036BA"/>
    <w:rsid w:val="00C040F7"/>
    <w:rsid w:val="00C044AB"/>
    <w:rsid w:val="00C046AC"/>
    <w:rsid w:val="00C05380"/>
    <w:rsid w:val="00C05706"/>
    <w:rsid w:val="00C05899"/>
    <w:rsid w:val="00C07377"/>
    <w:rsid w:val="00C10243"/>
    <w:rsid w:val="00C10478"/>
    <w:rsid w:val="00C11B84"/>
    <w:rsid w:val="00C12107"/>
    <w:rsid w:val="00C13E50"/>
    <w:rsid w:val="00C14D28"/>
    <w:rsid w:val="00C14D4B"/>
    <w:rsid w:val="00C154BB"/>
    <w:rsid w:val="00C162A8"/>
    <w:rsid w:val="00C16BEA"/>
    <w:rsid w:val="00C16EFA"/>
    <w:rsid w:val="00C17556"/>
    <w:rsid w:val="00C178C4"/>
    <w:rsid w:val="00C2452A"/>
    <w:rsid w:val="00C24C8D"/>
    <w:rsid w:val="00C24E98"/>
    <w:rsid w:val="00C255A5"/>
    <w:rsid w:val="00C275A0"/>
    <w:rsid w:val="00C276E7"/>
    <w:rsid w:val="00C279B5"/>
    <w:rsid w:val="00C27C45"/>
    <w:rsid w:val="00C33486"/>
    <w:rsid w:val="00C35367"/>
    <w:rsid w:val="00C35E11"/>
    <w:rsid w:val="00C36B7E"/>
    <w:rsid w:val="00C3719D"/>
    <w:rsid w:val="00C37CB2"/>
    <w:rsid w:val="00C41A9F"/>
    <w:rsid w:val="00C41D59"/>
    <w:rsid w:val="00C42187"/>
    <w:rsid w:val="00C43944"/>
    <w:rsid w:val="00C44D54"/>
    <w:rsid w:val="00C44FA2"/>
    <w:rsid w:val="00C45465"/>
    <w:rsid w:val="00C46043"/>
    <w:rsid w:val="00C473A5"/>
    <w:rsid w:val="00C50574"/>
    <w:rsid w:val="00C54923"/>
    <w:rsid w:val="00C54995"/>
    <w:rsid w:val="00C54D41"/>
    <w:rsid w:val="00C560D9"/>
    <w:rsid w:val="00C5658C"/>
    <w:rsid w:val="00C57155"/>
    <w:rsid w:val="00C57317"/>
    <w:rsid w:val="00C603BD"/>
    <w:rsid w:val="00C60783"/>
    <w:rsid w:val="00C60D76"/>
    <w:rsid w:val="00C617EE"/>
    <w:rsid w:val="00C62830"/>
    <w:rsid w:val="00C629D3"/>
    <w:rsid w:val="00C64672"/>
    <w:rsid w:val="00C65D59"/>
    <w:rsid w:val="00C70697"/>
    <w:rsid w:val="00C71A0A"/>
    <w:rsid w:val="00C72093"/>
    <w:rsid w:val="00C72EF4"/>
    <w:rsid w:val="00C740AB"/>
    <w:rsid w:val="00C744FE"/>
    <w:rsid w:val="00C7514A"/>
    <w:rsid w:val="00C75D2F"/>
    <w:rsid w:val="00C767BE"/>
    <w:rsid w:val="00C76E3C"/>
    <w:rsid w:val="00C81568"/>
    <w:rsid w:val="00C816F4"/>
    <w:rsid w:val="00C822B9"/>
    <w:rsid w:val="00C833D3"/>
    <w:rsid w:val="00C8520B"/>
    <w:rsid w:val="00C85EC8"/>
    <w:rsid w:val="00C9027A"/>
    <w:rsid w:val="00C9068E"/>
    <w:rsid w:val="00C90A33"/>
    <w:rsid w:val="00C91CDA"/>
    <w:rsid w:val="00C93552"/>
    <w:rsid w:val="00C93814"/>
    <w:rsid w:val="00C93C4B"/>
    <w:rsid w:val="00C944AB"/>
    <w:rsid w:val="00C95B40"/>
    <w:rsid w:val="00CA1ED8"/>
    <w:rsid w:val="00CA205A"/>
    <w:rsid w:val="00CB1F63"/>
    <w:rsid w:val="00CB2146"/>
    <w:rsid w:val="00CB27BE"/>
    <w:rsid w:val="00CB2953"/>
    <w:rsid w:val="00CB2D3A"/>
    <w:rsid w:val="00CB2EDA"/>
    <w:rsid w:val="00CB558F"/>
    <w:rsid w:val="00CB55DF"/>
    <w:rsid w:val="00CB5834"/>
    <w:rsid w:val="00CB609A"/>
    <w:rsid w:val="00CB7170"/>
    <w:rsid w:val="00CC040E"/>
    <w:rsid w:val="00CC111F"/>
    <w:rsid w:val="00CC2011"/>
    <w:rsid w:val="00CC296A"/>
    <w:rsid w:val="00CC2A26"/>
    <w:rsid w:val="00CC2BAA"/>
    <w:rsid w:val="00CC3EA0"/>
    <w:rsid w:val="00CC6C8D"/>
    <w:rsid w:val="00CC6F63"/>
    <w:rsid w:val="00CC7B45"/>
    <w:rsid w:val="00CD1188"/>
    <w:rsid w:val="00CD1501"/>
    <w:rsid w:val="00CD16A8"/>
    <w:rsid w:val="00CD2ED1"/>
    <w:rsid w:val="00CD337B"/>
    <w:rsid w:val="00CD399B"/>
    <w:rsid w:val="00CD3DDA"/>
    <w:rsid w:val="00CE0424"/>
    <w:rsid w:val="00CE4BDE"/>
    <w:rsid w:val="00CE4DCE"/>
    <w:rsid w:val="00CE5C9B"/>
    <w:rsid w:val="00CE6BAF"/>
    <w:rsid w:val="00CE7561"/>
    <w:rsid w:val="00CE78B9"/>
    <w:rsid w:val="00CF1354"/>
    <w:rsid w:val="00CF16D3"/>
    <w:rsid w:val="00CF1856"/>
    <w:rsid w:val="00CF3B1F"/>
    <w:rsid w:val="00CF3BF6"/>
    <w:rsid w:val="00CF625B"/>
    <w:rsid w:val="00CF6268"/>
    <w:rsid w:val="00CF687E"/>
    <w:rsid w:val="00D016DC"/>
    <w:rsid w:val="00D0349B"/>
    <w:rsid w:val="00D042F2"/>
    <w:rsid w:val="00D04E56"/>
    <w:rsid w:val="00D04ED8"/>
    <w:rsid w:val="00D05072"/>
    <w:rsid w:val="00D07DF2"/>
    <w:rsid w:val="00D07F6E"/>
    <w:rsid w:val="00D10249"/>
    <w:rsid w:val="00D115C3"/>
    <w:rsid w:val="00D11897"/>
    <w:rsid w:val="00D1192A"/>
    <w:rsid w:val="00D13135"/>
    <w:rsid w:val="00D133C9"/>
    <w:rsid w:val="00D1371A"/>
    <w:rsid w:val="00D13E4E"/>
    <w:rsid w:val="00D16020"/>
    <w:rsid w:val="00D167A1"/>
    <w:rsid w:val="00D16E36"/>
    <w:rsid w:val="00D22B43"/>
    <w:rsid w:val="00D2322F"/>
    <w:rsid w:val="00D239A7"/>
    <w:rsid w:val="00D23F47"/>
    <w:rsid w:val="00D25263"/>
    <w:rsid w:val="00D2667F"/>
    <w:rsid w:val="00D274FA"/>
    <w:rsid w:val="00D30E9F"/>
    <w:rsid w:val="00D364B9"/>
    <w:rsid w:val="00D36E71"/>
    <w:rsid w:val="00D36F2D"/>
    <w:rsid w:val="00D37D87"/>
    <w:rsid w:val="00D40547"/>
    <w:rsid w:val="00D40B33"/>
    <w:rsid w:val="00D41943"/>
    <w:rsid w:val="00D4195D"/>
    <w:rsid w:val="00D42427"/>
    <w:rsid w:val="00D4255A"/>
    <w:rsid w:val="00D42E7A"/>
    <w:rsid w:val="00D4318F"/>
    <w:rsid w:val="00D438BF"/>
    <w:rsid w:val="00D440E0"/>
    <w:rsid w:val="00D440F8"/>
    <w:rsid w:val="00D458A3"/>
    <w:rsid w:val="00D50C83"/>
    <w:rsid w:val="00D510E0"/>
    <w:rsid w:val="00D51D90"/>
    <w:rsid w:val="00D53A5B"/>
    <w:rsid w:val="00D546FF"/>
    <w:rsid w:val="00D55AD5"/>
    <w:rsid w:val="00D56E29"/>
    <w:rsid w:val="00D576CA"/>
    <w:rsid w:val="00D60583"/>
    <w:rsid w:val="00D60851"/>
    <w:rsid w:val="00D61172"/>
    <w:rsid w:val="00D61AF5"/>
    <w:rsid w:val="00D639D4"/>
    <w:rsid w:val="00D64645"/>
    <w:rsid w:val="00D652B5"/>
    <w:rsid w:val="00D656F7"/>
    <w:rsid w:val="00D65D62"/>
    <w:rsid w:val="00D66155"/>
    <w:rsid w:val="00D6705B"/>
    <w:rsid w:val="00D6758A"/>
    <w:rsid w:val="00D700C3"/>
    <w:rsid w:val="00D700DE"/>
    <w:rsid w:val="00D708B0"/>
    <w:rsid w:val="00D7090A"/>
    <w:rsid w:val="00D732FE"/>
    <w:rsid w:val="00D74371"/>
    <w:rsid w:val="00D74590"/>
    <w:rsid w:val="00D74DDA"/>
    <w:rsid w:val="00D751D1"/>
    <w:rsid w:val="00D75545"/>
    <w:rsid w:val="00D76B0A"/>
    <w:rsid w:val="00D7759F"/>
    <w:rsid w:val="00D77885"/>
    <w:rsid w:val="00D77B1D"/>
    <w:rsid w:val="00D77E08"/>
    <w:rsid w:val="00D8021F"/>
    <w:rsid w:val="00D80383"/>
    <w:rsid w:val="00D8117A"/>
    <w:rsid w:val="00D814DB"/>
    <w:rsid w:val="00D823C6"/>
    <w:rsid w:val="00D8327F"/>
    <w:rsid w:val="00D846B5"/>
    <w:rsid w:val="00D854F7"/>
    <w:rsid w:val="00D85B5D"/>
    <w:rsid w:val="00D8656C"/>
    <w:rsid w:val="00D86B1C"/>
    <w:rsid w:val="00D86CA3"/>
    <w:rsid w:val="00D871B4"/>
    <w:rsid w:val="00D871CE"/>
    <w:rsid w:val="00D90C1E"/>
    <w:rsid w:val="00D91043"/>
    <w:rsid w:val="00D9196D"/>
    <w:rsid w:val="00D91D38"/>
    <w:rsid w:val="00D92982"/>
    <w:rsid w:val="00D9517D"/>
    <w:rsid w:val="00D968C0"/>
    <w:rsid w:val="00D96AD4"/>
    <w:rsid w:val="00D9727C"/>
    <w:rsid w:val="00D9756D"/>
    <w:rsid w:val="00DA1A51"/>
    <w:rsid w:val="00DA1B50"/>
    <w:rsid w:val="00DA1FFD"/>
    <w:rsid w:val="00DA305E"/>
    <w:rsid w:val="00DA3475"/>
    <w:rsid w:val="00DA5417"/>
    <w:rsid w:val="00DA56E8"/>
    <w:rsid w:val="00DA6126"/>
    <w:rsid w:val="00DB04E8"/>
    <w:rsid w:val="00DB09E3"/>
    <w:rsid w:val="00DB0A9F"/>
    <w:rsid w:val="00DB2FE9"/>
    <w:rsid w:val="00DB377D"/>
    <w:rsid w:val="00DB5175"/>
    <w:rsid w:val="00DB6D1F"/>
    <w:rsid w:val="00DC1134"/>
    <w:rsid w:val="00DC2D36"/>
    <w:rsid w:val="00DC3BE0"/>
    <w:rsid w:val="00DC4174"/>
    <w:rsid w:val="00DC53EF"/>
    <w:rsid w:val="00DC67BE"/>
    <w:rsid w:val="00DC74B1"/>
    <w:rsid w:val="00DD11AC"/>
    <w:rsid w:val="00DD1F24"/>
    <w:rsid w:val="00DD3BB0"/>
    <w:rsid w:val="00DD5C84"/>
    <w:rsid w:val="00DD6F0E"/>
    <w:rsid w:val="00DD7431"/>
    <w:rsid w:val="00DD79D6"/>
    <w:rsid w:val="00DD7F33"/>
    <w:rsid w:val="00DE101C"/>
    <w:rsid w:val="00DE1AFC"/>
    <w:rsid w:val="00DE234C"/>
    <w:rsid w:val="00DE3A7F"/>
    <w:rsid w:val="00DE4E6F"/>
    <w:rsid w:val="00DE5608"/>
    <w:rsid w:val="00DE58D0"/>
    <w:rsid w:val="00DE654F"/>
    <w:rsid w:val="00DF0B6E"/>
    <w:rsid w:val="00DF10E9"/>
    <w:rsid w:val="00DF15E0"/>
    <w:rsid w:val="00DF2D1A"/>
    <w:rsid w:val="00DF37A0"/>
    <w:rsid w:val="00DF57AD"/>
    <w:rsid w:val="00E02B3A"/>
    <w:rsid w:val="00E04D23"/>
    <w:rsid w:val="00E110E7"/>
    <w:rsid w:val="00E11B20"/>
    <w:rsid w:val="00E138BA"/>
    <w:rsid w:val="00E15991"/>
    <w:rsid w:val="00E15D96"/>
    <w:rsid w:val="00E173A0"/>
    <w:rsid w:val="00E17FA2"/>
    <w:rsid w:val="00E2021F"/>
    <w:rsid w:val="00E20718"/>
    <w:rsid w:val="00E20DD9"/>
    <w:rsid w:val="00E22330"/>
    <w:rsid w:val="00E2349A"/>
    <w:rsid w:val="00E23F32"/>
    <w:rsid w:val="00E27F1C"/>
    <w:rsid w:val="00E302F6"/>
    <w:rsid w:val="00E30A83"/>
    <w:rsid w:val="00E30B5A"/>
    <w:rsid w:val="00E3123D"/>
    <w:rsid w:val="00E31461"/>
    <w:rsid w:val="00E31D43"/>
    <w:rsid w:val="00E32608"/>
    <w:rsid w:val="00E334C8"/>
    <w:rsid w:val="00E33C6C"/>
    <w:rsid w:val="00E33D38"/>
    <w:rsid w:val="00E34188"/>
    <w:rsid w:val="00E34B6E"/>
    <w:rsid w:val="00E3548B"/>
    <w:rsid w:val="00E35559"/>
    <w:rsid w:val="00E356A1"/>
    <w:rsid w:val="00E35A79"/>
    <w:rsid w:val="00E36FB4"/>
    <w:rsid w:val="00E3723A"/>
    <w:rsid w:val="00E37860"/>
    <w:rsid w:val="00E40C16"/>
    <w:rsid w:val="00E42183"/>
    <w:rsid w:val="00E42B4A"/>
    <w:rsid w:val="00E43052"/>
    <w:rsid w:val="00E446F1"/>
    <w:rsid w:val="00E46886"/>
    <w:rsid w:val="00E468BF"/>
    <w:rsid w:val="00E47A64"/>
    <w:rsid w:val="00E47AEF"/>
    <w:rsid w:val="00E50852"/>
    <w:rsid w:val="00E53B75"/>
    <w:rsid w:val="00E53F13"/>
    <w:rsid w:val="00E54168"/>
    <w:rsid w:val="00E545AA"/>
    <w:rsid w:val="00E546B1"/>
    <w:rsid w:val="00E54AED"/>
    <w:rsid w:val="00E54E3B"/>
    <w:rsid w:val="00E55383"/>
    <w:rsid w:val="00E57288"/>
    <w:rsid w:val="00E57565"/>
    <w:rsid w:val="00E57D93"/>
    <w:rsid w:val="00E618C7"/>
    <w:rsid w:val="00E62372"/>
    <w:rsid w:val="00E63838"/>
    <w:rsid w:val="00E64434"/>
    <w:rsid w:val="00E64A8A"/>
    <w:rsid w:val="00E662BF"/>
    <w:rsid w:val="00E66943"/>
    <w:rsid w:val="00E67C51"/>
    <w:rsid w:val="00E700CB"/>
    <w:rsid w:val="00E71318"/>
    <w:rsid w:val="00E72149"/>
    <w:rsid w:val="00E72225"/>
    <w:rsid w:val="00E72EFC"/>
    <w:rsid w:val="00E73028"/>
    <w:rsid w:val="00E731A5"/>
    <w:rsid w:val="00E73257"/>
    <w:rsid w:val="00E758EC"/>
    <w:rsid w:val="00E75982"/>
    <w:rsid w:val="00E75ABF"/>
    <w:rsid w:val="00E75B42"/>
    <w:rsid w:val="00E801A8"/>
    <w:rsid w:val="00E808F2"/>
    <w:rsid w:val="00E8111B"/>
    <w:rsid w:val="00E8234C"/>
    <w:rsid w:val="00E83AA9"/>
    <w:rsid w:val="00E84C64"/>
    <w:rsid w:val="00E850A6"/>
    <w:rsid w:val="00E85928"/>
    <w:rsid w:val="00E86968"/>
    <w:rsid w:val="00E87822"/>
    <w:rsid w:val="00E87DB7"/>
    <w:rsid w:val="00E90395"/>
    <w:rsid w:val="00E90E49"/>
    <w:rsid w:val="00E917F9"/>
    <w:rsid w:val="00E9271D"/>
    <w:rsid w:val="00E9291C"/>
    <w:rsid w:val="00E93FFE"/>
    <w:rsid w:val="00E94B6F"/>
    <w:rsid w:val="00E94CEE"/>
    <w:rsid w:val="00E94F8A"/>
    <w:rsid w:val="00E9602D"/>
    <w:rsid w:val="00E96501"/>
    <w:rsid w:val="00E96D9C"/>
    <w:rsid w:val="00EA03B6"/>
    <w:rsid w:val="00EA2DA8"/>
    <w:rsid w:val="00EA490B"/>
    <w:rsid w:val="00EA53B8"/>
    <w:rsid w:val="00EA5FF7"/>
    <w:rsid w:val="00EA693B"/>
    <w:rsid w:val="00EA72D3"/>
    <w:rsid w:val="00EA7A41"/>
    <w:rsid w:val="00EB010B"/>
    <w:rsid w:val="00EB077B"/>
    <w:rsid w:val="00EB3190"/>
    <w:rsid w:val="00EB4589"/>
    <w:rsid w:val="00EB4EA2"/>
    <w:rsid w:val="00EB574F"/>
    <w:rsid w:val="00EB76DE"/>
    <w:rsid w:val="00EC24D5"/>
    <w:rsid w:val="00EC27C6"/>
    <w:rsid w:val="00EC33E1"/>
    <w:rsid w:val="00EC4207"/>
    <w:rsid w:val="00EC46E8"/>
    <w:rsid w:val="00EC4CA9"/>
    <w:rsid w:val="00EC5653"/>
    <w:rsid w:val="00EC71CE"/>
    <w:rsid w:val="00ED1006"/>
    <w:rsid w:val="00ED1ED3"/>
    <w:rsid w:val="00ED3261"/>
    <w:rsid w:val="00ED4131"/>
    <w:rsid w:val="00ED6359"/>
    <w:rsid w:val="00ED65E4"/>
    <w:rsid w:val="00EE14A0"/>
    <w:rsid w:val="00EE20CE"/>
    <w:rsid w:val="00EE2C8D"/>
    <w:rsid w:val="00EE4900"/>
    <w:rsid w:val="00EE674A"/>
    <w:rsid w:val="00EE6E83"/>
    <w:rsid w:val="00EE6E85"/>
    <w:rsid w:val="00EE7D24"/>
    <w:rsid w:val="00EF18FE"/>
    <w:rsid w:val="00EF31B8"/>
    <w:rsid w:val="00EF4480"/>
    <w:rsid w:val="00EF5787"/>
    <w:rsid w:val="00EF5A59"/>
    <w:rsid w:val="00EF5BD6"/>
    <w:rsid w:val="00EF5C7E"/>
    <w:rsid w:val="00EF60D0"/>
    <w:rsid w:val="00EF731B"/>
    <w:rsid w:val="00EF76E6"/>
    <w:rsid w:val="00F006B6"/>
    <w:rsid w:val="00F01AF7"/>
    <w:rsid w:val="00F02847"/>
    <w:rsid w:val="00F0415C"/>
    <w:rsid w:val="00F0528D"/>
    <w:rsid w:val="00F05F00"/>
    <w:rsid w:val="00F06225"/>
    <w:rsid w:val="00F06C67"/>
    <w:rsid w:val="00F06DFD"/>
    <w:rsid w:val="00F071D1"/>
    <w:rsid w:val="00F07533"/>
    <w:rsid w:val="00F10462"/>
    <w:rsid w:val="00F10629"/>
    <w:rsid w:val="00F10672"/>
    <w:rsid w:val="00F107B3"/>
    <w:rsid w:val="00F13650"/>
    <w:rsid w:val="00F1382B"/>
    <w:rsid w:val="00F15E4A"/>
    <w:rsid w:val="00F15FA5"/>
    <w:rsid w:val="00F161F2"/>
    <w:rsid w:val="00F163EB"/>
    <w:rsid w:val="00F1769B"/>
    <w:rsid w:val="00F2086A"/>
    <w:rsid w:val="00F209B7"/>
    <w:rsid w:val="00F209D6"/>
    <w:rsid w:val="00F21940"/>
    <w:rsid w:val="00F232FD"/>
    <w:rsid w:val="00F23536"/>
    <w:rsid w:val="00F2376F"/>
    <w:rsid w:val="00F23EC9"/>
    <w:rsid w:val="00F241FA"/>
    <w:rsid w:val="00F243D8"/>
    <w:rsid w:val="00F250C7"/>
    <w:rsid w:val="00F253BB"/>
    <w:rsid w:val="00F26BD8"/>
    <w:rsid w:val="00F27068"/>
    <w:rsid w:val="00F30828"/>
    <w:rsid w:val="00F313D6"/>
    <w:rsid w:val="00F31F19"/>
    <w:rsid w:val="00F32454"/>
    <w:rsid w:val="00F32C5D"/>
    <w:rsid w:val="00F3346E"/>
    <w:rsid w:val="00F34244"/>
    <w:rsid w:val="00F34DF4"/>
    <w:rsid w:val="00F34ECA"/>
    <w:rsid w:val="00F368B0"/>
    <w:rsid w:val="00F37462"/>
    <w:rsid w:val="00F4022D"/>
    <w:rsid w:val="00F40B22"/>
    <w:rsid w:val="00F40F0C"/>
    <w:rsid w:val="00F41283"/>
    <w:rsid w:val="00F42939"/>
    <w:rsid w:val="00F43CD9"/>
    <w:rsid w:val="00F44144"/>
    <w:rsid w:val="00F4584C"/>
    <w:rsid w:val="00F4672B"/>
    <w:rsid w:val="00F46A2C"/>
    <w:rsid w:val="00F46F37"/>
    <w:rsid w:val="00F4766C"/>
    <w:rsid w:val="00F5060E"/>
    <w:rsid w:val="00F507D1"/>
    <w:rsid w:val="00F50CB7"/>
    <w:rsid w:val="00F519CE"/>
    <w:rsid w:val="00F51ADA"/>
    <w:rsid w:val="00F53135"/>
    <w:rsid w:val="00F5445B"/>
    <w:rsid w:val="00F55B6D"/>
    <w:rsid w:val="00F5664C"/>
    <w:rsid w:val="00F56C72"/>
    <w:rsid w:val="00F57AAD"/>
    <w:rsid w:val="00F60203"/>
    <w:rsid w:val="00F607C5"/>
    <w:rsid w:val="00F60DEA"/>
    <w:rsid w:val="00F618E7"/>
    <w:rsid w:val="00F62331"/>
    <w:rsid w:val="00F624D4"/>
    <w:rsid w:val="00F6302A"/>
    <w:rsid w:val="00F63950"/>
    <w:rsid w:val="00F64C2B"/>
    <w:rsid w:val="00F651BE"/>
    <w:rsid w:val="00F667AF"/>
    <w:rsid w:val="00F66E58"/>
    <w:rsid w:val="00F67F53"/>
    <w:rsid w:val="00F703BE"/>
    <w:rsid w:val="00F71F69"/>
    <w:rsid w:val="00F72B72"/>
    <w:rsid w:val="00F736CD"/>
    <w:rsid w:val="00F73C12"/>
    <w:rsid w:val="00F74956"/>
    <w:rsid w:val="00F74BB9"/>
    <w:rsid w:val="00F75582"/>
    <w:rsid w:val="00F76EFA"/>
    <w:rsid w:val="00F804BE"/>
    <w:rsid w:val="00F817CE"/>
    <w:rsid w:val="00F819A1"/>
    <w:rsid w:val="00F81CA7"/>
    <w:rsid w:val="00F82D00"/>
    <w:rsid w:val="00F8340E"/>
    <w:rsid w:val="00F8456C"/>
    <w:rsid w:val="00F84818"/>
    <w:rsid w:val="00F8534B"/>
    <w:rsid w:val="00F859D8"/>
    <w:rsid w:val="00F864CB"/>
    <w:rsid w:val="00F868F5"/>
    <w:rsid w:val="00F9056A"/>
    <w:rsid w:val="00F90D67"/>
    <w:rsid w:val="00F90F8D"/>
    <w:rsid w:val="00F92782"/>
    <w:rsid w:val="00F93AA9"/>
    <w:rsid w:val="00F95771"/>
    <w:rsid w:val="00F96985"/>
    <w:rsid w:val="00F9716B"/>
    <w:rsid w:val="00F97838"/>
    <w:rsid w:val="00FA0CE4"/>
    <w:rsid w:val="00FA2BB3"/>
    <w:rsid w:val="00FA4630"/>
    <w:rsid w:val="00FA4A30"/>
    <w:rsid w:val="00FA6066"/>
    <w:rsid w:val="00FB03AF"/>
    <w:rsid w:val="00FB0430"/>
    <w:rsid w:val="00FB2CEA"/>
    <w:rsid w:val="00FB39E6"/>
    <w:rsid w:val="00FB4C80"/>
    <w:rsid w:val="00FB65C5"/>
    <w:rsid w:val="00FB6A6A"/>
    <w:rsid w:val="00FB7243"/>
    <w:rsid w:val="00FC07F5"/>
    <w:rsid w:val="00FC0B05"/>
    <w:rsid w:val="00FC275E"/>
    <w:rsid w:val="00FC302B"/>
    <w:rsid w:val="00FC3A92"/>
    <w:rsid w:val="00FC3AEB"/>
    <w:rsid w:val="00FC514C"/>
    <w:rsid w:val="00FC5588"/>
    <w:rsid w:val="00FC5CA4"/>
    <w:rsid w:val="00FC63CF"/>
    <w:rsid w:val="00FC6A11"/>
    <w:rsid w:val="00FC7429"/>
    <w:rsid w:val="00FD07F6"/>
    <w:rsid w:val="00FD0EB3"/>
    <w:rsid w:val="00FD148B"/>
    <w:rsid w:val="00FD16AB"/>
    <w:rsid w:val="00FD1EC8"/>
    <w:rsid w:val="00FD294B"/>
    <w:rsid w:val="00FD2FDF"/>
    <w:rsid w:val="00FD33A5"/>
    <w:rsid w:val="00FD47DA"/>
    <w:rsid w:val="00FD47ED"/>
    <w:rsid w:val="00FD4B3C"/>
    <w:rsid w:val="00FD74DB"/>
    <w:rsid w:val="00FD7660"/>
    <w:rsid w:val="00FD7E21"/>
    <w:rsid w:val="00FE0655"/>
    <w:rsid w:val="00FE0AFE"/>
    <w:rsid w:val="00FE16D5"/>
    <w:rsid w:val="00FE2365"/>
    <w:rsid w:val="00FE306A"/>
    <w:rsid w:val="00FE3077"/>
    <w:rsid w:val="00FE361E"/>
    <w:rsid w:val="00FE37D7"/>
    <w:rsid w:val="00FE3E22"/>
    <w:rsid w:val="00FE4C7B"/>
    <w:rsid w:val="00FE6F0C"/>
    <w:rsid w:val="00FE7336"/>
    <w:rsid w:val="00FE787C"/>
    <w:rsid w:val="00FF23BF"/>
    <w:rsid w:val="00FF38D0"/>
    <w:rsid w:val="00FF45A5"/>
    <w:rsid w:val="00FF5247"/>
    <w:rsid w:val="00FF5C91"/>
    <w:rsid w:val="00FF73F1"/>
    <w:rsid w:val="1076328A"/>
    <w:rsid w:val="231ABAB8"/>
    <w:rsid w:val="254CEB54"/>
    <w:rsid w:val="32C2E083"/>
    <w:rsid w:val="331E6BFB"/>
    <w:rsid w:val="4DB0087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34DEB99"/>
  <w15:chartTrackingRefBased/>
  <w15:docId w15:val="{F03F32E5-31F3-488A-931E-2C2C28542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uiPriority="35" w:qFormat="1"/>
    <w:lsdException w:name="table of figures" w:uiPriority="99" w:qFormat="1"/>
    <w:lsdException w:name="annotation reference" w:uiPriority="99"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FF7"/>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9"/>
    <w:qFormat/>
    <w:rsid w:val="00063837"/>
    <w:pPr>
      <w:keepNext/>
      <w:keepLines/>
      <w:numPr>
        <w:numId w:val="14"/>
      </w:numPr>
      <w:pBdr>
        <w:top w:val="single" w:sz="12" w:space="3" w:color="auto"/>
      </w:pBdr>
      <w:tabs>
        <w:tab w:val="num" w:pos="0"/>
      </w:tabs>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6F1DAC"/>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A66C7"/>
    <w:pPr>
      <w:numPr>
        <w:ilvl w:val="2"/>
      </w:numPr>
      <w:spacing w:before="120"/>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unhideWhenUsed/>
    <w:rsid w:val="00121A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1A12"/>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jc w:val="both"/>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uiPriority w:val="99"/>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063837"/>
    <w:rPr>
      <w:rFonts w:ascii="Arial" w:hAnsi="Arial"/>
      <w:sz w:val="36"/>
      <w:lang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jc w:val="left"/>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6F1DAC"/>
    <w:rPr>
      <w:rFonts w:ascii="Arial" w:hAnsi="Arial"/>
      <w:sz w:val="32"/>
      <w:lang w:eastAsia="ja-JP"/>
    </w:rPr>
  </w:style>
  <w:style w:type="character" w:customStyle="1" w:styleId="Heading3Char">
    <w:name w:val="Heading 3 Char"/>
    <w:link w:val="Heading3"/>
    <w:uiPriority w:val="9"/>
    <w:rsid w:val="008A66C7"/>
    <w:rPr>
      <w:rFonts w:ascii="Arial" w:hAnsi="Arial"/>
      <w:sz w:val="28"/>
      <w:lang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basedOn w:val="TableNormal"/>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jc w:val="both"/>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jc w:val="left"/>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jc w:val="both"/>
    </w:pPr>
    <w:rPr>
      <w:rFonts w:ascii="Times New Roman" w:hAnsi="Times New Roman" w:cs="Times New Roman"/>
      <w:kern w:val="2"/>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val="en-GB"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jc w:val="both"/>
    </w:pPr>
    <w:rPr>
      <w:rFonts w:ascii="CG Times (WN)" w:eastAsia="Times New Roman" w:hAnsi="CG Times (WN)" w:cs="Times New Roman"/>
      <w:kern w:val="2"/>
      <w:sz w:val="21"/>
      <w:lang w:val="en-GB"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jc w:val="both"/>
    </w:pPr>
    <w:rPr>
      <w:rFonts w:ascii="CG Times (WN)" w:eastAsia="Times New Roman" w:hAnsi="CG Times (WN)" w:cs="Times New Roman"/>
      <w:b/>
      <w:bCs/>
      <w:i/>
      <w:iCs/>
      <w:sz w:val="20"/>
      <w:lang w:val="en-GB" w:eastAsia="en-GB"/>
    </w:rPr>
  </w:style>
  <w:style w:type="character" w:customStyle="1" w:styleId="3GPPAgreementsChar">
    <w:name w:val="3GPP Agreements Char"/>
    <w:link w:val="3GPPAgreements"/>
    <w:qFormat/>
    <w:locked/>
    <w:rsid w:val="00D7759F"/>
    <w:rPr>
      <w:rFonts w:ascii="Times New Roman" w:eastAsia="SimSun" w:hAnsi="Times New Roman"/>
      <w:sz w:val="24"/>
      <w:szCs w:val="24"/>
      <w:lang w:val="en-SE" w:eastAsia="zh-CN"/>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jc w:val="both"/>
    </w:pPr>
    <w:rPr>
      <w:rFonts w:ascii="Arial" w:hAnsi="Arial" w:cs="SimSun"/>
      <w:kern w:val="2"/>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jc w:val="both"/>
    </w:pPr>
    <w:rPr>
      <w:rFonts w:ascii="Times New Roman" w:eastAsia="MS Mincho" w:hAnsi="Times New Roman" w:cs="Times New Roman"/>
      <w:sz w:val="20"/>
      <w:szCs w:val="20"/>
      <w:lang w:val="en-GB"/>
    </w:rPr>
  </w:style>
  <w:style w:type="paragraph" w:customStyle="1" w:styleId="maintext">
    <w:name w:val="main text"/>
    <w:basedOn w:val="Normal"/>
    <w:uiPriority w:val="99"/>
    <w:qFormat/>
    <w:rsid w:val="00D7759F"/>
    <w:pPr>
      <w:suppressAutoHyphens/>
      <w:spacing w:before="60" w:after="60" w:line="288" w:lineRule="auto"/>
      <w:ind w:firstLine="200"/>
      <w:jc w:val="both"/>
    </w:pPr>
    <w:rPr>
      <w:rFonts w:ascii="Times New Roman" w:eastAsia="Malgun Gothic" w:hAnsi="Times New Roman" w:cs="Times New Roman"/>
      <w:sz w:val="20"/>
      <w:szCs w:val="20"/>
      <w:lang w:val="en-GB"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jc w:val="both"/>
    </w:pPr>
    <w:rPr>
      <w:rFonts w:ascii="Times New Roman" w:eastAsia="SimSun" w:hAnsi="Times New Roman" w:cs="SimSun"/>
      <w:kern w:val="2"/>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楷体_GB2312"/>
      <w:kern w:val="0"/>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uiPriority w:val="99"/>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jc w:val="both"/>
    </w:pPr>
    <w:rPr>
      <w:rFonts w:ascii="SimSun" w:eastAsia="SimSun" w:hAnsi="SimSun" w:cs="Times New Roman"/>
      <w:lang w:val="en-GB"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楷体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5NUHHDQN7SK2-1476151046-528515</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https://ericsson.sharepoint.com/sites/star/_layouts/15/DocIdRedir.aspx?ID=5NUHHDQN7SK2-1476151046-528515</Url>
      <Description>5NUHHDQN7SK2-1476151046-528515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BF9C78-9674-4919-8118-CBD2BDFD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3.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http://schemas.microsoft.com/sharepoint/v4"/>
    <ds:schemaRef ds:uri="f166a696-7b5b-4ccd-9f0c-ffde0cceec81"/>
    <ds:schemaRef ds:uri="http://purl.org/dc/elements/1.1/"/>
    <ds:schemaRef ds:uri="d8762117-8292-4133-b1c7-eab5c6487cfd"/>
    <ds:schemaRef ds:uri="611109f9-ed58-4498-a270-1fb2086a5321"/>
    <ds:schemaRef ds:uri="http://www.w3.org/XML/1998/namespace"/>
  </ds:schemaRefs>
</ds:datastoreItem>
</file>

<file path=customXml/itemProps4.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5.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6.xml><?xml version="1.0" encoding="utf-8"?>
<ds:datastoreItem xmlns:ds="http://schemas.openxmlformats.org/officeDocument/2006/customXml" ds:itemID="{086DC27F-0518-439E-9A3A-9BDE0F71F8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1945</Words>
  <Characters>11060</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12980</CharactersWithSpaces>
  <SharedDoc>false</SharedDoc>
  <HLinks>
    <vt:vector size="24" baseType="variant">
      <vt:variant>
        <vt:i4>1310775</vt:i4>
      </vt:variant>
      <vt:variant>
        <vt:i4>65</vt:i4>
      </vt:variant>
      <vt:variant>
        <vt:i4>0</vt:i4>
      </vt:variant>
      <vt:variant>
        <vt:i4>5</vt:i4>
      </vt:variant>
      <vt:variant>
        <vt:lpwstr/>
      </vt:variant>
      <vt:variant>
        <vt:lpwstr>_Toc115461575</vt:lpwstr>
      </vt:variant>
      <vt:variant>
        <vt:i4>1245239</vt:i4>
      </vt:variant>
      <vt:variant>
        <vt:i4>59</vt:i4>
      </vt:variant>
      <vt:variant>
        <vt:i4>0</vt:i4>
      </vt:variant>
      <vt:variant>
        <vt:i4>5</vt:i4>
      </vt:variant>
      <vt:variant>
        <vt:lpwstr/>
      </vt:variant>
      <vt:variant>
        <vt:lpwstr>_Toc115461505</vt:lpwstr>
      </vt:variant>
      <vt:variant>
        <vt:i4>1245239</vt:i4>
      </vt:variant>
      <vt:variant>
        <vt:i4>56</vt:i4>
      </vt:variant>
      <vt:variant>
        <vt:i4>0</vt:i4>
      </vt:variant>
      <vt:variant>
        <vt:i4>5</vt:i4>
      </vt:variant>
      <vt:variant>
        <vt:lpwstr/>
      </vt:variant>
      <vt:variant>
        <vt:lpwstr>_Toc115461504</vt:lpwstr>
      </vt:variant>
      <vt:variant>
        <vt:i4>1245239</vt:i4>
      </vt:variant>
      <vt:variant>
        <vt:i4>53</vt:i4>
      </vt:variant>
      <vt:variant>
        <vt:i4>0</vt:i4>
      </vt:variant>
      <vt:variant>
        <vt:i4>5</vt:i4>
      </vt:variant>
      <vt:variant>
        <vt:lpwstr/>
      </vt:variant>
      <vt:variant>
        <vt:lpwstr>_Toc115461503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2</cp:revision>
  <dcterms:created xsi:type="dcterms:W3CDTF">2022-09-30T19:51:00Z</dcterms:created>
  <dcterms:modified xsi:type="dcterms:W3CDTF">2022-09-30T19:51:00Z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b17d2762-f25a-4060-b222-c3007200e676</vt:lpwstr>
  </property>
  <property fmtid="{D5CDD505-2E9C-101B-9397-08002B2CF9AE}" pid="14" name="MediaServiceImageTags">
    <vt:lpwstr/>
  </property>
</Properties>
</file>