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2A120" w14:textId="4066D17B" w:rsidR="00A84D72" w:rsidRPr="002C5CDC" w:rsidRDefault="00A84D72" w:rsidP="00A84D72">
      <w:pPr>
        <w:tabs>
          <w:tab w:val="center" w:pos="4536"/>
          <w:tab w:val="left" w:pos="6804"/>
          <w:tab w:val="right" w:pos="8280"/>
          <w:tab w:val="right" w:pos="9639"/>
        </w:tabs>
        <w:spacing w:afterLines="50" w:after="120"/>
        <w:ind w:right="2"/>
        <w:rPr>
          <w:rFonts w:ascii="Arial" w:hAnsi="Arial" w:cs="Arial"/>
          <w:b/>
          <w:bCs/>
        </w:rPr>
      </w:pPr>
      <w:r>
        <w:rPr>
          <w:rFonts w:ascii="Arial" w:hAnsi="Arial" w:cs="Arial"/>
          <w:b/>
          <w:bCs/>
        </w:rPr>
        <w:t>3GPP TSG RAN WG1 Meeting #1</w:t>
      </w:r>
      <w:r w:rsidR="00903EF0">
        <w:rPr>
          <w:rFonts w:ascii="Arial" w:hAnsi="Arial" w:cs="Arial"/>
          <w:b/>
          <w:bCs/>
        </w:rPr>
        <w:t>10</w:t>
      </w:r>
      <w:r w:rsidR="00223868">
        <w:rPr>
          <w:rFonts w:ascii="Arial" w:hAnsi="Arial" w:cs="Arial"/>
          <w:b/>
          <w:bCs/>
        </w:rPr>
        <w:t>bis-</w:t>
      </w:r>
      <w:r>
        <w:rPr>
          <w:rFonts w:ascii="Arial" w:hAnsi="Arial" w:cs="Arial" w:hint="eastAsia"/>
          <w:b/>
          <w:bCs/>
          <w:lang w:eastAsia="zh-CN"/>
        </w:rPr>
        <w:t>e</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sidR="004214C5">
        <w:rPr>
          <w:rFonts w:ascii="Arial" w:hAnsi="Arial" w:cs="Arial"/>
          <w:b/>
          <w:bCs/>
        </w:rPr>
        <w:t xml:space="preserve">    </w:t>
      </w:r>
      <w:r>
        <w:rPr>
          <w:rFonts w:ascii="Arial" w:hAnsi="Arial" w:cs="Arial"/>
          <w:b/>
          <w:bCs/>
        </w:rPr>
        <w:tab/>
        <w:t>R1</w:t>
      </w:r>
      <w:r w:rsidR="006949E8" w:rsidRPr="006949E8">
        <w:rPr>
          <w:rFonts w:ascii="Arial" w:hAnsi="Arial" w:cs="Arial"/>
          <w:b/>
          <w:bCs/>
        </w:rPr>
        <w:t>-2209236</w:t>
      </w:r>
    </w:p>
    <w:p w14:paraId="72AC25AB" w14:textId="7A57FE1A" w:rsidR="00903EF0" w:rsidRPr="00223868" w:rsidRDefault="00223868" w:rsidP="00A84D72">
      <w:pPr>
        <w:tabs>
          <w:tab w:val="left" w:pos="1985"/>
          <w:tab w:val="left" w:pos="9781"/>
        </w:tabs>
        <w:spacing w:after="0" w:line="300" w:lineRule="auto"/>
        <w:ind w:right="-28"/>
        <w:jc w:val="both"/>
        <w:rPr>
          <w:rFonts w:ascii="Arial" w:eastAsia="MS Mincho" w:hAnsi="Arial" w:cs="Arial"/>
          <w:b/>
          <w:bCs/>
          <w:lang w:eastAsia="ja-JP"/>
        </w:rPr>
      </w:pPr>
      <w:r w:rsidRPr="00223868">
        <w:rPr>
          <w:rFonts w:ascii="Arial" w:eastAsia="MS Mincho" w:hAnsi="Arial" w:cs="Arial"/>
          <w:b/>
          <w:bCs/>
          <w:lang w:eastAsia="ja-JP"/>
        </w:rPr>
        <w:t>e-Meeting, October 10th – 19th, 2022</w:t>
      </w:r>
    </w:p>
    <w:p w14:paraId="729A7C3E" w14:textId="047E0C57" w:rsidR="00A84D72" w:rsidRPr="00EE275C" w:rsidRDefault="00A84D72" w:rsidP="00A84D72">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t>:</w:t>
      </w:r>
      <w:r>
        <w:rPr>
          <w:b/>
          <w:sz w:val="22"/>
          <w:szCs w:val="22"/>
        </w:rPr>
        <w:t xml:space="preserve"> </w:t>
      </w:r>
      <w:r>
        <w:rPr>
          <w:rFonts w:hint="eastAsia"/>
          <w:b/>
          <w:sz w:val="22"/>
          <w:szCs w:val="22"/>
          <w:lang w:eastAsia="zh-CN"/>
        </w:rPr>
        <w:t>CAICT</w:t>
      </w:r>
    </w:p>
    <w:p w14:paraId="2B9D5B60" w14:textId="36DE0BB9" w:rsidR="00A84D72" w:rsidRPr="006B34F5" w:rsidRDefault="00A84D72" w:rsidP="00A84D72">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t>:</w:t>
      </w:r>
      <w:r>
        <w:rPr>
          <w:b/>
          <w:sz w:val="22"/>
          <w:szCs w:val="22"/>
        </w:rPr>
        <w:t xml:space="preserve"> </w:t>
      </w:r>
      <w:r w:rsidR="00223868" w:rsidRPr="00223868">
        <w:rPr>
          <w:b/>
          <w:sz w:val="22"/>
          <w:szCs w:val="22"/>
        </w:rPr>
        <w:t>Considerations on channel access mechanism of SL-U</w:t>
      </w:r>
    </w:p>
    <w:p w14:paraId="4EC73E3A" w14:textId="6D670291" w:rsidR="00A84D72" w:rsidRPr="00EE275C" w:rsidRDefault="00A84D72" w:rsidP="00A84D72">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t>:</w:t>
      </w:r>
      <w:r>
        <w:rPr>
          <w:b/>
          <w:sz w:val="22"/>
          <w:szCs w:val="22"/>
          <w:lang w:val="en-US"/>
        </w:rPr>
        <w:t xml:space="preserve"> </w:t>
      </w:r>
      <w:r w:rsidR="00035A61">
        <w:rPr>
          <w:b/>
          <w:sz w:val="22"/>
          <w:szCs w:val="22"/>
          <w:lang w:val="en-US" w:eastAsia="zh-CN"/>
        </w:rPr>
        <w:t>9.4</w:t>
      </w:r>
      <w:r w:rsidR="00C97E27">
        <w:rPr>
          <w:b/>
          <w:sz w:val="22"/>
          <w:szCs w:val="22"/>
          <w:lang w:val="en-US" w:eastAsia="zh-CN"/>
        </w:rPr>
        <w:t>.</w:t>
      </w:r>
      <w:r w:rsidR="00223868">
        <w:rPr>
          <w:b/>
          <w:sz w:val="22"/>
          <w:szCs w:val="22"/>
          <w:lang w:val="en-US" w:eastAsia="zh-CN"/>
        </w:rPr>
        <w:t>1.1</w:t>
      </w:r>
    </w:p>
    <w:p w14:paraId="4CAB146E" w14:textId="77777777" w:rsidR="00A84D72" w:rsidRPr="00EE275C" w:rsidRDefault="00A84D72" w:rsidP="00A84D72">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t>:</w:t>
      </w:r>
      <w:r>
        <w:rPr>
          <w:b/>
          <w:sz w:val="22"/>
          <w:szCs w:val="22"/>
        </w:rPr>
        <w:t xml:space="preserve"> </w:t>
      </w:r>
      <w:r w:rsidRPr="00EE275C">
        <w:rPr>
          <w:b/>
          <w:sz w:val="22"/>
          <w:szCs w:val="22"/>
        </w:rPr>
        <w:t>Discussion</w:t>
      </w:r>
      <w:r>
        <w:rPr>
          <w:b/>
          <w:sz w:val="22"/>
          <w:szCs w:val="22"/>
        </w:rPr>
        <w:t xml:space="preserve"> and decision</w:t>
      </w:r>
    </w:p>
    <w:p w14:paraId="04EEF36A" w14:textId="129F08A3" w:rsidR="00A330C4" w:rsidRDefault="00A330C4" w:rsidP="00357987">
      <w:pPr>
        <w:pStyle w:val="1"/>
        <w:rPr>
          <w:lang w:eastAsia="zh-CN"/>
        </w:rPr>
      </w:pPr>
      <w:r>
        <w:rPr>
          <w:rFonts w:hint="eastAsia"/>
          <w:lang w:eastAsia="zh-CN"/>
        </w:rPr>
        <w:t>B</w:t>
      </w:r>
      <w:r>
        <w:rPr>
          <w:lang w:eastAsia="zh-CN"/>
        </w:rPr>
        <w:t>ackgrounds</w:t>
      </w:r>
    </w:p>
    <w:p w14:paraId="7A1B0BFC" w14:textId="00A7FC12" w:rsidR="00A330C4" w:rsidRDefault="00A330C4" w:rsidP="00A330C4">
      <w:pPr>
        <w:rPr>
          <w:lang w:eastAsia="zh-CN"/>
        </w:rPr>
      </w:pPr>
      <w:r>
        <w:rPr>
          <w:rFonts w:hint="eastAsia"/>
          <w:lang w:eastAsia="zh-CN"/>
        </w:rPr>
        <w:t>I</w:t>
      </w:r>
      <w:r>
        <w:rPr>
          <w:lang w:eastAsia="zh-CN"/>
        </w:rPr>
        <w:t>n last meeting, the following agreements have been reached:</w:t>
      </w:r>
    </w:p>
    <w:tbl>
      <w:tblPr>
        <w:tblStyle w:val="a5"/>
        <w:tblW w:w="0" w:type="auto"/>
        <w:tblLook w:val="04A0" w:firstRow="1" w:lastRow="0" w:firstColumn="1" w:lastColumn="0" w:noHBand="0" w:noVBand="1"/>
      </w:tblPr>
      <w:tblGrid>
        <w:gridCol w:w="10253"/>
      </w:tblGrid>
      <w:tr w:rsidR="00A330C4" w:rsidRPr="00E410EF" w14:paraId="4B21ED58" w14:textId="77777777" w:rsidTr="00A330C4">
        <w:tc>
          <w:tcPr>
            <w:tcW w:w="10253" w:type="dxa"/>
          </w:tcPr>
          <w:p w14:paraId="085FE535" w14:textId="77777777" w:rsidR="00A330C4" w:rsidRPr="00E410EF" w:rsidRDefault="00A330C4" w:rsidP="00A330C4">
            <w:pPr>
              <w:autoSpaceDE w:val="0"/>
              <w:autoSpaceDN w:val="0"/>
              <w:jc w:val="both"/>
              <w:rPr>
                <w:rFonts w:ascii="Calibri" w:eastAsia="Batang" w:hAnsi="Calibri" w:cs="Calibri"/>
                <w:sz w:val="22"/>
                <w:szCs w:val="18"/>
              </w:rPr>
            </w:pPr>
            <w:r w:rsidRPr="00E410EF">
              <w:rPr>
                <w:rFonts w:ascii="Calibri" w:hAnsi="Calibri" w:cs="Calibri"/>
                <w:b/>
                <w:bCs/>
                <w:sz w:val="22"/>
                <w:szCs w:val="18"/>
                <w:highlight w:val="green"/>
              </w:rPr>
              <w:t>Agreement</w:t>
            </w:r>
            <w:r w:rsidRPr="00E410EF">
              <w:rPr>
                <w:rFonts w:ascii="Calibri" w:hAnsi="Calibri" w:cs="Calibri"/>
                <w:b/>
                <w:bCs/>
                <w:sz w:val="22"/>
                <w:szCs w:val="18"/>
              </w:rPr>
              <w:t xml:space="preserve"> </w:t>
            </w:r>
          </w:p>
          <w:p w14:paraId="61E8DD98" w14:textId="77777777" w:rsidR="00A330C4" w:rsidRPr="00E410EF" w:rsidRDefault="00A330C4" w:rsidP="00A330C4">
            <w:pPr>
              <w:pStyle w:val="a3"/>
              <w:numPr>
                <w:ilvl w:val="0"/>
                <w:numId w:val="39"/>
              </w:numPr>
              <w:autoSpaceDE w:val="0"/>
              <w:autoSpaceDN w:val="0"/>
              <w:spacing w:after="0"/>
              <w:ind w:firstLineChars="0"/>
              <w:jc w:val="both"/>
              <w:rPr>
                <w:sz w:val="22"/>
                <w:szCs w:val="18"/>
              </w:rPr>
            </w:pPr>
            <w:r w:rsidRPr="00E410EF">
              <w:rPr>
                <w:sz w:val="22"/>
                <w:szCs w:val="18"/>
              </w:rPr>
              <w:t>CW adjustment</w:t>
            </w:r>
          </w:p>
          <w:p w14:paraId="3D8A0B07" w14:textId="77777777" w:rsidR="00A330C4" w:rsidRPr="00E410EF" w:rsidRDefault="00A330C4" w:rsidP="00A330C4">
            <w:pPr>
              <w:pStyle w:val="a3"/>
              <w:numPr>
                <w:ilvl w:val="1"/>
                <w:numId w:val="39"/>
              </w:numPr>
              <w:autoSpaceDE w:val="0"/>
              <w:autoSpaceDN w:val="0"/>
              <w:spacing w:after="0"/>
              <w:ind w:firstLineChars="0"/>
              <w:jc w:val="both"/>
              <w:rPr>
                <w:sz w:val="22"/>
                <w:szCs w:val="18"/>
              </w:rPr>
            </w:pPr>
            <w:r w:rsidRPr="00E410EF">
              <w:rPr>
                <w:sz w:val="22"/>
                <w:szCs w:val="18"/>
              </w:rPr>
              <w:t xml:space="preserve">NR-U DL CW adjustment mechanism is used as the baseline for SL-U when SL-HARQ feedback is enabled in SCI for unicast </w:t>
            </w:r>
          </w:p>
          <w:p w14:paraId="73D5DA37" w14:textId="77777777" w:rsidR="00A330C4" w:rsidRPr="00E410EF" w:rsidRDefault="00A330C4" w:rsidP="00A330C4">
            <w:pPr>
              <w:pStyle w:val="a3"/>
              <w:numPr>
                <w:ilvl w:val="2"/>
                <w:numId w:val="39"/>
              </w:numPr>
              <w:autoSpaceDE w:val="0"/>
              <w:autoSpaceDN w:val="0"/>
              <w:spacing w:after="0"/>
              <w:ind w:firstLineChars="0"/>
              <w:jc w:val="both"/>
              <w:rPr>
                <w:sz w:val="22"/>
                <w:szCs w:val="18"/>
              </w:rPr>
            </w:pPr>
            <w:r w:rsidRPr="00E410EF">
              <w:rPr>
                <w:sz w:val="22"/>
                <w:szCs w:val="18"/>
              </w:rPr>
              <w:t>FFS any necessary update for SL-U operation</w:t>
            </w:r>
          </w:p>
          <w:p w14:paraId="6E21658A" w14:textId="77777777" w:rsidR="00A330C4" w:rsidRPr="00E410EF" w:rsidRDefault="00A330C4" w:rsidP="00A330C4">
            <w:pPr>
              <w:pStyle w:val="a3"/>
              <w:numPr>
                <w:ilvl w:val="1"/>
                <w:numId w:val="39"/>
              </w:numPr>
              <w:autoSpaceDE w:val="0"/>
              <w:autoSpaceDN w:val="0"/>
              <w:spacing w:after="0"/>
              <w:ind w:firstLineChars="0"/>
              <w:jc w:val="both"/>
              <w:rPr>
                <w:sz w:val="22"/>
                <w:szCs w:val="18"/>
              </w:rPr>
            </w:pPr>
            <w:r w:rsidRPr="00E410EF">
              <w:rPr>
                <w:sz w:val="22"/>
                <w:szCs w:val="18"/>
              </w:rPr>
              <w:t>FFS: how to determine CW size when SL-HARQ feedback is disabled in SCI</w:t>
            </w:r>
          </w:p>
          <w:p w14:paraId="612AF17C" w14:textId="77777777" w:rsidR="00A330C4" w:rsidRPr="00E410EF" w:rsidRDefault="00A330C4" w:rsidP="00A330C4">
            <w:pPr>
              <w:rPr>
                <w:sz w:val="22"/>
                <w:szCs w:val="18"/>
              </w:rPr>
            </w:pPr>
            <w:r w:rsidRPr="00E410EF">
              <w:rPr>
                <w:sz w:val="22"/>
                <w:szCs w:val="18"/>
                <w:lang w:val="en-AU"/>
              </w:rPr>
              <w:t xml:space="preserve">FFS the case of groupcast option 1 (NACK-only) and </w:t>
            </w:r>
            <w:r w:rsidRPr="00E410EF">
              <w:rPr>
                <w:sz w:val="22"/>
                <w:szCs w:val="18"/>
              </w:rPr>
              <w:t>groupcast option 2</w:t>
            </w:r>
          </w:p>
          <w:p w14:paraId="57E894B2" w14:textId="3585473F" w:rsidR="00A330C4" w:rsidRPr="00E410EF" w:rsidRDefault="00A330C4" w:rsidP="00A330C4">
            <w:pPr>
              <w:autoSpaceDE w:val="0"/>
              <w:autoSpaceDN w:val="0"/>
              <w:jc w:val="both"/>
              <w:rPr>
                <w:rFonts w:ascii="Calibri" w:eastAsia="Batang" w:hAnsi="Calibri" w:cs="Calibri"/>
                <w:sz w:val="22"/>
                <w:szCs w:val="18"/>
              </w:rPr>
            </w:pPr>
            <w:r w:rsidRPr="00E410EF">
              <w:rPr>
                <w:rFonts w:ascii="Calibri" w:hAnsi="Calibri" w:cs="Calibri"/>
                <w:b/>
                <w:bCs/>
                <w:sz w:val="22"/>
                <w:szCs w:val="18"/>
                <w:highlight w:val="green"/>
              </w:rPr>
              <w:t>Agreement</w:t>
            </w:r>
          </w:p>
          <w:p w14:paraId="109D493C" w14:textId="77777777" w:rsidR="00A330C4" w:rsidRPr="00E410EF" w:rsidRDefault="00A330C4" w:rsidP="00A330C4">
            <w:pPr>
              <w:pStyle w:val="a3"/>
              <w:numPr>
                <w:ilvl w:val="0"/>
                <w:numId w:val="39"/>
              </w:numPr>
              <w:autoSpaceDE w:val="0"/>
              <w:autoSpaceDN w:val="0"/>
              <w:spacing w:after="0" w:line="256" w:lineRule="auto"/>
              <w:ind w:firstLineChars="0"/>
              <w:jc w:val="both"/>
              <w:rPr>
                <w:sz w:val="22"/>
                <w:szCs w:val="18"/>
              </w:rPr>
            </w:pPr>
            <w:r w:rsidRPr="00E410EF">
              <w:rPr>
                <w:sz w:val="22"/>
                <w:szCs w:val="18"/>
              </w:rPr>
              <w:t>Type 2A/2B/2C SL channel access procedures</w:t>
            </w:r>
          </w:p>
          <w:p w14:paraId="7D0F2ABB" w14:textId="77777777" w:rsidR="00A330C4" w:rsidRPr="00E410EF" w:rsidRDefault="00A330C4" w:rsidP="00A330C4">
            <w:pPr>
              <w:pStyle w:val="a3"/>
              <w:numPr>
                <w:ilvl w:val="1"/>
                <w:numId w:val="39"/>
              </w:numPr>
              <w:autoSpaceDE w:val="0"/>
              <w:autoSpaceDN w:val="0"/>
              <w:spacing w:after="0" w:line="256" w:lineRule="auto"/>
              <w:ind w:firstLineChars="0"/>
              <w:jc w:val="both"/>
              <w:rPr>
                <w:sz w:val="22"/>
                <w:szCs w:val="18"/>
              </w:rPr>
            </w:pPr>
            <w:r w:rsidRPr="00E410EF">
              <w:rPr>
                <w:sz w:val="22"/>
                <w:szCs w:val="18"/>
              </w:rPr>
              <w:t>Type 2A channel access procedure is applicable to the following case:</w:t>
            </w:r>
          </w:p>
          <w:p w14:paraId="49E74104" w14:textId="77777777" w:rsidR="00A330C4" w:rsidRPr="00E410EF" w:rsidRDefault="00A330C4" w:rsidP="00A330C4">
            <w:pPr>
              <w:pStyle w:val="a3"/>
              <w:numPr>
                <w:ilvl w:val="2"/>
                <w:numId w:val="39"/>
              </w:numPr>
              <w:autoSpaceDE w:val="0"/>
              <w:autoSpaceDN w:val="0"/>
              <w:spacing w:after="0" w:line="256" w:lineRule="auto"/>
              <w:ind w:firstLineChars="0"/>
              <w:jc w:val="both"/>
              <w:rPr>
                <w:sz w:val="22"/>
                <w:szCs w:val="18"/>
              </w:rPr>
            </w:pPr>
            <w:r w:rsidRPr="00E410EF">
              <w:rPr>
                <w:sz w:val="22"/>
                <w:szCs w:val="18"/>
              </w:rPr>
              <w:t>Transmission(s) by a UE following transmission(s) by another UE for a gap ≥ 25μs in a shared channel occupancy</w:t>
            </w:r>
          </w:p>
          <w:p w14:paraId="47B624AC" w14:textId="77777777" w:rsidR="00A330C4" w:rsidRPr="00E410EF" w:rsidRDefault="00A330C4" w:rsidP="00A330C4">
            <w:pPr>
              <w:pStyle w:val="a3"/>
              <w:numPr>
                <w:ilvl w:val="2"/>
                <w:numId w:val="39"/>
              </w:numPr>
              <w:autoSpaceDE w:val="0"/>
              <w:autoSpaceDN w:val="0"/>
              <w:spacing w:after="0" w:line="256" w:lineRule="auto"/>
              <w:ind w:firstLineChars="0"/>
              <w:jc w:val="both"/>
              <w:rPr>
                <w:sz w:val="22"/>
                <w:szCs w:val="18"/>
              </w:rPr>
            </w:pPr>
            <w:r w:rsidRPr="00E410EF">
              <w:rPr>
                <w:sz w:val="22"/>
                <w:szCs w:val="18"/>
              </w:rPr>
              <w:t>FFS any other transmission by a UE (e.g., other than COT sharing)</w:t>
            </w:r>
          </w:p>
          <w:p w14:paraId="31A9BBBE" w14:textId="77777777" w:rsidR="00A330C4" w:rsidRPr="00E410EF" w:rsidRDefault="00A330C4" w:rsidP="00A330C4">
            <w:pPr>
              <w:pStyle w:val="a3"/>
              <w:numPr>
                <w:ilvl w:val="2"/>
                <w:numId w:val="39"/>
              </w:numPr>
              <w:autoSpaceDE w:val="0"/>
              <w:autoSpaceDN w:val="0"/>
              <w:spacing w:after="0" w:line="256" w:lineRule="auto"/>
              <w:ind w:firstLineChars="0"/>
              <w:jc w:val="both"/>
              <w:rPr>
                <w:sz w:val="22"/>
                <w:szCs w:val="18"/>
              </w:rPr>
            </w:pPr>
            <w:r w:rsidRPr="00E410EF">
              <w:rPr>
                <w:sz w:val="22"/>
                <w:szCs w:val="18"/>
              </w:rPr>
              <w:t>FFS whether Type 2A is used also for the case of short control signalling transmission</w:t>
            </w:r>
          </w:p>
          <w:p w14:paraId="57943905" w14:textId="77777777" w:rsidR="00A330C4" w:rsidRPr="00E410EF" w:rsidRDefault="00A330C4" w:rsidP="00A330C4">
            <w:pPr>
              <w:pStyle w:val="a3"/>
              <w:numPr>
                <w:ilvl w:val="1"/>
                <w:numId w:val="39"/>
              </w:numPr>
              <w:autoSpaceDE w:val="0"/>
              <w:autoSpaceDN w:val="0"/>
              <w:spacing w:after="0" w:line="256" w:lineRule="auto"/>
              <w:ind w:firstLineChars="0"/>
              <w:jc w:val="both"/>
              <w:rPr>
                <w:sz w:val="22"/>
                <w:szCs w:val="18"/>
              </w:rPr>
            </w:pPr>
            <w:r w:rsidRPr="00E410EF">
              <w:rPr>
                <w:sz w:val="22"/>
                <w:szCs w:val="18"/>
              </w:rPr>
              <w:t>Type 2B channel access procedure is applicable to the following case:</w:t>
            </w:r>
          </w:p>
          <w:p w14:paraId="6C5C5C37" w14:textId="77777777" w:rsidR="00A330C4" w:rsidRPr="00E410EF" w:rsidRDefault="00A330C4" w:rsidP="00A330C4">
            <w:pPr>
              <w:pStyle w:val="a3"/>
              <w:numPr>
                <w:ilvl w:val="2"/>
                <w:numId w:val="39"/>
              </w:numPr>
              <w:autoSpaceDE w:val="0"/>
              <w:autoSpaceDN w:val="0"/>
              <w:spacing w:after="0" w:line="256" w:lineRule="auto"/>
              <w:ind w:firstLineChars="0"/>
              <w:jc w:val="both"/>
              <w:rPr>
                <w:sz w:val="22"/>
                <w:szCs w:val="18"/>
              </w:rPr>
            </w:pPr>
            <w:r w:rsidRPr="00E410EF">
              <w:rPr>
                <w:sz w:val="22"/>
                <w:szCs w:val="18"/>
              </w:rPr>
              <w:t>Transmission(s) by a UE following transmission(s) by another UE at least when the gap is 16μs in a shared channel occupancy</w:t>
            </w:r>
          </w:p>
          <w:p w14:paraId="2E4A9D4C" w14:textId="77777777" w:rsidR="00A330C4" w:rsidRPr="00E410EF" w:rsidRDefault="00A330C4" w:rsidP="00A330C4">
            <w:pPr>
              <w:pStyle w:val="a3"/>
              <w:numPr>
                <w:ilvl w:val="2"/>
                <w:numId w:val="39"/>
              </w:numPr>
              <w:autoSpaceDE w:val="0"/>
              <w:autoSpaceDN w:val="0"/>
              <w:spacing w:after="0" w:line="256" w:lineRule="auto"/>
              <w:ind w:firstLineChars="0"/>
              <w:jc w:val="both"/>
              <w:rPr>
                <w:sz w:val="22"/>
                <w:szCs w:val="18"/>
              </w:rPr>
            </w:pPr>
            <w:r w:rsidRPr="00E410EF">
              <w:rPr>
                <w:sz w:val="22"/>
                <w:szCs w:val="18"/>
              </w:rPr>
              <w:t>FFS the case when the gap is between 16 and 25us</w:t>
            </w:r>
          </w:p>
          <w:p w14:paraId="7F813510" w14:textId="77777777" w:rsidR="00A330C4" w:rsidRPr="00E410EF" w:rsidRDefault="00A330C4" w:rsidP="00A330C4">
            <w:pPr>
              <w:pStyle w:val="a3"/>
              <w:numPr>
                <w:ilvl w:val="2"/>
                <w:numId w:val="39"/>
              </w:numPr>
              <w:autoSpaceDE w:val="0"/>
              <w:autoSpaceDN w:val="0"/>
              <w:spacing w:after="0" w:line="256" w:lineRule="auto"/>
              <w:ind w:firstLineChars="0"/>
              <w:jc w:val="both"/>
              <w:rPr>
                <w:sz w:val="22"/>
                <w:szCs w:val="18"/>
              </w:rPr>
            </w:pPr>
            <w:r w:rsidRPr="00E410EF">
              <w:rPr>
                <w:sz w:val="22"/>
                <w:szCs w:val="18"/>
              </w:rPr>
              <w:t>FFS any other transmission by a UE (e.g., other than COT sharing)</w:t>
            </w:r>
          </w:p>
          <w:p w14:paraId="1ADD9975" w14:textId="77777777" w:rsidR="00A330C4" w:rsidRPr="00E410EF" w:rsidRDefault="00A330C4" w:rsidP="00A330C4">
            <w:pPr>
              <w:pStyle w:val="a3"/>
              <w:numPr>
                <w:ilvl w:val="1"/>
                <w:numId w:val="39"/>
              </w:numPr>
              <w:autoSpaceDE w:val="0"/>
              <w:autoSpaceDN w:val="0"/>
              <w:spacing w:after="0" w:line="256" w:lineRule="auto"/>
              <w:ind w:firstLineChars="0"/>
              <w:jc w:val="both"/>
              <w:rPr>
                <w:sz w:val="22"/>
                <w:szCs w:val="18"/>
              </w:rPr>
            </w:pPr>
            <w:r w:rsidRPr="00E410EF">
              <w:rPr>
                <w:sz w:val="22"/>
                <w:szCs w:val="18"/>
              </w:rPr>
              <w:t>Type 2C channel access procedure is applicable to the following case:</w:t>
            </w:r>
          </w:p>
          <w:p w14:paraId="4254CDAF" w14:textId="77777777" w:rsidR="00A330C4" w:rsidRPr="00E410EF" w:rsidRDefault="00A330C4" w:rsidP="00A330C4">
            <w:pPr>
              <w:pStyle w:val="a3"/>
              <w:numPr>
                <w:ilvl w:val="2"/>
                <w:numId w:val="39"/>
              </w:numPr>
              <w:autoSpaceDE w:val="0"/>
              <w:autoSpaceDN w:val="0"/>
              <w:spacing w:after="0" w:line="256" w:lineRule="auto"/>
              <w:ind w:firstLineChars="0"/>
              <w:jc w:val="both"/>
              <w:rPr>
                <w:sz w:val="22"/>
                <w:szCs w:val="18"/>
              </w:rPr>
            </w:pPr>
            <w:r w:rsidRPr="00E410EF">
              <w:rPr>
                <w:sz w:val="22"/>
                <w:szCs w:val="18"/>
              </w:rPr>
              <w:t>Transmission(s) by a UE following transmission(s) by another UE for a gap ≤ 16μs in a shared channel occupancy and the duration of the corresponding transmission is at most 584us.</w:t>
            </w:r>
          </w:p>
          <w:p w14:paraId="4A63848C" w14:textId="77777777" w:rsidR="00A330C4" w:rsidRPr="00E410EF" w:rsidRDefault="00A330C4" w:rsidP="00A330C4">
            <w:pPr>
              <w:pStyle w:val="a3"/>
              <w:numPr>
                <w:ilvl w:val="2"/>
                <w:numId w:val="39"/>
              </w:numPr>
              <w:autoSpaceDE w:val="0"/>
              <w:autoSpaceDN w:val="0"/>
              <w:spacing w:after="0" w:line="256" w:lineRule="auto"/>
              <w:ind w:firstLineChars="0"/>
              <w:jc w:val="both"/>
              <w:rPr>
                <w:sz w:val="22"/>
                <w:szCs w:val="18"/>
              </w:rPr>
            </w:pPr>
            <w:r w:rsidRPr="00E410EF">
              <w:rPr>
                <w:sz w:val="22"/>
                <w:szCs w:val="18"/>
              </w:rPr>
              <w:t>FFS any other transmission by a UE (e.g., other than COT sharing)</w:t>
            </w:r>
          </w:p>
          <w:p w14:paraId="66E0BDC2" w14:textId="77777777" w:rsidR="00A330C4" w:rsidRPr="00E410EF" w:rsidRDefault="00A330C4" w:rsidP="00A330C4">
            <w:pPr>
              <w:pStyle w:val="a3"/>
              <w:numPr>
                <w:ilvl w:val="2"/>
                <w:numId w:val="39"/>
              </w:numPr>
              <w:autoSpaceDE w:val="0"/>
              <w:autoSpaceDN w:val="0"/>
              <w:spacing w:after="0" w:line="256" w:lineRule="auto"/>
              <w:ind w:firstLineChars="0"/>
              <w:jc w:val="both"/>
              <w:rPr>
                <w:sz w:val="22"/>
                <w:szCs w:val="18"/>
              </w:rPr>
            </w:pPr>
            <w:r w:rsidRPr="00E410EF">
              <w:rPr>
                <w:sz w:val="22"/>
                <w:szCs w:val="18"/>
              </w:rPr>
              <w:t>FFS whether Type 2C is used also for the case of short control signalling transmission</w:t>
            </w:r>
          </w:p>
          <w:p w14:paraId="56DC9F94" w14:textId="77777777" w:rsidR="00A330C4" w:rsidRPr="00E410EF" w:rsidRDefault="00A330C4" w:rsidP="00A330C4">
            <w:pPr>
              <w:pStyle w:val="a3"/>
              <w:numPr>
                <w:ilvl w:val="1"/>
                <w:numId w:val="39"/>
              </w:numPr>
              <w:autoSpaceDE w:val="0"/>
              <w:autoSpaceDN w:val="0"/>
              <w:spacing w:after="0" w:line="256" w:lineRule="auto"/>
              <w:ind w:firstLineChars="0"/>
              <w:jc w:val="both"/>
              <w:rPr>
                <w:sz w:val="22"/>
                <w:szCs w:val="18"/>
              </w:rPr>
            </w:pPr>
            <w:r w:rsidRPr="00E410EF">
              <w:rPr>
                <w:sz w:val="22"/>
                <w:szCs w:val="18"/>
              </w:rPr>
              <w:t>FFS under which conditions (other than the gap) UEs can apply the Type 2A/2B/2C SL channel access procedures</w:t>
            </w:r>
          </w:p>
          <w:p w14:paraId="68E2E461" w14:textId="77777777" w:rsidR="00A330C4" w:rsidRPr="00E410EF" w:rsidRDefault="00A330C4" w:rsidP="00A330C4">
            <w:pPr>
              <w:pStyle w:val="a3"/>
              <w:numPr>
                <w:ilvl w:val="1"/>
                <w:numId w:val="39"/>
              </w:numPr>
              <w:autoSpaceDE w:val="0"/>
              <w:autoSpaceDN w:val="0"/>
              <w:spacing w:after="0" w:line="256" w:lineRule="auto"/>
              <w:ind w:firstLineChars="0"/>
              <w:jc w:val="both"/>
              <w:rPr>
                <w:sz w:val="22"/>
                <w:szCs w:val="18"/>
              </w:rPr>
            </w:pPr>
            <w:r w:rsidRPr="00E410EF">
              <w:rPr>
                <w:sz w:val="22"/>
                <w:szCs w:val="18"/>
              </w:rPr>
              <w:t>FFS under which conditions Type 2B or Type 2C is applied in case of a gap of 16 μs</w:t>
            </w:r>
          </w:p>
          <w:p w14:paraId="7AC1AEA3" w14:textId="77777777" w:rsidR="00A330C4" w:rsidRPr="00E410EF" w:rsidRDefault="00A330C4" w:rsidP="00A330C4">
            <w:pPr>
              <w:autoSpaceDE w:val="0"/>
              <w:autoSpaceDN w:val="0"/>
              <w:jc w:val="both"/>
              <w:rPr>
                <w:rFonts w:ascii="Calibri" w:eastAsia="Batang" w:hAnsi="Calibri" w:cs="Calibri"/>
                <w:sz w:val="22"/>
                <w:szCs w:val="18"/>
              </w:rPr>
            </w:pPr>
            <w:r w:rsidRPr="00E410EF">
              <w:rPr>
                <w:rFonts w:ascii="Calibri" w:hAnsi="Calibri" w:cs="Calibri"/>
                <w:b/>
                <w:bCs/>
                <w:sz w:val="22"/>
                <w:szCs w:val="18"/>
                <w:highlight w:val="green"/>
              </w:rPr>
              <w:t>Agreement</w:t>
            </w:r>
          </w:p>
          <w:p w14:paraId="7355A6F0" w14:textId="77777777" w:rsidR="00A330C4" w:rsidRPr="00E410EF" w:rsidRDefault="00A330C4" w:rsidP="00A330C4">
            <w:pPr>
              <w:pStyle w:val="a3"/>
              <w:autoSpaceDE w:val="0"/>
              <w:autoSpaceDN w:val="0"/>
              <w:ind w:firstLine="440"/>
              <w:jc w:val="both"/>
              <w:rPr>
                <w:sz w:val="22"/>
                <w:szCs w:val="18"/>
              </w:rPr>
            </w:pPr>
            <w:r w:rsidRPr="00E410EF">
              <w:rPr>
                <w:sz w:val="22"/>
                <w:szCs w:val="18"/>
              </w:rPr>
              <w:t>Multi-consecutive slots transmission (MCSt) is supported for Mode 1 and Mode 2 resource allocation in SL-U.</w:t>
            </w:r>
          </w:p>
          <w:p w14:paraId="2B4871E0" w14:textId="3B909A89" w:rsidR="00A330C4" w:rsidRPr="00E410EF" w:rsidRDefault="00A330C4" w:rsidP="00A330C4">
            <w:pPr>
              <w:pStyle w:val="a3"/>
              <w:numPr>
                <w:ilvl w:val="0"/>
                <w:numId w:val="39"/>
              </w:numPr>
              <w:autoSpaceDE w:val="0"/>
              <w:autoSpaceDN w:val="0"/>
              <w:spacing w:after="0"/>
              <w:ind w:firstLineChars="0"/>
              <w:jc w:val="both"/>
              <w:rPr>
                <w:sz w:val="22"/>
                <w:szCs w:val="18"/>
              </w:rPr>
            </w:pPr>
            <w:r w:rsidRPr="00E410EF">
              <w:rPr>
                <w:sz w:val="22"/>
                <w:szCs w:val="18"/>
                <w:lang w:val="en-AU"/>
              </w:rPr>
              <w:t>FFS details</w:t>
            </w:r>
          </w:p>
          <w:p w14:paraId="15455AB2" w14:textId="77777777" w:rsidR="00A330C4" w:rsidRPr="00E410EF" w:rsidRDefault="00A330C4" w:rsidP="00A330C4">
            <w:pPr>
              <w:autoSpaceDE w:val="0"/>
              <w:autoSpaceDN w:val="0"/>
              <w:jc w:val="both"/>
              <w:rPr>
                <w:sz w:val="22"/>
                <w:szCs w:val="18"/>
              </w:rPr>
            </w:pPr>
            <w:r w:rsidRPr="00E410EF">
              <w:rPr>
                <w:b/>
                <w:bCs/>
                <w:sz w:val="22"/>
                <w:szCs w:val="18"/>
                <w:highlight w:val="green"/>
              </w:rPr>
              <w:t>Agreement</w:t>
            </w:r>
          </w:p>
          <w:p w14:paraId="20B51A9C" w14:textId="77777777" w:rsidR="00A330C4" w:rsidRPr="00E410EF" w:rsidRDefault="00A330C4" w:rsidP="00A330C4">
            <w:pPr>
              <w:pStyle w:val="a3"/>
              <w:numPr>
                <w:ilvl w:val="0"/>
                <w:numId w:val="39"/>
              </w:numPr>
              <w:autoSpaceDE w:val="0"/>
              <w:autoSpaceDN w:val="0"/>
              <w:spacing w:after="0" w:line="256" w:lineRule="auto"/>
              <w:ind w:firstLineChars="0"/>
              <w:jc w:val="both"/>
              <w:rPr>
                <w:sz w:val="22"/>
                <w:szCs w:val="18"/>
              </w:rPr>
            </w:pPr>
            <w:r w:rsidRPr="00E410EF">
              <w:rPr>
                <w:sz w:val="22"/>
                <w:szCs w:val="18"/>
              </w:rPr>
              <w:t>For UE-to-UE COT sharing, continue considering the following alternatives:</w:t>
            </w:r>
          </w:p>
          <w:p w14:paraId="5ECA9222" w14:textId="77777777" w:rsidR="00A330C4" w:rsidRPr="00E410EF" w:rsidRDefault="00A330C4" w:rsidP="00A330C4">
            <w:pPr>
              <w:pStyle w:val="a3"/>
              <w:numPr>
                <w:ilvl w:val="1"/>
                <w:numId w:val="39"/>
              </w:numPr>
              <w:autoSpaceDE w:val="0"/>
              <w:autoSpaceDN w:val="0"/>
              <w:spacing w:after="0" w:line="256" w:lineRule="auto"/>
              <w:ind w:firstLineChars="0"/>
              <w:jc w:val="both"/>
              <w:rPr>
                <w:sz w:val="22"/>
                <w:szCs w:val="18"/>
              </w:rPr>
            </w:pPr>
            <w:r w:rsidRPr="00E410EF">
              <w:rPr>
                <w:sz w:val="22"/>
                <w:szCs w:val="18"/>
              </w:rPr>
              <w:t>Alt. 1: A responding SL UE can utilize a COT shared by a COT initiating UE when the responding SL UE is a target receiver of the at least COT initiating UE’s PSSCH data transmission in the COT.</w:t>
            </w:r>
          </w:p>
          <w:p w14:paraId="1C551CC9" w14:textId="77777777" w:rsidR="00A330C4" w:rsidRPr="00E410EF" w:rsidRDefault="00A330C4" w:rsidP="00A330C4">
            <w:pPr>
              <w:pStyle w:val="a3"/>
              <w:numPr>
                <w:ilvl w:val="2"/>
                <w:numId w:val="39"/>
              </w:numPr>
              <w:autoSpaceDE w:val="0"/>
              <w:autoSpaceDN w:val="0"/>
              <w:spacing w:after="0" w:line="256" w:lineRule="auto"/>
              <w:ind w:firstLineChars="0"/>
              <w:jc w:val="both"/>
              <w:rPr>
                <w:sz w:val="22"/>
                <w:szCs w:val="18"/>
              </w:rPr>
            </w:pPr>
            <w:r w:rsidRPr="00E410EF">
              <w:rPr>
                <w:sz w:val="22"/>
                <w:szCs w:val="18"/>
              </w:rPr>
              <w:t>When the responding UE uses the shared COT for its transmission has an equal or smaller CAPC value than the CAPC value indicated in a shared COT information</w:t>
            </w:r>
          </w:p>
          <w:p w14:paraId="083E1D38" w14:textId="77777777" w:rsidR="00A330C4" w:rsidRPr="00E410EF" w:rsidRDefault="00A330C4" w:rsidP="00A330C4">
            <w:pPr>
              <w:pStyle w:val="a3"/>
              <w:numPr>
                <w:ilvl w:val="2"/>
                <w:numId w:val="39"/>
              </w:numPr>
              <w:autoSpaceDE w:val="0"/>
              <w:autoSpaceDN w:val="0"/>
              <w:spacing w:after="0" w:line="256" w:lineRule="auto"/>
              <w:ind w:firstLineChars="0"/>
              <w:jc w:val="both"/>
              <w:rPr>
                <w:sz w:val="22"/>
                <w:szCs w:val="18"/>
              </w:rPr>
            </w:pPr>
            <w:r w:rsidRPr="00E410EF">
              <w:rPr>
                <w:sz w:val="22"/>
                <w:szCs w:val="18"/>
              </w:rPr>
              <w:t>FFS any additional conditions</w:t>
            </w:r>
          </w:p>
          <w:p w14:paraId="51F3AAC9" w14:textId="77777777" w:rsidR="00A330C4" w:rsidRPr="00E410EF" w:rsidRDefault="00A330C4" w:rsidP="00A330C4">
            <w:pPr>
              <w:pStyle w:val="a3"/>
              <w:numPr>
                <w:ilvl w:val="1"/>
                <w:numId w:val="39"/>
              </w:numPr>
              <w:autoSpaceDE w:val="0"/>
              <w:autoSpaceDN w:val="0"/>
              <w:spacing w:after="0" w:line="256" w:lineRule="auto"/>
              <w:ind w:firstLineChars="0"/>
              <w:jc w:val="both"/>
              <w:rPr>
                <w:sz w:val="22"/>
                <w:szCs w:val="18"/>
              </w:rPr>
            </w:pPr>
            <w:r w:rsidRPr="00E410EF">
              <w:rPr>
                <w:sz w:val="22"/>
                <w:szCs w:val="18"/>
              </w:rPr>
              <w:lastRenderedPageBreak/>
              <w:t>Alt. 2: A responding SL UE can utilize a COT shared by a COT initiating UE when the responding SL UE is a target receiver of the COT initiating UE’s transmission in the COT.</w:t>
            </w:r>
          </w:p>
          <w:p w14:paraId="0BEBB8C4" w14:textId="77777777" w:rsidR="00A330C4" w:rsidRPr="00E410EF" w:rsidRDefault="00A330C4" w:rsidP="00A330C4">
            <w:pPr>
              <w:pStyle w:val="a3"/>
              <w:numPr>
                <w:ilvl w:val="2"/>
                <w:numId w:val="39"/>
              </w:numPr>
              <w:autoSpaceDE w:val="0"/>
              <w:autoSpaceDN w:val="0"/>
              <w:spacing w:after="0" w:line="256" w:lineRule="auto"/>
              <w:ind w:firstLineChars="0"/>
              <w:jc w:val="both"/>
              <w:rPr>
                <w:sz w:val="22"/>
                <w:szCs w:val="18"/>
              </w:rPr>
            </w:pPr>
            <w:r w:rsidRPr="00E410EF">
              <w:rPr>
                <w:sz w:val="22"/>
                <w:szCs w:val="18"/>
              </w:rPr>
              <w:t>When the responding UE uses the shared COT for its transmission has an equal or smaller CAPC value than the CAPC value indicated in a shared COT information</w:t>
            </w:r>
          </w:p>
          <w:p w14:paraId="6D1BDF36" w14:textId="77777777" w:rsidR="00A330C4" w:rsidRPr="00E410EF" w:rsidRDefault="00A330C4" w:rsidP="00A330C4">
            <w:pPr>
              <w:pStyle w:val="a3"/>
              <w:numPr>
                <w:ilvl w:val="2"/>
                <w:numId w:val="39"/>
              </w:numPr>
              <w:autoSpaceDE w:val="0"/>
              <w:autoSpaceDN w:val="0"/>
              <w:spacing w:after="0" w:line="256" w:lineRule="auto"/>
              <w:ind w:firstLineChars="0"/>
              <w:jc w:val="both"/>
              <w:rPr>
                <w:sz w:val="22"/>
                <w:szCs w:val="18"/>
              </w:rPr>
            </w:pPr>
            <w:r w:rsidRPr="00E410EF">
              <w:rPr>
                <w:sz w:val="22"/>
                <w:szCs w:val="18"/>
              </w:rPr>
              <w:t>FFS how to determine a SL UE is a target receiverFFS: details of the channel type of the COT initiating UE’s transmission</w:t>
            </w:r>
          </w:p>
          <w:p w14:paraId="614F1AAB" w14:textId="77777777" w:rsidR="00A330C4" w:rsidRPr="00E410EF" w:rsidRDefault="00A330C4" w:rsidP="00A330C4">
            <w:pPr>
              <w:pStyle w:val="a3"/>
              <w:numPr>
                <w:ilvl w:val="2"/>
                <w:numId w:val="39"/>
              </w:numPr>
              <w:autoSpaceDE w:val="0"/>
              <w:autoSpaceDN w:val="0"/>
              <w:spacing w:after="0" w:line="256" w:lineRule="auto"/>
              <w:ind w:firstLineChars="0"/>
              <w:jc w:val="both"/>
              <w:rPr>
                <w:sz w:val="22"/>
                <w:szCs w:val="18"/>
              </w:rPr>
            </w:pPr>
            <w:r w:rsidRPr="00E410EF">
              <w:rPr>
                <w:sz w:val="22"/>
                <w:szCs w:val="18"/>
              </w:rPr>
              <w:t>FFS any additional conditions</w:t>
            </w:r>
          </w:p>
          <w:p w14:paraId="32BEFC4C" w14:textId="77777777" w:rsidR="00A330C4" w:rsidRPr="00E410EF" w:rsidRDefault="00A330C4" w:rsidP="00A330C4">
            <w:pPr>
              <w:pStyle w:val="a3"/>
              <w:numPr>
                <w:ilvl w:val="1"/>
                <w:numId w:val="39"/>
              </w:numPr>
              <w:autoSpaceDE w:val="0"/>
              <w:autoSpaceDN w:val="0"/>
              <w:spacing w:after="0" w:line="256" w:lineRule="auto"/>
              <w:ind w:firstLineChars="0"/>
              <w:jc w:val="both"/>
              <w:rPr>
                <w:sz w:val="22"/>
                <w:szCs w:val="18"/>
              </w:rPr>
            </w:pPr>
            <w:r w:rsidRPr="00E410EF">
              <w:rPr>
                <w:sz w:val="22"/>
                <w:szCs w:val="18"/>
              </w:rPr>
              <w:t>For Alt1 and Alt2: When a responding UE uses a shared COT for its transmission(s), the COT initiating UE is a target receiver of the responding UE’s transmission(s).</w:t>
            </w:r>
          </w:p>
          <w:p w14:paraId="63E1B1D8" w14:textId="77777777" w:rsidR="00A330C4" w:rsidRPr="00E410EF" w:rsidRDefault="00A330C4" w:rsidP="00A330C4">
            <w:pPr>
              <w:pStyle w:val="a3"/>
              <w:numPr>
                <w:ilvl w:val="2"/>
                <w:numId w:val="39"/>
              </w:numPr>
              <w:autoSpaceDE w:val="0"/>
              <w:autoSpaceDN w:val="0"/>
              <w:spacing w:after="0" w:line="256" w:lineRule="auto"/>
              <w:ind w:firstLineChars="0"/>
              <w:jc w:val="both"/>
              <w:rPr>
                <w:sz w:val="22"/>
                <w:szCs w:val="18"/>
              </w:rPr>
            </w:pPr>
            <w:r w:rsidRPr="00E410EF">
              <w:rPr>
                <w:sz w:val="22"/>
                <w:szCs w:val="18"/>
              </w:rPr>
              <w:t>FFS: details of the channel type of the responding UE’s transmission(s)</w:t>
            </w:r>
          </w:p>
          <w:p w14:paraId="64709B2F" w14:textId="77777777" w:rsidR="00A330C4" w:rsidRPr="00E410EF" w:rsidRDefault="00A330C4" w:rsidP="00A330C4">
            <w:pPr>
              <w:pStyle w:val="a3"/>
              <w:numPr>
                <w:ilvl w:val="0"/>
                <w:numId w:val="39"/>
              </w:numPr>
              <w:autoSpaceDE w:val="0"/>
              <w:autoSpaceDN w:val="0"/>
              <w:spacing w:after="0" w:line="256" w:lineRule="auto"/>
              <w:ind w:firstLineChars="0"/>
              <w:jc w:val="both"/>
              <w:rPr>
                <w:sz w:val="22"/>
                <w:szCs w:val="18"/>
              </w:rPr>
            </w:pPr>
            <w:r w:rsidRPr="00E410EF">
              <w:rPr>
                <w:sz w:val="22"/>
                <w:szCs w:val="18"/>
              </w:rPr>
              <w:t>gNB relaying/forwarding a UE initiated COT to another UE is not supported in Rel-18</w:t>
            </w:r>
          </w:p>
          <w:p w14:paraId="4EFE539B" w14:textId="77777777" w:rsidR="00A330C4" w:rsidRPr="00E410EF" w:rsidRDefault="00A330C4" w:rsidP="00A330C4">
            <w:pPr>
              <w:pStyle w:val="a3"/>
              <w:numPr>
                <w:ilvl w:val="0"/>
                <w:numId w:val="39"/>
              </w:numPr>
              <w:autoSpaceDE w:val="0"/>
              <w:autoSpaceDN w:val="0"/>
              <w:spacing w:after="0" w:line="256" w:lineRule="auto"/>
              <w:ind w:firstLineChars="0"/>
              <w:jc w:val="both"/>
              <w:rPr>
                <w:sz w:val="22"/>
                <w:szCs w:val="18"/>
              </w:rPr>
            </w:pPr>
            <w:r w:rsidRPr="00E410EF">
              <w:rPr>
                <w:sz w:val="22"/>
                <w:szCs w:val="18"/>
              </w:rPr>
              <w:t>FFS whether a Mode 1 UE can report a COT or related information to gNB for aiding Mode 1 RA</w:t>
            </w:r>
          </w:p>
          <w:p w14:paraId="590C623F" w14:textId="70ED783F" w:rsidR="00A330C4" w:rsidRPr="00E410EF" w:rsidRDefault="00A330C4" w:rsidP="00A330C4">
            <w:pPr>
              <w:rPr>
                <w:sz w:val="22"/>
                <w:szCs w:val="18"/>
                <w:lang w:eastAsia="zh-CN"/>
              </w:rPr>
            </w:pPr>
          </w:p>
        </w:tc>
      </w:tr>
    </w:tbl>
    <w:p w14:paraId="464C7D06" w14:textId="6080FD3A" w:rsidR="00A330C4" w:rsidRPr="00A330C4" w:rsidRDefault="00A330C4" w:rsidP="003030A9">
      <w:pPr>
        <w:ind w:firstLineChars="150" w:firstLine="360"/>
        <w:rPr>
          <w:lang w:eastAsia="zh-CN"/>
        </w:rPr>
      </w:pPr>
      <w:r>
        <w:rPr>
          <w:rFonts w:hint="eastAsia"/>
          <w:lang w:eastAsia="zh-CN"/>
        </w:rPr>
        <w:lastRenderedPageBreak/>
        <w:t>I</w:t>
      </w:r>
      <w:r>
        <w:rPr>
          <w:lang w:eastAsia="zh-CN"/>
        </w:rPr>
        <w:t>n this document, we will present our considerations on FFS issues including CW adjustment</w:t>
      </w:r>
      <w:r w:rsidR="00FD06AF">
        <w:rPr>
          <w:lang w:eastAsia="zh-CN"/>
        </w:rPr>
        <w:t xml:space="preserve"> and </w:t>
      </w:r>
      <w:r>
        <w:rPr>
          <w:lang w:eastAsia="zh-CN"/>
        </w:rPr>
        <w:t>COT sharing</w:t>
      </w:r>
      <w:r w:rsidR="00D06D5D">
        <w:rPr>
          <w:lang w:eastAsia="zh-CN"/>
        </w:rPr>
        <w:t xml:space="preserve">. Observations and proposals are provided accordingly. </w:t>
      </w:r>
    </w:p>
    <w:p w14:paraId="6C387204" w14:textId="4569BFC6" w:rsidR="00357987" w:rsidRDefault="003E1FFD" w:rsidP="00357987">
      <w:pPr>
        <w:pStyle w:val="1"/>
        <w:rPr>
          <w:lang w:eastAsia="zh-CN"/>
        </w:rPr>
      </w:pPr>
      <w:r>
        <w:rPr>
          <w:lang w:eastAsia="zh-CN"/>
        </w:rPr>
        <w:t xml:space="preserve">Discussions </w:t>
      </w:r>
    </w:p>
    <w:p w14:paraId="5E979607" w14:textId="231BC569" w:rsidR="002F4CCB" w:rsidRPr="00A330C4" w:rsidRDefault="00A025EC" w:rsidP="00A330C4">
      <w:pPr>
        <w:pStyle w:val="2"/>
      </w:pPr>
      <w:r>
        <w:rPr>
          <w:rFonts w:hint="eastAsia"/>
        </w:rPr>
        <w:t>C</w:t>
      </w:r>
      <w:r>
        <w:t xml:space="preserve">W </w:t>
      </w:r>
      <w:r w:rsidR="00816161">
        <w:t>A</w:t>
      </w:r>
      <w:r>
        <w:t>djustment</w:t>
      </w:r>
    </w:p>
    <w:p w14:paraId="62042A20" w14:textId="7F6F80B0" w:rsidR="00A84D72" w:rsidRDefault="00357987" w:rsidP="00E410EF">
      <w:pPr>
        <w:ind w:firstLineChars="150" w:firstLine="360"/>
        <w:jc w:val="both"/>
      </w:pPr>
      <w:r>
        <w:rPr>
          <w:rFonts w:eastAsiaTheme="minorEastAsia"/>
          <w:szCs w:val="24"/>
          <w:lang w:val="en-AU" w:eastAsia="zh-CN"/>
        </w:rPr>
        <w:t xml:space="preserve">About how to </w:t>
      </w:r>
      <w:r>
        <w:t>determine CW size when SL-HARQ feedback is disabled in SCI, in our view, it is applicable and beneficial to adapt the CW size based on the channel busy ratio (</w:t>
      </w:r>
      <w:r w:rsidR="000F20ED">
        <w:t>CBR</w:t>
      </w:r>
      <w:r>
        <w:t xml:space="preserve">) measurement results. </w:t>
      </w:r>
      <w:r w:rsidR="000F20ED">
        <w:t xml:space="preserve">When the measured channel is busy, UE can enlarge the CW size to reduce the channel collision </w:t>
      </w:r>
      <w:r w:rsidR="008E566C">
        <w:t>possibility. And UE can reduce CW size to access the channel more quickly</w:t>
      </w:r>
      <w:r w:rsidR="00B13CD6">
        <w:t xml:space="preserve"> if the measured CBR level is low. </w:t>
      </w:r>
      <w:r w:rsidR="00A22960">
        <w:t>The CBR measurement is available for current SL UE andusually used for channel congestion control to determine the transmission parameters including transmit power</w:t>
      </w:r>
      <w:r w:rsidR="00861C2C">
        <w:t xml:space="preserve">, maximum retransmission time, maximum and minimum MCS, subchannel number limit and CR limit. We can </w:t>
      </w:r>
      <w:r w:rsidR="00823E79">
        <w:t>configure</w:t>
      </w:r>
      <w:r w:rsidR="00861C2C">
        <w:t xml:space="preserve"> CW size as one of transmission parameters </w:t>
      </w:r>
      <w:r w:rsidR="00EA0911">
        <w:t xml:space="preserve">in channel congestion control </w:t>
      </w:r>
      <w:r w:rsidR="00861C2C">
        <w:t xml:space="preserve">which are also associated to the transmission priority or access category level </w:t>
      </w:r>
      <w:r w:rsidR="00EA0911">
        <w:t xml:space="preserve">to determine </w:t>
      </w:r>
      <w:r w:rsidR="00823E79">
        <w:t xml:space="preserve">the CW size in case of disabled SL-HARQ feedback. </w:t>
      </w:r>
    </w:p>
    <w:p w14:paraId="537E5F80" w14:textId="6126AD25" w:rsidR="00823E79" w:rsidRPr="00294787" w:rsidRDefault="00823E79" w:rsidP="00F1528F">
      <w:pPr>
        <w:jc w:val="both"/>
        <w:rPr>
          <w:b/>
          <w:bCs/>
        </w:rPr>
      </w:pPr>
      <w:r w:rsidRPr="00294787">
        <w:rPr>
          <w:rFonts w:hint="eastAsia"/>
          <w:b/>
          <w:bCs/>
          <w:u w:val="single"/>
          <w:lang w:eastAsia="zh-CN"/>
        </w:rPr>
        <w:t>P</w:t>
      </w:r>
      <w:r w:rsidRPr="00294787">
        <w:rPr>
          <w:b/>
          <w:bCs/>
          <w:u w:val="single"/>
          <w:lang w:eastAsia="zh-CN"/>
        </w:rPr>
        <w:t>roposal 1:</w:t>
      </w:r>
      <w:r w:rsidRPr="00294787">
        <w:rPr>
          <w:b/>
          <w:bCs/>
          <w:lang w:eastAsia="zh-CN"/>
        </w:rPr>
        <w:t xml:space="preserve"> </w:t>
      </w:r>
      <w:r w:rsidR="00C57C81" w:rsidRPr="00294787">
        <w:rPr>
          <w:rFonts w:hint="eastAsia"/>
          <w:b/>
          <w:bCs/>
          <w:lang w:eastAsia="zh-CN"/>
        </w:rPr>
        <w:t>Propose</w:t>
      </w:r>
      <w:r w:rsidR="00C57C81" w:rsidRPr="00294787">
        <w:rPr>
          <w:b/>
          <w:bCs/>
          <w:lang w:eastAsia="zh-CN"/>
        </w:rPr>
        <w:t xml:space="preserve"> </w:t>
      </w:r>
      <w:r w:rsidR="00C57C81" w:rsidRPr="00294787">
        <w:rPr>
          <w:rFonts w:hint="eastAsia"/>
          <w:b/>
          <w:bCs/>
          <w:lang w:eastAsia="zh-CN"/>
        </w:rPr>
        <w:t>to</w:t>
      </w:r>
      <w:r w:rsidR="00C57C81" w:rsidRPr="00294787">
        <w:rPr>
          <w:b/>
          <w:bCs/>
          <w:lang w:eastAsia="zh-CN"/>
        </w:rPr>
        <w:t xml:space="preserve"> </w:t>
      </w:r>
      <w:r w:rsidR="00C57C81" w:rsidRPr="00294787">
        <w:rPr>
          <w:b/>
          <w:bCs/>
        </w:rPr>
        <w:t>configure CW size as one of transmission parameters in channel congestion control</w:t>
      </w:r>
      <w:r w:rsidR="00104F01">
        <w:rPr>
          <w:b/>
          <w:bCs/>
        </w:rPr>
        <w:t xml:space="preserve"> based on CBR measurement</w:t>
      </w:r>
      <w:r w:rsidR="00C57C81" w:rsidRPr="00294787">
        <w:rPr>
          <w:b/>
          <w:bCs/>
          <w:lang w:eastAsia="zh-CN"/>
        </w:rPr>
        <w:t xml:space="preserve">, </w:t>
      </w:r>
      <w:r w:rsidR="00C57C81" w:rsidRPr="00294787">
        <w:rPr>
          <w:b/>
          <w:bCs/>
        </w:rPr>
        <w:t>associated to the transmission priority or access category level to determine the CW size in case of disabled SL-HARQ feedback.</w:t>
      </w:r>
    </w:p>
    <w:p w14:paraId="55C41E7A" w14:textId="77777777" w:rsidR="00A025EC" w:rsidRDefault="00C57C81" w:rsidP="003E1FFD">
      <w:pPr>
        <w:ind w:firstLineChars="150" w:firstLine="360"/>
        <w:jc w:val="both"/>
        <w:rPr>
          <w:lang w:eastAsia="zh-CN"/>
        </w:rPr>
      </w:pPr>
      <w:r>
        <w:rPr>
          <w:rFonts w:hint="eastAsia"/>
          <w:lang w:eastAsia="zh-CN"/>
        </w:rPr>
        <w:t>A</w:t>
      </w:r>
      <w:r>
        <w:rPr>
          <w:lang w:eastAsia="zh-CN"/>
        </w:rPr>
        <w:t>s for the groupcast</w:t>
      </w:r>
      <w:r w:rsidR="007C0276">
        <w:rPr>
          <w:lang w:eastAsia="zh-CN"/>
        </w:rPr>
        <w:t xml:space="preserve"> </w:t>
      </w:r>
      <w:r w:rsidR="007C0276">
        <w:rPr>
          <w:rFonts w:hint="eastAsia"/>
          <w:lang w:eastAsia="zh-CN"/>
        </w:rPr>
        <w:t>scenario</w:t>
      </w:r>
      <w:r>
        <w:rPr>
          <w:lang w:eastAsia="zh-CN"/>
        </w:rPr>
        <w:t>, it is obviously that</w:t>
      </w:r>
      <w:r w:rsidR="007C0276">
        <w:rPr>
          <w:lang w:eastAsia="zh-CN"/>
        </w:rPr>
        <w:t xml:space="preserve"> the </w:t>
      </w:r>
      <w:r w:rsidR="007C0276">
        <w:rPr>
          <w:rFonts w:hint="eastAsia"/>
          <w:lang w:eastAsia="zh-CN"/>
        </w:rPr>
        <w:t>reliability</w:t>
      </w:r>
      <w:r w:rsidR="007C0276">
        <w:rPr>
          <w:lang w:eastAsia="zh-CN"/>
        </w:rPr>
        <w:t xml:space="preserve"> </w:t>
      </w:r>
      <w:r w:rsidR="007C0276">
        <w:rPr>
          <w:rFonts w:hint="eastAsia"/>
          <w:lang w:eastAsia="zh-CN"/>
        </w:rPr>
        <w:t>of</w:t>
      </w:r>
      <w:r w:rsidR="007C0276">
        <w:rPr>
          <w:lang w:eastAsia="zh-CN"/>
        </w:rPr>
        <w:t xml:space="preserve"> </w:t>
      </w:r>
      <w:r w:rsidR="007C0276">
        <w:rPr>
          <w:rFonts w:hint="eastAsia"/>
          <w:lang w:eastAsia="zh-CN"/>
        </w:rPr>
        <w:t>the</w:t>
      </w:r>
      <w:r w:rsidR="007C0276">
        <w:rPr>
          <w:lang w:eastAsia="zh-CN"/>
        </w:rPr>
        <w:t xml:space="preserve"> </w:t>
      </w:r>
      <w:r w:rsidR="007C0276">
        <w:rPr>
          <w:rFonts w:hint="eastAsia"/>
          <w:lang w:eastAsia="zh-CN"/>
        </w:rPr>
        <w:t>HARQ</w:t>
      </w:r>
      <w:r w:rsidR="007C0276">
        <w:rPr>
          <w:lang w:eastAsia="zh-CN"/>
        </w:rPr>
        <w:t xml:space="preserve"> </w:t>
      </w:r>
      <w:r w:rsidR="007C0276">
        <w:rPr>
          <w:rFonts w:hint="eastAsia"/>
          <w:lang w:eastAsia="zh-CN"/>
        </w:rPr>
        <w:t>feedback</w:t>
      </w:r>
      <w:r w:rsidR="007C0276">
        <w:rPr>
          <w:lang w:eastAsia="zh-CN"/>
        </w:rPr>
        <w:t xml:space="preserve"> </w:t>
      </w:r>
      <w:r w:rsidR="007C0276">
        <w:rPr>
          <w:rFonts w:hint="eastAsia"/>
          <w:lang w:eastAsia="zh-CN"/>
        </w:rPr>
        <w:t>would</w:t>
      </w:r>
      <w:r w:rsidR="007C0276">
        <w:rPr>
          <w:lang w:eastAsia="zh-CN"/>
        </w:rPr>
        <w:t xml:space="preserve"> </w:t>
      </w:r>
      <w:r w:rsidR="007C0276">
        <w:rPr>
          <w:rFonts w:hint="eastAsia"/>
          <w:lang w:eastAsia="zh-CN"/>
        </w:rPr>
        <w:t>be</w:t>
      </w:r>
      <w:r w:rsidR="007C0276">
        <w:rPr>
          <w:lang w:eastAsia="zh-CN"/>
        </w:rPr>
        <w:t xml:space="preserve"> </w:t>
      </w:r>
      <w:r w:rsidR="007C0276">
        <w:rPr>
          <w:rFonts w:hint="eastAsia"/>
          <w:lang w:eastAsia="zh-CN"/>
        </w:rPr>
        <w:t>strongly</w:t>
      </w:r>
      <w:r w:rsidR="007C0276">
        <w:rPr>
          <w:lang w:eastAsia="zh-CN"/>
        </w:rPr>
        <w:t xml:space="preserve"> </w:t>
      </w:r>
      <w:r w:rsidR="007C0276">
        <w:rPr>
          <w:rFonts w:hint="eastAsia"/>
          <w:lang w:eastAsia="zh-CN"/>
        </w:rPr>
        <w:t>affected</w:t>
      </w:r>
      <w:r w:rsidR="007C0276">
        <w:rPr>
          <w:lang w:eastAsia="zh-CN"/>
        </w:rPr>
        <w:t xml:space="preserve"> </w:t>
      </w:r>
      <w:r w:rsidR="007C0276">
        <w:rPr>
          <w:rFonts w:hint="eastAsia"/>
          <w:lang w:eastAsia="zh-CN"/>
        </w:rPr>
        <w:t>by</w:t>
      </w:r>
      <w:r w:rsidR="007C0276">
        <w:rPr>
          <w:lang w:eastAsia="zh-CN"/>
        </w:rPr>
        <w:t xml:space="preserve"> </w:t>
      </w:r>
      <w:r w:rsidR="007C0276">
        <w:rPr>
          <w:rFonts w:hint="eastAsia"/>
          <w:lang w:eastAsia="zh-CN"/>
        </w:rPr>
        <w:t>the</w:t>
      </w:r>
      <w:r w:rsidR="007C0276">
        <w:rPr>
          <w:lang w:eastAsia="zh-CN"/>
        </w:rPr>
        <w:t xml:space="preserve"> </w:t>
      </w:r>
      <w:r w:rsidR="007C0276">
        <w:rPr>
          <w:rFonts w:hint="eastAsia"/>
          <w:lang w:eastAsia="zh-CN"/>
        </w:rPr>
        <w:t>unexpected</w:t>
      </w:r>
      <w:r w:rsidR="007C0276">
        <w:rPr>
          <w:lang w:eastAsia="zh-CN"/>
        </w:rPr>
        <w:t xml:space="preserve"> </w:t>
      </w:r>
      <w:r>
        <w:rPr>
          <w:lang w:eastAsia="zh-CN"/>
        </w:rPr>
        <w:t>channel access</w:t>
      </w:r>
      <w:r w:rsidR="007C0276">
        <w:rPr>
          <w:lang w:eastAsia="zh-CN"/>
        </w:rPr>
        <w:t xml:space="preserve"> </w:t>
      </w:r>
      <w:r w:rsidR="007C0276">
        <w:rPr>
          <w:rFonts w:hint="eastAsia"/>
          <w:lang w:eastAsia="zh-CN"/>
        </w:rPr>
        <w:t>states</w:t>
      </w:r>
      <w:r w:rsidR="007C0276">
        <w:rPr>
          <w:lang w:eastAsia="zh-CN"/>
        </w:rPr>
        <w:t xml:space="preserve"> </w:t>
      </w:r>
      <w:r w:rsidR="007C0276">
        <w:rPr>
          <w:rFonts w:hint="eastAsia"/>
          <w:lang w:eastAsia="zh-CN"/>
        </w:rPr>
        <w:t>for</w:t>
      </w:r>
      <w:r w:rsidR="007C0276">
        <w:rPr>
          <w:lang w:eastAsia="zh-CN"/>
        </w:rPr>
        <w:t xml:space="preserve"> </w:t>
      </w:r>
      <w:r w:rsidR="007C0276">
        <w:rPr>
          <w:rFonts w:hint="eastAsia"/>
          <w:lang w:eastAsia="zh-CN"/>
        </w:rPr>
        <w:t>PSFCH</w:t>
      </w:r>
      <w:r w:rsidR="007C0276">
        <w:rPr>
          <w:lang w:eastAsia="zh-CN"/>
        </w:rPr>
        <w:t xml:space="preserve"> </w:t>
      </w:r>
      <w:r w:rsidR="007C0276">
        <w:rPr>
          <w:rFonts w:hint="eastAsia"/>
          <w:lang w:eastAsia="zh-CN"/>
        </w:rPr>
        <w:t>transmissions</w:t>
      </w:r>
      <w:r w:rsidR="007C0276">
        <w:rPr>
          <w:lang w:eastAsia="zh-CN"/>
        </w:rPr>
        <w:t xml:space="preserve"> </w:t>
      </w:r>
      <w:r w:rsidR="007C0276">
        <w:rPr>
          <w:rFonts w:hint="eastAsia"/>
          <w:lang w:eastAsia="zh-CN"/>
        </w:rPr>
        <w:t>of</w:t>
      </w:r>
      <w:r w:rsidR="007C0276">
        <w:rPr>
          <w:lang w:eastAsia="zh-CN"/>
        </w:rPr>
        <w:t xml:space="preserve"> </w:t>
      </w:r>
      <w:r w:rsidR="00AE07EC">
        <w:rPr>
          <w:lang w:eastAsia="zh-CN"/>
        </w:rPr>
        <w:t xml:space="preserve">a number of </w:t>
      </w:r>
      <w:r w:rsidR="007C0276">
        <w:rPr>
          <w:rFonts w:hint="eastAsia"/>
          <w:lang w:eastAsia="zh-CN"/>
        </w:rPr>
        <w:t>groupcast</w:t>
      </w:r>
      <w:r w:rsidR="007C0276">
        <w:rPr>
          <w:lang w:eastAsia="zh-CN"/>
        </w:rPr>
        <w:t xml:space="preserve"> receiv</w:t>
      </w:r>
      <w:r w:rsidR="007C0276">
        <w:rPr>
          <w:rFonts w:hint="eastAsia"/>
          <w:lang w:eastAsia="zh-CN"/>
        </w:rPr>
        <w:t>ers</w:t>
      </w:r>
      <w:r w:rsidR="007C0276">
        <w:rPr>
          <w:lang w:eastAsia="zh-CN"/>
        </w:rPr>
        <w:t xml:space="preserve"> </w:t>
      </w:r>
      <w:r w:rsidR="007C0276">
        <w:rPr>
          <w:rFonts w:hint="eastAsia"/>
          <w:lang w:eastAsia="zh-CN"/>
        </w:rPr>
        <w:t>due</w:t>
      </w:r>
      <w:r w:rsidR="007C0276">
        <w:rPr>
          <w:lang w:eastAsia="zh-CN"/>
        </w:rPr>
        <w:t xml:space="preserve"> </w:t>
      </w:r>
      <w:r w:rsidR="007C0276">
        <w:rPr>
          <w:rFonts w:hint="eastAsia"/>
          <w:lang w:eastAsia="zh-CN"/>
        </w:rPr>
        <w:t>to</w:t>
      </w:r>
      <w:r w:rsidR="007C0276">
        <w:rPr>
          <w:lang w:eastAsia="zh-CN"/>
        </w:rPr>
        <w:t xml:space="preserve"> </w:t>
      </w:r>
      <w:r w:rsidR="007C0276">
        <w:rPr>
          <w:rFonts w:hint="eastAsia"/>
          <w:lang w:eastAsia="zh-CN"/>
        </w:rPr>
        <w:t>LBT.</w:t>
      </w:r>
      <w:r w:rsidR="007C0276">
        <w:rPr>
          <w:lang w:eastAsia="zh-CN"/>
        </w:rPr>
        <w:t xml:space="preserve"> </w:t>
      </w:r>
      <w:r w:rsidR="00A60C47">
        <w:rPr>
          <w:lang w:eastAsia="zh-CN"/>
        </w:rPr>
        <w:t>Therefore, the HARQ feedback mechanism might be enhanced for groupcast, which is under discussion in the parallel item 9.4.1.2. We suggest to discuss the CW size determination method for groupcast with HARQ feedback after the HARQ feedback mechanism enha</w:t>
      </w:r>
      <w:r w:rsidR="00AE07EC">
        <w:rPr>
          <w:lang w:eastAsia="zh-CN"/>
        </w:rPr>
        <w:t xml:space="preserve">ncement </w:t>
      </w:r>
      <w:r w:rsidR="00A60C47">
        <w:rPr>
          <w:lang w:eastAsia="zh-CN"/>
        </w:rPr>
        <w:t xml:space="preserve">is well </w:t>
      </w:r>
      <w:r w:rsidR="00AE07EC">
        <w:rPr>
          <w:lang w:eastAsia="zh-CN"/>
        </w:rPr>
        <w:t xml:space="preserve">discussed. </w:t>
      </w:r>
      <w:r w:rsidR="00A025EC">
        <w:rPr>
          <w:lang w:eastAsia="zh-CN"/>
        </w:rPr>
        <w:t>In addition, i</w:t>
      </w:r>
      <w:r w:rsidR="00AE07EC">
        <w:rPr>
          <w:lang w:eastAsia="zh-CN"/>
        </w:rPr>
        <w:t>f the reliability of HARQ feedback for groupcast</w:t>
      </w:r>
      <w:r w:rsidR="00A025EC">
        <w:rPr>
          <w:lang w:eastAsia="zh-CN"/>
        </w:rPr>
        <w:t xml:space="preserve"> is unaccepted, then we can adopt CW size determination method for transmissions without HARQ feedback to groupcast with HARQ feedback.</w:t>
      </w:r>
    </w:p>
    <w:p w14:paraId="61BAADC7" w14:textId="267B97EF" w:rsidR="00A025EC" w:rsidRDefault="00A025EC" w:rsidP="00F1528F">
      <w:pPr>
        <w:jc w:val="both"/>
        <w:rPr>
          <w:b/>
          <w:bCs/>
          <w:lang w:eastAsia="zh-CN"/>
        </w:rPr>
      </w:pPr>
      <w:r w:rsidRPr="00A025EC">
        <w:rPr>
          <w:b/>
          <w:bCs/>
          <w:u w:val="single"/>
          <w:lang w:eastAsia="zh-CN"/>
        </w:rPr>
        <w:t xml:space="preserve">Proposal2: </w:t>
      </w:r>
      <w:r w:rsidRPr="00A025EC">
        <w:rPr>
          <w:b/>
          <w:bCs/>
          <w:lang w:eastAsia="zh-CN"/>
        </w:rPr>
        <w:t>It is suggested to discuss the CW size determination method for groupcast with HARQ feedback after the HARQ feedback mechanism enhancement is well discussed.</w:t>
      </w:r>
      <w:r w:rsidR="007C0276" w:rsidRPr="00A025EC">
        <w:rPr>
          <w:b/>
          <w:bCs/>
          <w:lang w:eastAsia="zh-CN"/>
        </w:rPr>
        <w:t xml:space="preserve">   </w:t>
      </w:r>
      <w:r w:rsidR="00C57C81" w:rsidRPr="00A025EC">
        <w:rPr>
          <w:b/>
          <w:bCs/>
          <w:lang w:eastAsia="zh-CN"/>
        </w:rPr>
        <w:t xml:space="preserve"> </w:t>
      </w:r>
    </w:p>
    <w:p w14:paraId="6E8078C6" w14:textId="77777777" w:rsidR="000B1648" w:rsidRPr="000B1648" w:rsidRDefault="000B1648" w:rsidP="000B1648">
      <w:pPr>
        <w:ind w:firstLineChars="150" w:firstLine="361"/>
        <w:jc w:val="both"/>
        <w:rPr>
          <w:b/>
          <w:bCs/>
          <w:lang w:eastAsia="zh-CN"/>
        </w:rPr>
      </w:pPr>
    </w:p>
    <w:p w14:paraId="57886ADA" w14:textId="394796E2" w:rsidR="00A025EC" w:rsidRPr="00A025EC" w:rsidRDefault="00816161" w:rsidP="00A025EC">
      <w:pPr>
        <w:pStyle w:val="2"/>
      </w:pPr>
      <w:r>
        <w:t xml:space="preserve">COT Sharing </w:t>
      </w:r>
    </w:p>
    <w:p w14:paraId="4B0DA281" w14:textId="77777777" w:rsidR="003F1F18" w:rsidRDefault="00F024A3" w:rsidP="003E1FFD">
      <w:pPr>
        <w:ind w:firstLineChars="150" w:firstLine="360"/>
        <w:jc w:val="both"/>
        <w:rPr>
          <w:rFonts w:cs="Times"/>
        </w:rPr>
      </w:pPr>
      <w:r>
        <w:rPr>
          <w:rFonts w:eastAsiaTheme="minorEastAsia" w:hint="eastAsia"/>
          <w:szCs w:val="24"/>
          <w:lang w:val="en-AU" w:eastAsia="zh-CN"/>
        </w:rPr>
        <w:t>I</w:t>
      </w:r>
      <w:r>
        <w:rPr>
          <w:rFonts w:eastAsiaTheme="minorEastAsia"/>
          <w:szCs w:val="24"/>
          <w:lang w:val="en-AU" w:eastAsia="zh-CN"/>
        </w:rPr>
        <w:t xml:space="preserve">n order to </w:t>
      </w:r>
      <w:r w:rsidR="00E271EC">
        <w:rPr>
          <w:rFonts w:eastAsiaTheme="minorEastAsia"/>
          <w:szCs w:val="24"/>
          <w:lang w:val="en-AU" w:eastAsia="zh-CN"/>
        </w:rPr>
        <w:t xml:space="preserve">enable SL-U UE to access channel more efficiently, </w:t>
      </w:r>
      <w:r w:rsidR="00E271EC" w:rsidRPr="003F56DF">
        <w:rPr>
          <w:rFonts w:cs="Times"/>
        </w:rPr>
        <w:t>UE-to-UE COT sharing</w:t>
      </w:r>
      <w:r w:rsidR="00E271EC">
        <w:rPr>
          <w:rFonts w:cs="Times"/>
        </w:rPr>
        <w:t xml:space="preserve"> is supported, for which a UE can access </w:t>
      </w:r>
      <w:r w:rsidR="003F1F18">
        <w:rPr>
          <w:rFonts w:cs="Times"/>
        </w:rPr>
        <w:t xml:space="preserve">the </w:t>
      </w:r>
      <w:r w:rsidR="00E271EC">
        <w:rPr>
          <w:rFonts w:cs="Times"/>
        </w:rPr>
        <w:t>channel with COT sharing</w:t>
      </w:r>
      <w:r w:rsidR="003F1F18">
        <w:rPr>
          <w:rFonts w:cs="Times"/>
        </w:rPr>
        <w:t xml:space="preserve"> initiated by another UE</w:t>
      </w:r>
      <w:r w:rsidR="00E271EC">
        <w:rPr>
          <w:rFonts w:cs="Times"/>
        </w:rPr>
        <w:t>.</w:t>
      </w:r>
      <w:r w:rsidR="00A547FF">
        <w:rPr>
          <w:rFonts w:cs="Times"/>
        </w:rPr>
        <w:t xml:space="preserve"> More details to apply UE-to-UE COT sharing </w:t>
      </w:r>
      <w:r w:rsidR="003F1F18">
        <w:rPr>
          <w:rFonts w:cs="Times"/>
        </w:rPr>
        <w:t xml:space="preserve">need to be discussed and specified. </w:t>
      </w:r>
    </w:p>
    <w:p w14:paraId="1EE00A33" w14:textId="3625CBA7" w:rsidR="00823E79" w:rsidRPr="004528C8" w:rsidRDefault="00E271EC" w:rsidP="004528C8">
      <w:pPr>
        <w:pStyle w:val="3"/>
      </w:pPr>
      <w:r w:rsidRPr="004528C8">
        <w:lastRenderedPageBreak/>
        <w:t xml:space="preserve"> </w:t>
      </w:r>
      <w:r w:rsidR="004528C8" w:rsidRPr="004528C8">
        <w:t>COT Sharing in Mode 1 RA</w:t>
      </w:r>
    </w:p>
    <w:p w14:paraId="78E13D4B" w14:textId="27BDA751" w:rsidR="00990F55" w:rsidRPr="00C52094" w:rsidRDefault="00FA4489" w:rsidP="001C0565">
      <w:pPr>
        <w:ind w:firstLineChars="100" w:firstLine="240"/>
        <w:jc w:val="both"/>
        <w:rPr>
          <w:lang w:val="en-US" w:eastAsia="zh-CN"/>
        </w:rPr>
      </w:pPr>
      <w:bookmarkStart w:id="0" w:name="OLE_LINK1"/>
      <w:r>
        <w:rPr>
          <w:lang w:eastAsia="zh-CN"/>
        </w:rPr>
        <w:t xml:space="preserve">For Mode 1 RA for which the SL resources are allocated by gNB, we notice that if </w:t>
      </w:r>
      <w:r w:rsidR="00E94640">
        <w:rPr>
          <w:lang w:eastAsia="zh-CN"/>
        </w:rPr>
        <w:t>a SL UE is not indicated of the information about LBT type, inter-UE blocking would happen</w:t>
      </w:r>
      <w:r w:rsidR="00135AF3">
        <w:rPr>
          <w:lang w:eastAsia="zh-CN"/>
        </w:rPr>
        <w:t xml:space="preserve"> as shown in Fig.1</w:t>
      </w:r>
      <w:r w:rsidR="00E94640">
        <w:rPr>
          <w:lang w:eastAsia="zh-CN"/>
        </w:rPr>
        <w:t xml:space="preserve">, which should be avoided. </w:t>
      </w:r>
      <w:r w:rsidR="00135AF3">
        <w:rPr>
          <w:lang w:eastAsia="zh-CN"/>
        </w:rPr>
        <w:t xml:space="preserve">This issue could be solved through UE-UE COT sharing and </w:t>
      </w:r>
      <w:r w:rsidR="00135AF3">
        <w:rPr>
          <w:rFonts w:hint="eastAsia"/>
          <w:lang w:eastAsia="zh-CN"/>
        </w:rPr>
        <w:t>gNB-UE</w:t>
      </w:r>
      <w:r w:rsidR="00135AF3">
        <w:rPr>
          <w:lang w:eastAsia="zh-CN"/>
        </w:rPr>
        <w:t xml:space="preserve"> </w:t>
      </w:r>
      <w:r w:rsidR="00135AF3">
        <w:rPr>
          <w:rFonts w:hint="eastAsia"/>
          <w:lang w:eastAsia="zh-CN"/>
        </w:rPr>
        <w:t>COT</w:t>
      </w:r>
      <w:r w:rsidR="00135AF3">
        <w:rPr>
          <w:lang w:eastAsia="zh-CN"/>
        </w:rPr>
        <w:t xml:space="preserve"> </w:t>
      </w:r>
      <w:r w:rsidR="00135AF3">
        <w:rPr>
          <w:rFonts w:hint="eastAsia"/>
          <w:lang w:eastAsia="zh-CN"/>
        </w:rPr>
        <w:t>sharing</w:t>
      </w:r>
      <w:r w:rsidR="00135AF3">
        <w:rPr>
          <w:lang w:eastAsia="zh-CN"/>
        </w:rPr>
        <w:t xml:space="preserve">, assuming that gNB </w:t>
      </w:r>
      <w:r w:rsidR="003514DE">
        <w:rPr>
          <w:lang w:eastAsia="zh-CN"/>
        </w:rPr>
        <w:t xml:space="preserve">can </w:t>
      </w:r>
      <w:r w:rsidR="00A44471">
        <w:rPr>
          <w:lang w:eastAsia="zh-CN"/>
        </w:rPr>
        <w:t>be aware</w:t>
      </w:r>
      <w:r w:rsidR="003514DE">
        <w:rPr>
          <w:lang w:eastAsia="zh-CN"/>
        </w:rPr>
        <w:t xml:space="preserve"> </w:t>
      </w:r>
      <w:r w:rsidR="00A44471">
        <w:rPr>
          <w:lang w:eastAsia="zh-CN"/>
        </w:rPr>
        <w:t xml:space="preserve">of </w:t>
      </w:r>
      <w:r w:rsidR="003514DE">
        <w:rPr>
          <w:lang w:eastAsia="zh-CN"/>
        </w:rPr>
        <w:t xml:space="preserve">the channel </w:t>
      </w:r>
      <w:r w:rsidR="00A44471">
        <w:rPr>
          <w:lang w:eastAsia="zh-CN"/>
        </w:rPr>
        <w:t xml:space="preserve">state of SL through sensing or assistant </w:t>
      </w:r>
      <w:r w:rsidR="00C52094">
        <w:rPr>
          <w:lang w:val="en-US" w:eastAsia="zh-CN"/>
        </w:rPr>
        <w:t xml:space="preserve">information from UE. </w:t>
      </w:r>
      <w:r w:rsidR="009E2ED4">
        <w:rPr>
          <w:lang w:val="en-US" w:eastAsia="zh-CN"/>
        </w:rPr>
        <w:t xml:space="preserve">Therefore, </w:t>
      </w:r>
      <w:r w:rsidR="00990F55">
        <w:rPr>
          <w:lang w:val="en-US" w:eastAsia="zh-CN"/>
        </w:rPr>
        <w:t xml:space="preserve">we suggest to support </w:t>
      </w:r>
      <w:r w:rsidR="00990F55">
        <w:rPr>
          <w:rFonts w:hint="eastAsia"/>
          <w:lang w:val="en-US" w:eastAsia="zh-CN"/>
        </w:rPr>
        <w:t>gNB-UE</w:t>
      </w:r>
      <w:r w:rsidR="00990F55">
        <w:rPr>
          <w:lang w:val="en-US" w:eastAsia="zh-CN"/>
        </w:rPr>
        <w:t xml:space="preserve"> </w:t>
      </w:r>
      <w:r w:rsidR="00990F55">
        <w:rPr>
          <w:rFonts w:hint="eastAsia"/>
          <w:lang w:val="en-US" w:eastAsia="zh-CN"/>
        </w:rPr>
        <w:t>COT</w:t>
      </w:r>
      <w:r w:rsidR="00990F55">
        <w:rPr>
          <w:lang w:val="en-US" w:eastAsia="zh-CN"/>
        </w:rPr>
        <w:t xml:space="preserve"> </w:t>
      </w:r>
      <w:r w:rsidR="00990F55">
        <w:rPr>
          <w:rFonts w:hint="eastAsia"/>
          <w:lang w:val="en-US" w:eastAsia="zh-CN"/>
        </w:rPr>
        <w:t>sharing</w:t>
      </w:r>
      <w:r w:rsidR="00990F55">
        <w:rPr>
          <w:lang w:val="en-US" w:eastAsia="zh-CN"/>
        </w:rPr>
        <w:t xml:space="preserve"> or</w:t>
      </w:r>
      <w:r w:rsidR="00990F55">
        <w:rPr>
          <w:rFonts w:hint="eastAsia"/>
          <w:lang w:val="en-US" w:eastAsia="zh-CN"/>
        </w:rPr>
        <w:t xml:space="preserve"> </w:t>
      </w:r>
      <w:r w:rsidR="00990F55">
        <w:rPr>
          <w:lang w:val="en-US" w:eastAsia="zh-CN"/>
        </w:rPr>
        <w:t xml:space="preserve">UE-UE COT sharing for Mode1 RA. If UE-UE COT sharing is supported here, the mechanism should be designed same as </w:t>
      </w:r>
      <w:r w:rsidR="003455C6">
        <w:rPr>
          <w:lang w:val="en-US" w:eastAsia="zh-CN"/>
        </w:rPr>
        <w:t xml:space="preserve">the </w:t>
      </w:r>
      <w:r w:rsidR="00990F55">
        <w:rPr>
          <w:lang w:val="en-US" w:eastAsia="zh-CN"/>
        </w:rPr>
        <w:t xml:space="preserve">case of Mode 2 RA.  </w:t>
      </w:r>
    </w:p>
    <w:p w14:paraId="0578DE30" w14:textId="77777777" w:rsidR="000F1F28" w:rsidRDefault="000F1F28" w:rsidP="000F1F28">
      <w:pPr>
        <w:keepNext/>
        <w:ind w:firstLineChars="100" w:firstLine="240"/>
        <w:jc w:val="center"/>
      </w:pPr>
      <w:r>
        <w:rPr>
          <w:noProof/>
        </w:rPr>
        <w:drawing>
          <wp:inline distT="0" distB="0" distL="0" distR="0" wp14:anchorId="62BD0484" wp14:editId="133ECEBB">
            <wp:extent cx="3079699" cy="1754438"/>
            <wp:effectExtent l="0" t="0" r="6985" b="0"/>
            <wp:docPr id="1"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r:embed="rId9"/>
                        </a:ext>
                      </a:extLst>
                    </a:blip>
                    <a:stretch>
                      <a:fillRect/>
                    </a:stretch>
                  </pic:blipFill>
                  <pic:spPr>
                    <a:xfrm>
                      <a:off x="0" y="0"/>
                      <a:ext cx="3093408" cy="1762248"/>
                    </a:xfrm>
                    <a:prstGeom prst="rect">
                      <a:avLst/>
                    </a:prstGeom>
                  </pic:spPr>
                </pic:pic>
              </a:graphicData>
            </a:graphic>
          </wp:inline>
        </w:drawing>
      </w:r>
    </w:p>
    <w:p w14:paraId="52E4DA16" w14:textId="15E9E944" w:rsidR="0099618C" w:rsidRDefault="000F1F28" w:rsidP="000F1F28">
      <w:pPr>
        <w:pStyle w:val="a6"/>
        <w:jc w:val="center"/>
      </w:pPr>
      <w:r>
        <w:t xml:space="preserve">FIG. </w:t>
      </w:r>
      <w:r>
        <w:fldChar w:fldCharType="begin"/>
      </w:r>
      <w:r>
        <w:instrText xml:space="preserve"> SEQ FIG. \* ARABIC </w:instrText>
      </w:r>
      <w:r>
        <w:fldChar w:fldCharType="separate"/>
      </w:r>
      <w:r w:rsidR="008823DD">
        <w:rPr>
          <w:noProof/>
        </w:rPr>
        <w:t>1</w:t>
      </w:r>
      <w:r>
        <w:fldChar w:fldCharType="end"/>
      </w:r>
      <w:r>
        <w:t xml:space="preserve"> </w:t>
      </w:r>
      <w:r w:rsidR="004C7965">
        <w:t xml:space="preserve">Inter-UE blocking </w:t>
      </w:r>
      <w:r w:rsidR="008823DD">
        <w:t xml:space="preserve">issue </w:t>
      </w:r>
      <w:r w:rsidR="004C7965">
        <w:t>in Mode 1 RA</w:t>
      </w:r>
    </w:p>
    <w:p w14:paraId="430C9506" w14:textId="482DADAC" w:rsidR="00986A50" w:rsidRDefault="00986A50" w:rsidP="001C0565">
      <w:pPr>
        <w:jc w:val="both"/>
        <w:rPr>
          <w:b/>
          <w:bCs/>
          <w:lang w:eastAsia="zh-CN"/>
        </w:rPr>
      </w:pPr>
      <w:r w:rsidRPr="00A025EC">
        <w:rPr>
          <w:b/>
          <w:bCs/>
          <w:u w:val="single"/>
          <w:lang w:eastAsia="zh-CN"/>
        </w:rPr>
        <w:t>Proposal</w:t>
      </w:r>
      <w:r>
        <w:rPr>
          <w:b/>
          <w:bCs/>
          <w:u w:val="single"/>
          <w:lang w:eastAsia="zh-CN"/>
        </w:rPr>
        <w:t>3</w:t>
      </w:r>
      <w:r w:rsidRPr="00A025EC">
        <w:rPr>
          <w:b/>
          <w:bCs/>
          <w:u w:val="single"/>
          <w:lang w:eastAsia="zh-CN"/>
        </w:rPr>
        <w:t xml:space="preserve">: </w:t>
      </w:r>
      <w:r w:rsidR="004253E4" w:rsidRPr="004253E4">
        <w:rPr>
          <w:b/>
          <w:bCs/>
          <w:lang w:eastAsia="zh-CN"/>
        </w:rPr>
        <w:t>In order to avoid inter-UE blocking</w:t>
      </w:r>
      <w:r w:rsidR="009E7514">
        <w:rPr>
          <w:b/>
          <w:bCs/>
          <w:lang w:eastAsia="zh-CN"/>
        </w:rPr>
        <w:t xml:space="preserve"> issue,</w:t>
      </w:r>
      <w:r w:rsidR="004253E4" w:rsidRPr="004253E4">
        <w:rPr>
          <w:b/>
          <w:bCs/>
          <w:lang w:eastAsia="zh-CN"/>
        </w:rPr>
        <w:t xml:space="preserve"> </w:t>
      </w:r>
      <w:r w:rsidR="009E7514">
        <w:rPr>
          <w:b/>
          <w:bCs/>
          <w:lang w:eastAsia="zh-CN"/>
        </w:rPr>
        <w:t>i</w:t>
      </w:r>
      <w:r w:rsidR="004253E4">
        <w:rPr>
          <w:b/>
          <w:bCs/>
          <w:lang w:eastAsia="zh-CN"/>
        </w:rPr>
        <w:t>t is suggested to introduce gNB-UE COT sharing or UE</w:t>
      </w:r>
      <w:r w:rsidR="009E7514">
        <w:rPr>
          <w:b/>
          <w:bCs/>
          <w:lang w:eastAsia="zh-CN"/>
        </w:rPr>
        <w:t>-UE COT sharing for Mode 1 RA, where the designed UE-UE COT sharing can also be applied to Mode 2 RA</w:t>
      </w:r>
      <w:r w:rsidRPr="00A025EC">
        <w:rPr>
          <w:b/>
          <w:bCs/>
          <w:lang w:eastAsia="zh-CN"/>
        </w:rPr>
        <w:t>.</w:t>
      </w:r>
    </w:p>
    <w:p w14:paraId="1B6C7BF3" w14:textId="2C913260" w:rsidR="009E7514" w:rsidRDefault="009E7514" w:rsidP="00986A50">
      <w:pPr>
        <w:rPr>
          <w:b/>
          <w:bCs/>
          <w:lang w:eastAsia="zh-CN"/>
        </w:rPr>
      </w:pPr>
    </w:p>
    <w:p w14:paraId="49C82507" w14:textId="32092606" w:rsidR="009E7514" w:rsidRDefault="00E01C67" w:rsidP="009E7514">
      <w:pPr>
        <w:pStyle w:val="3"/>
      </w:pPr>
      <w:r>
        <w:t xml:space="preserve">Responding UE for </w:t>
      </w:r>
      <w:r w:rsidR="009E7514" w:rsidRPr="004528C8">
        <w:t xml:space="preserve">COT Sharing </w:t>
      </w:r>
    </w:p>
    <w:p w14:paraId="240472AC" w14:textId="3BD993F5" w:rsidR="00E01C67" w:rsidRDefault="00484D6D" w:rsidP="001C0565">
      <w:pPr>
        <w:ind w:firstLineChars="150" w:firstLine="360"/>
        <w:jc w:val="both"/>
        <w:rPr>
          <w:lang w:val="en-AU" w:eastAsia="zh-CN"/>
        </w:rPr>
      </w:pPr>
      <w:r>
        <w:rPr>
          <w:rFonts w:hint="eastAsia"/>
          <w:lang w:val="en-AU" w:eastAsia="zh-CN"/>
        </w:rPr>
        <w:t>F</w:t>
      </w:r>
      <w:r>
        <w:rPr>
          <w:lang w:val="en-AU" w:eastAsia="zh-CN"/>
        </w:rPr>
        <w:t xml:space="preserve">or a UE initiating COT sharing, its purpose is to </w:t>
      </w:r>
      <w:r w:rsidR="008823DD">
        <w:rPr>
          <w:lang w:val="en-AU" w:eastAsia="zh-CN"/>
        </w:rPr>
        <w:t xml:space="preserve">receive data from other UE with quick channel access and to ensure its reserved resource for the next transmission period, as shown in Fig.2. </w:t>
      </w:r>
      <w:r w:rsidR="00C11E53">
        <w:rPr>
          <w:lang w:val="en-AU" w:eastAsia="zh-CN"/>
        </w:rPr>
        <w:t xml:space="preserve">Actually, a UE initiating COT sharing cannot guarantee </w:t>
      </w:r>
      <w:r w:rsidR="000D2998">
        <w:rPr>
          <w:lang w:val="en-AU" w:eastAsia="zh-CN"/>
        </w:rPr>
        <w:t xml:space="preserve">that the shared COT can be occupied by the UE which is the target receiver of </w:t>
      </w:r>
      <w:r w:rsidR="0063600B">
        <w:rPr>
          <w:lang w:val="en-AU" w:eastAsia="zh-CN"/>
        </w:rPr>
        <w:t xml:space="preserve">COT initiating UE’s PSSCH transmission (Alt1) or any </w:t>
      </w:r>
      <w:r w:rsidR="000A3609">
        <w:rPr>
          <w:lang w:val="en-AU" w:eastAsia="zh-CN"/>
        </w:rPr>
        <w:t xml:space="preserve">possible </w:t>
      </w:r>
      <w:r w:rsidR="0063600B">
        <w:rPr>
          <w:lang w:val="en-AU" w:eastAsia="zh-CN"/>
        </w:rPr>
        <w:t>transmissions (Alt2). Moreover, if UE-UE COT sharing is introduced in Mode1 RA, we think the COT sharing among UEs depends on the resource position determined by gNB</w:t>
      </w:r>
      <w:r w:rsidR="00F64031">
        <w:rPr>
          <w:lang w:val="en-AU" w:eastAsia="zh-CN"/>
        </w:rPr>
        <w:t xml:space="preserve">, which means that a responding UE </w:t>
      </w:r>
      <w:r w:rsidR="000A3609">
        <w:rPr>
          <w:lang w:val="en-AU" w:eastAsia="zh-CN"/>
        </w:rPr>
        <w:t xml:space="preserve">could </w:t>
      </w:r>
      <w:r w:rsidR="00F64031">
        <w:rPr>
          <w:lang w:val="en-AU" w:eastAsia="zh-CN"/>
        </w:rPr>
        <w:t xml:space="preserve">not </w:t>
      </w:r>
      <w:r w:rsidR="000A3609">
        <w:rPr>
          <w:lang w:val="en-AU" w:eastAsia="zh-CN"/>
        </w:rPr>
        <w:t xml:space="preserve">be </w:t>
      </w:r>
      <w:r w:rsidR="00F64031">
        <w:rPr>
          <w:lang w:val="en-AU" w:eastAsia="zh-CN"/>
        </w:rPr>
        <w:t>the target receiver of COT initiating UE’s transmission</w:t>
      </w:r>
      <w:r w:rsidR="000A3609">
        <w:rPr>
          <w:lang w:val="en-AU" w:eastAsia="zh-CN"/>
        </w:rPr>
        <w:t xml:space="preserve">. </w:t>
      </w:r>
      <w:r w:rsidR="00880873">
        <w:rPr>
          <w:lang w:val="en-AU" w:eastAsia="zh-CN"/>
        </w:rPr>
        <w:t xml:space="preserve">Therefore, </w:t>
      </w:r>
      <w:r w:rsidR="009C05BC">
        <w:rPr>
          <w:lang w:val="en-AU" w:eastAsia="zh-CN"/>
        </w:rPr>
        <w:t xml:space="preserve">if one UE-UE COT sharing mechanism is introduced for both Mode 1 RA and Mode 2 RA, we suggest to </w:t>
      </w:r>
      <w:r w:rsidR="007E7E2A">
        <w:rPr>
          <w:lang w:val="en-AU" w:eastAsia="zh-CN"/>
        </w:rPr>
        <w:t>support the responding UE to share the COT could be not the target receiver of the COT initiating UE’s transmission.</w:t>
      </w:r>
      <w:r w:rsidR="00CC7EBD">
        <w:rPr>
          <w:lang w:val="en-AU" w:eastAsia="zh-CN"/>
        </w:rPr>
        <w:t xml:space="preserve"> In that case,</w:t>
      </w:r>
      <w:r w:rsidR="007E7E2A">
        <w:rPr>
          <w:lang w:val="en-AU" w:eastAsia="zh-CN"/>
        </w:rPr>
        <w:t xml:space="preserve"> </w:t>
      </w:r>
      <w:r w:rsidR="00CC7EBD">
        <w:rPr>
          <w:lang w:val="en-AU" w:eastAsia="zh-CN"/>
        </w:rPr>
        <w:t xml:space="preserve">if the destination ID is not indicated for COT sharing, any UEs who receive the </w:t>
      </w:r>
      <w:r w:rsidR="003C08C1">
        <w:rPr>
          <w:lang w:val="en-AU" w:eastAsia="zh-CN"/>
        </w:rPr>
        <w:t xml:space="preserve">COT sharing information </w:t>
      </w:r>
      <w:r w:rsidR="00CC7EBD">
        <w:rPr>
          <w:lang w:val="en-AU" w:eastAsia="zh-CN"/>
        </w:rPr>
        <w:t>could attempt to access the channel with the shared COT.</w:t>
      </w:r>
    </w:p>
    <w:p w14:paraId="37408E95" w14:textId="77777777" w:rsidR="008823DD" w:rsidRDefault="008823DD" w:rsidP="008823DD">
      <w:pPr>
        <w:keepNext/>
        <w:jc w:val="center"/>
      </w:pPr>
      <w:r>
        <w:rPr>
          <w:noProof/>
        </w:rPr>
        <w:drawing>
          <wp:inline distT="0" distB="0" distL="0" distR="0" wp14:anchorId="1875B3B4" wp14:editId="65352667">
            <wp:extent cx="4967021" cy="1903469"/>
            <wp:effectExtent l="0" t="0" r="5080" b="1905"/>
            <wp:docPr id="2" name="图形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4994762" cy="1914100"/>
                    </a:xfrm>
                    <a:prstGeom prst="rect">
                      <a:avLst/>
                    </a:prstGeom>
                  </pic:spPr>
                </pic:pic>
              </a:graphicData>
            </a:graphic>
          </wp:inline>
        </w:drawing>
      </w:r>
    </w:p>
    <w:p w14:paraId="41289984" w14:textId="5DC61FFF" w:rsidR="008823DD" w:rsidRPr="00E01C67" w:rsidRDefault="008823DD" w:rsidP="008823DD">
      <w:pPr>
        <w:pStyle w:val="a6"/>
        <w:jc w:val="center"/>
        <w:rPr>
          <w:lang w:val="en-AU" w:eastAsia="zh-CN"/>
        </w:rPr>
      </w:pPr>
      <w:r>
        <w:t xml:space="preserve">FIG. </w:t>
      </w:r>
      <w:r>
        <w:fldChar w:fldCharType="begin"/>
      </w:r>
      <w:r>
        <w:instrText xml:space="preserve"> SEQ FIG. \* ARABIC </w:instrText>
      </w:r>
      <w:r>
        <w:fldChar w:fldCharType="separate"/>
      </w:r>
      <w:r>
        <w:rPr>
          <w:noProof/>
        </w:rPr>
        <w:t>2</w:t>
      </w:r>
      <w:r>
        <w:fldChar w:fldCharType="end"/>
      </w:r>
      <w:r>
        <w:t xml:space="preserve"> UE-UE COT sharing </w:t>
      </w:r>
      <w:r w:rsidR="000A3609">
        <w:t xml:space="preserve">could </w:t>
      </w:r>
      <w:r>
        <w:t>to ensure quick channel access for the reserved resource in the next transmission period.</w:t>
      </w:r>
    </w:p>
    <w:p w14:paraId="594660B8" w14:textId="47FBF190" w:rsidR="009E7514" w:rsidRPr="00B93014" w:rsidRDefault="003C08C1" w:rsidP="001C0565">
      <w:pPr>
        <w:jc w:val="both"/>
        <w:rPr>
          <w:b/>
          <w:bCs/>
          <w:lang w:eastAsia="zh-CN"/>
        </w:rPr>
      </w:pPr>
      <w:r w:rsidRPr="00B93014">
        <w:rPr>
          <w:rFonts w:hint="eastAsia"/>
          <w:b/>
          <w:bCs/>
          <w:u w:val="single"/>
          <w:lang w:eastAsia="zh-CN"/>
        </w:rPr>
        <w:lastRenderedPageBreak/>
        <w:t>O</w:t>
      </w:r>
      <w:r w:rsidRPr="00B93014">
        <w:rPr>
          <w:b/>
          <w:bCs/>
          <w:u w:val="single"/>
          <w:lang w:eastAsia="zh-CN"/>
        </w:rPr>
        <w:t>bervation1:</w:t>
      </w:r>
      <w:r w:rsidR="00B93014" w:rsidRPr="00B93014">
        <w:rPr>
          <w:b/>
          <w:bCs/>
          <w:lang w:eastAsia="zh-CN"/>
        </w:rPr>
        <w:t xml:space="preserve"> </w:t>
      </w:r>
      <w:r w:rsidR="00B93014" w:rsidRPr="00B93014">
        <w:rPr>
          <w:b/>
          <w:bCs/>
          <w:lang w:val="en-AU" w:eastAsia="zh-CN"/>
        </w:rPr>
        <w:t>A UE initiating COT sharing cannot guarantee that the shared COT can be occupied by the UE which is the target receiver of COT initiating UE’s PSSCH transmission (Alt1) or any possible transmissions (Alt2).</w:t>
      </w:r>
    </w:p>
    <w:p w14:paraId="2019F112" w14:textId="757D66D8" w:rsidR="003C08C1" w:rsidRDefault="003C08C1" w:rsidP="001C0565">
      <w:pPr>
        <w:jc w:val="both"/>
        <w:rPr>
          <w:lang w:val="en-AU" w:eastAsia="zh-CN"/>
        </w:rPr>
      </w:pPr>
      <w:r w:rsidRPr="00D51FE2">
        <w:rPr>
          <w:rFonts w:hint="eastAsia"/>
          <w:b/>
          <w:bCs/>
          <w:u w:val="single"/>
          <w:lang w:eastAsia="zh-CN"/>
        </w:rPr>
        <w:t>P</w:t>
      </w:r>
      <w:r w:rsidRPr="00D51FE2">
        <w:rPr>
          <w:b/>
          <w:bCs/>
          <w:u w:val="single"/>
          <w:lang w:eastAsia="zh-CN"/>
        </w:rPr>
        <w:t>roposal 4:</w:t>
      </w:r>
      <w:r w:rsidR="00B93014" w:rsidRPr="00D51FE2">
        <w:rPr>
          <w:b/>
          <w:bCs/>
          <w:u w:val="single"/>
          <w:lang w:eastAsia="zh-CN"/>
        </w:rPr>
        <w:t xml:space="preserve"> </w:t>
      </w:r>
      <w:r w:rsidR="000C42D8" w:rsidRPr="00D51FE2">
        <w:rPr>
          <w:b/>
          <w:bCs/>
          <w:lang w:val="en-AU" w:eastAsia="zh-CN"/>
        </w:rPr>
        <w:t>if one UE-UE COT sharing mechanism is introduced for both Mode 1 RA and Mode 2 RA, we suggest to support the responding UE to share the COT could be not the target receiver of the COT initiating UE’s transmission</w:t>
      </w:r>
      <w:r w:rsidR="00D51FE2">
        <w:rPr>
          <w:lang w:val="en-AU" w:eastAsia="zh-CN"/>
        </w:rPr>
        <w:t>.</w:t>
      </w:r>
    </w:p>
    <w:p w14:paraId="66DF707E" w14:textId="77777777" w:rsidR="006F7B3D" w:rsidRDefault="006F7B3D" w:rsidP="00986A50">
      <w:pPr>
        <w:rPr>
          <w:lang w:val="en-AU" w:eastAsia="zh-CN"/>
        </w:rPr>
      </w:pPr>
    </w:p>
    <w:p w14:paraId="466A4247" w14:textId="0A1DD3C5" w:rsidR="006F7B3D" w:rsidRDefault="00947B32" w:rsidP="006F7B3D">
      <w:pPr>
        <w:pStyle w:val="3"/>
      </w:pPr>
      <w:r>
        <w:t xml:space="preserve">Cast </w:t>
      </w:r>
      <w:r w:rsidR="0007592E">
        <w:t>T</w:t>
      </w:r>
      <w:r>
        <w:t>ype</w:t>
      </w:r>
      <w:r w:rsidR="00DF0807">
        <w:t xml:space="preserve"> for </w:t>
      </w:r>
      <w:r w:rsidR="006F7B3D" w:rsidRPr="004528C8">
        <w:t xml:space="preserve">COT Sharing </w:t>
      </w:r>
    </w:p>
    <w:p w14:paraId="02905DEE" w14:textId="52B2F8CA" w:rsidR="00D51FE2" w:rsidRDefault="00947B32" w:rsidP="00805E84">
      <w:pPr>
        <w:jc w:val="both"/>
        <w:rPr>
          <w:lang w:val="en-AU" w:eastAsia="zh-CN"/>
        </w:rPr>
      </w:pPr>
      <w:r>
        <w:rPr>
          <w:rFonts w:hint="eastAsia"/>
          <w:lang w:val="en-AU" w:eastAsia="zh-CN"/>
        </w:rPr>
        <w:t>I</w:t>
      </w:r>
      <w:r>
        <w:rPr>
          <w:lang w:val="en-AU" w:eastAsia="zh-CN"/>
        </w:rPr>
        <w:t xml:space="preserve">n our observation, the </w:t>
      </w:r>
      <w:r w:rsidR="0007592E">
        <w:rPr>
          <w:lang w:val="en-AU" w:eastAsia="zh-CN"/>
        </w:rPr>
        <w:t xml:space="preserve">cast type for COT sharing should be considered. </w:t>
      </w:r>
      <w:r w:rsidR="00A22551">
        <w:rPr>
          <w:lang w:val="en-AU" w:eastAsia="zh-CN"/>
        </w:rPr>
        <w:t>For a UE initiating the COT</w:t>
      </w:r>
      <w:r w:rsidR="00E8344C">
        <w:rPr>
          <w:lang w:val="en-AU" w:eastAsia="zh-CN"/>
        </w:rPr>
        <w:t xml:space="preserve"> sharing</w:t>
      </w:r>
      <w:r w:rsidR="00A22551">
        <w:rPr>
          <w:lang w:val="en-AU" w:eastAsia="zh-CN"/>
        </w:rPr>
        <w:t>, it can share its COT</w:t>
      </w:r>
      <w:r w:rsidR="00A57DCB">
        <w:rPr>
          <w:lang w:val="en-AU" w:eastAsia="zh-CN"/>
        </w:rPr>
        <w:t xml:space="preserve"> to one target UE by unicast or to a number of UEs by groupcast. </w:t>
      </w:r>
      <w:r w:rsidR="00D35B30">
        <w:rPr>
          <w:lang w:val="en-AU" w:eastAsia="zh-CN"/>
        </w:rPr>
        <w:t xml:space="preserve">And the information content for COT sharing </w:t>
      </w:r>
      <w:r w:rsidR="00981107">
        <w:rPr>
          <w:lang w:val="en-AU" w:eastAsia="zh-CN"/>
        </w:rPr>
        <w:t xml:space="preserve">in unicast and groupcast might be different. For example, </w:t>
      </w:r>
      <w:r w:rsidR="00BA5A1A">
        <w:rPr>
          <w:lang w:val="en-AU" w:eastAsia="zh-CN"/>
        </w:rPr>
        <w:t xml:space="preserve">for unicast COT sharing, it might </w:t>
      </w:r>
      <w:r w:rsidR="0052009C">
        <w:rPr>
          <w:lang w:val="en-AU" w:eastAsia="zh-CN"/>
        </w:rPr>
        <w:t xml:space="preserve">need to </w:t>
      </w:r>
      <w:r w:rsidR="0052009C">
        <w:rPr>
          <w:rFonts w:hint="eastAsia"/>
          <w:lang w:val="en-AU" w:eastAsia="zh-CN"/>
        </w:rPr>
        <w:t>i</w:t>
      </w:r>
      <w:r w:rsidR="0052009C">
        <w:rPr>
          <w:lang w:val="en-AU" w:eastAsia="zh-CN"/>
        </w:rPr>
        <w:t xml:space="preserve">ndicate the time and frequency resources for the responding UE’s data transmission. For groupcast COT sharing, it might aim to indicate </w:t>
      </w:r>
      <w:r w:rsidR="009776DF">
        <w:rPr>
          <w:lang w:val="en-AU" w:eastAsia="zh-CN"/>
        </w:rPr>
        <w:t xml:space="preserve">channel access type for </w:t>
      </w:r>
      <w:r w:rsidR="0052009C">
        <w:rPr>
          <w:lang w:val="en-AU" w:eastAsia="zh-CN"/>
        </w:rPr>
        <w:t>the PSFCH</w:t>
      </w:r>
      <w:r w:rsidR="009776DF">
        <w:rPr>
          <w:lang w:val="en-AU" w:eastAsia="zh-CN"/>
        </w:rPr>
        <w:t xml:space="preserve"> transmissions of</w:t>
      </w:r>
      <w:r w:rsidR="0052009C">
        <w:rPr>
          <w:lang w:val="en-AU" w:eastAsia="zh-CN"/>
        </w:rPr>
        <w:t xml:space="preserve"> the receivers </w:t>
      </w:r>
      <w:r w:rsidR="009776DF">
        <w:rPr>
          <w:lang w:val="en-AU" w:eastAsia="zh-CN"/>
        </w:rPr>
        <w:t>of COT initiating UE’s PSSCH transmission</w:t>
      </w:r>
      <w:r w:rsidR="00E357D0">
        <w:rPr>
          <w:lang w:val="en-AU" w:eastAsia="zh-CN"/>
        </w:rPr>
        <w:t xml:space="preserve">. And the time and frequency resources in this case might not be required. </w:t>
      </w:r>
      <w:r w:rsidR="00805E84">
        <w:rPr>
          <w:lang w:val="en-AU" w:eastAsia="zh-CN"/>
        </w:rPr>
        <w:t xml:space="preserve">Therefore, </w:t>
      </w:r>
      <w:r w:rsidR="00BB4C41">
        <w:rPr>
          <w:lang w:val="en-AU" w:eastAsia="zh-CN"/>
        </w:rPr>
        <w:t xml:space="preserve">we suggest to </w:t>
      </w:r>
      <w:r w:rsidR="005703F4">
        <w:rPr>
          <w:lang w:val="en-AU" w:eastAsia="zh-CN"/>
        </w:rPr>
        <w:t xml:space="preserve">study the cast type for UE-UE COT sharing before determining the information content for COT sharing. </w:t>
      </w:r>
    </w:p>
    <w:p w14:paraId="567A7E07" w14:textId="1E94E08D" w:rsidR="00D35B30" w:rsidRPr="00B93014" w:rsidRDefault="00D35B30" w:rsidP="00D35B30">
      <w:pPr>
        <w:jc w:val="both"/>
        <w:rPr>
          <w:b/>
          <w:bCs/>
          <w:lang w:eastAsia="zh-CN"/>
        </w:rPr>
      </w:pPr>
      <w:r w:rsidRPr="00B93014">
        <w:rPr>
          <w:rFonts w:hint="eastAsia"/>
          <w:b/>
          <w:bCs/>
          <w:u w:val="single"/>
          <w:lang w:eastAsia="zh-CN"/>
        </w:rPr>
        <w:t>O</w:t>
      </w:r>
      <w:r w:rsidRPr="00B93014">
        <w:rPr>
          <w:b/>
          <w:bCs/>
          <w:u w:val="single"/>
          <w:lang w:eastAsia="zh-CN"/>
        </w:rPr>
        <w:t>bervation</w:t>
      </w:r>
      <w:r>
        <w:rPr>
          <w:b/>
          <w:bCs/>
          <w:u w:val="single"/>
          <w:lang w:eastAsia="zh-CN"/>
        </w:rPr>
        <w:t>2</w:t>
      </w:r>
      <w:r w:rsidRPr="00B93014">
        <w:rPr>
          <w:b/>
          <w:bCs/>
          <w:u w:val="single"/>
          <w:lang w:eastAsia="zh-CN"/>
        </w:rPr>
        <w:t>:</w:t>
      </w:r>
      <w:r w:rsidRPr="00B93014">
        <w:rPr>
          <w:b/>
          <w:bCs/>
          <w:lang w:eastAsia="zh-CN"/>
        </w:rPr>
        <w:t xml:space="preserve"> </w:t>
      </w:r>
      <w:r w:rsidRPr="00D35B30">
        <w:rPr>
          <w:b/>
          <w:bCs/>
          <w:lang w:val="en-AU" w:eastAsia="zh-CN"/>
        </w:rPr>
        <w:t>For a UE initiating the COT sharing, it can share its COT to one target UE by unicast or to a number of UEs by groupcast</w:t>
      </w:r>
      <w:r w:rsidRPr="00B93014">
        <w:rPr>
          <w:b/>
          <w:bCs/>
          <w:lang w:val="en-AU" w:eastAsia="zh-CN"/>
        </w:rPr>
        <w:t>.</w:t>
      </w:r>
    </w:p>
    <w:p w14:paraId="3441C5B5" w14:textId="4D5778CF" w:rsidR="00D35B30" w:rsidRDefault="00D35B30" w:rsidP="00D35B30">
      <w:pPr>
        <w:jc w:val="both"/>
        <w:rPr>
          <w:lang w:val="en-AU" w:eastAsia="zh-CN"/>
        </w:rPr>
      </w:pPr>
      <w:r w:rsidRPr="00D51FE2">
        <w:rPr>
          <w:rFonts w:hint="eastAsia"/>
          <w:b/>
          <w:bCs/>
          <w:u w:val="single"/>
          <w:lang w:eastAsia="zh-CN"/>
        </w:rPr>
        <w:t>P</w:t>
      </w:r>
      <w:r w:rsidRPr="00D51FE2">
        <w:rPr>
          <w:b/>
          <w:bCs/>
          <w:u w:val="single"/>
          <w:lang w:eastAsia="zh-CN"/>
        </w:rPr>
        <w:t xml:space="preserve">roposal </w:t>
      </w:r>
      <w:r>
        <w:rPr>
          <w:b/>
          <w:bCs/>
          <w:u w:val="single"/>
          <w:lang w:eastAsia="zh-CN"/>
        </w:rPr>
        <w:t>5</w:t>
      </w:r>
      <w:r w:rsidRPr="00D51FE2">
        <w:rPr>
          <w:b/>
          <w:bCs/>
          <w:u w:val="single"/>
          <w:lang w:eastAsia="zh-CN"/>
        </w:rPr>
        <w:t>:</w:t>
      </w:r>
      <w:r w:rsidR="005703F4">
        <w:rPr>
          <w:lang w:val="en-AU" w:eastAsia="zh-CN"/>
        </w:rPr>
        <w:t xml:space="preserve"> </w:t>
      </w:r>
      <w:r w:rsidR="005703F4" w:rsidRPr="005703F4">
        <w:rPr>
          <w:b/>
          <w:bCs/>
          <w:lang w:val="en-AU" w:eastAsia="zh-CN"/>
        </w:rPr>
        <w:t>It is suggested to study the cast type for UE-UE COT sharing before determining the information content for COT sharing.</w:t>
      </w:r>
    </w:p>
    <w:p w14:paraId="017CBEFC" w14:textId="77777777" w:rsidR="00D35B30" w:rsidRPr="00D35B30" w:rsidRDefault="00D35B30" w:rsidP="00986A50">
      <w:pPr>
        <w:rPr>
          <w:lang w:val="en-AU" w:eastAsia="zh-CN"/>
        </w:rPr>
      </w:pPr>
    </w:p>
    <w:bookmarkEnd w:id="0"/>
    <w:p w14:paraId="39C1F70D" w14:textId="60328D6B" w:rsidR="00A84D72" w:rsidRDefault="00A84D72" w:rsidP="00A84D72">
      <w:pPr>
        <w:pStyle w:val="1"/>
        <w:rPr>
          <w:lang w:eastAsia="zh-CN"/>
        </w:rPr>
      </w:pPr>
      <w:r w:rsidRPr="001B2AB4">
        <w:rPr>
          <w:rFonts w:hint="eastAsia"/>
          <w:lang w:eastAsia="zh-CN"/>
        </w:rPr>
        <w:t>Conclusion</w:t>
      </w:r>
      <w:r>
        <w:rPr>
          <w:lang w:eastAsia="zh-CN"/>
        </w:rPr>
        <w:t>s</w:t>
      </w:r>
    </w:p>
    <w:p w14:paraId="612F8D1B" w14:textId="0132D97C" w:rsidR="00A84D72" w:rsidRDefault="00A84D72" w:rsidP="00A84D72">
      <w:pPr>
        <w:spacing w:after="0"/>
        <w:ind w:firstLineChars="150" w:firstLine="360"/>
        <w:jc w:val="both"/>
        <w:rPr>
          <w:rFonts w:eastAsiaTheme="minorEastAsia"/>
          <w:szCs w:val="24"/>
          <w:lang w:eastAsia="zh-CN"/>
        </w:rPr>
      </w:pPr>
      <w:r>
        <w:rPr>
          <w:rFonts w:eastAsiaTheme="minorEastAsia" w:hint="eastAsia"/>
          <w:szCs w:val="24"/>
          <w:lang w:eastAsia="zh-CN"/>
        </w:rPr>
        <w:t xml:space="preserve">In this contribution, we have </w:t>
      </w:r>
      <w:r w:rsidR="00061ACA">
        <w:rPr>
          <w:rFonts w:eastAsiaTheme="minorEastAsia"/>
          <w:szCs w:val="24"/>
          <w:lang w:eastAsia="zh-CN"/>
        </w:rPr>
        <w:t>presented</w:t>
      </w:r>
      <w:r>
        <w:rPr>
          <w:rFonts w:eastAsiaTheme="minorEastAsia"/>
          <w:szCs w:val="24"/>
          <w:lang w:eastAsia="zh-CN"/>
        </w:rPr>
        <w:t xml:space="preserve"> our considerations on </w:t>
      </w:r>
      <w:r w:rsidR="00882942">
        <w:rPr>
          <w:rFonts w:eastAsiaTheme="minorEastAsia"/>
          <w:szCs w:val="24"/>
          <w:lang w:eastAsia="zh-CN"/>
        </w:rPr>
        <w:t xml:space="preserve">the </w:t>
      </w:r>
      <w:r w:rsidR="00FD06AF">
        <w:rPr>
          <w:rFonts w:eastAsiaTheme="minorEastAsia"/>
          <w:szCs w:val="24"/>
          <w:lang w:eastAsia="zh-CN"/>
        </w:rPr>
        <w:t xml:space="preserve">FFS </w:t>
      </w:r>
      <w:r w:rsidR="00882942">
        <w:rPr>
          <w:rFonts w:eastAsiaTheme="minorEastAsia"/>
          <w:szCs w:val="24"/>
          <w:lang w:eastAsia="zh-CN"/>
        </w:rPr>
        <w:t>issue</w:t>
      </w:r>
      <w:r w:rsidR="00124251">
        <w:rPr>
          <w:rFonts w:eastAsiaTheme="minorEastAsia"/>
          <w:szCs w:val="24"/>
          <w:lang w:eastAsia="zh-CN"/>
        </w:rPr>
        <w:t>s</w:t>
      </w:r>
      <w:r w:rsidR="00FD06AF">
        <w:rPr>
          <w:lang w:eastAsia="zh-CN"/>
        </w:rPr>
        <w:t xml:space="preserve"> including CW adjustment and COT sharing</w:t>
      </w:r>
      <w:r w:rsidR="00B4193A">
        <w:rPr>
          <w:rFonts w:eastAsiaTheme="minorEastAsia"/>
          <w:szCs w:val="24"/>
          <w:lang w:eastAsia="zh-CN"/>
        </w:rPr>
        <w:t>,</w:t>
      </w:r>
      <w:r>
        <w:rPr>
          <w:rFonts w:eastAsiaTheme="minorEastAsia"/>
          <w:szCs w:val="24"/>
          <w:lang w:eastAsia="zh-CN"/>
        </w:rPr>
        <w:t xml:space="preserve"> and </w:t>
      </w:r>
      <w:r>
        <w:rPr>
          <w:rFonts w:eastAsiaTheme="minorEastAsia" w:hint="eastAsia"/>
          <w:szCs w:val="24"/>
          <w:lang w:eastAsia="zh-CN"/>
        </w:rPr>
        <w:t>put</w:t>
      </w:r>
      <w:r>
        <w:rPr>
          <w:rFonts w:eastAsiaTheme="minorEastAsia"/>
          <w:szCs w:val="24"/>
          <w:lang w:eastAsia="zh-CN"/>
        </w:rPr>
        <w:t xml:space="preserve"> forward the following </w:t>
      </w:r>
      <w:r w:rsidR="00124251">
        <w:rPr>
          <w:rFonts w:eastAsiaTheme="minorEastAsia"/>
          <w:szCs w:val="24"/>
          <w:lang w:eastAsia="zh-CN"/>
        </w:rPr>
        <w:t xml:space="preserve">observations and </w:t>
      </w:r>
      <w:r>
        <w:rPr>
          <w:rFonts w:eastAsiaTheme="minorEastAsia"/>
          <w:szCs w:val="24"/>
          <w:lang w:eastAsia="zh-CN"/>
        </w:rPr>
        <w:t>proposals:</w:t>
      </w:r>
    </w:p>
    <w:p w14:paraId="4E00B6B2" w14:textId="77777777" w:rsidR="006B133B" w:rsidRDefault="006B133B" w:rsidP="00A84D72">
      <w:pPr>
        <w:spacing w:after="0"/>
        <w:ind w:firstLineChars="150" w:firstLine="360"/>
        <w:jc w:val="both"/>
        <w:rPr>
          <w:rFonts w:eastAsiaTheme="minorEastAsia"/>
          <w:szCs w:val="24"/>
          <w:lang w:eastAsia="zh-CN"/>
        </w:rPr>
      </w:pPr>
    </w:p>
    <w:p w14:paraId="0D077962" w14:textId="77777777" w:rsidR="00F1528F" w:rsidRPr="00294787" w:rsidRDefault="00F1528F" w:rsidP="00F1528F">
      <w:pPr>
        <w:jc w:val="both"/>
        <w:rPr>
          <w:b/>
          <w:bCs/>
        </w:rPr>
      </w:pPr>
      <w:r w:rsidRPr="00294787">
        <w:rPr>
          <w:rFonts w:hint="eastAsia"/>
          <w:b/>
          <w:bCs/>
          <w:u w:val="single"/>
          <w:lang w:eastAsia="zh-CN"/>
        </w:rPr>
        <w:t>P</w:t>
      </w:r>
      <w:r w:rsidRPr="00294787">
        <w:rPr>
          <w:b/>
          <w:bCs/>
          <w:u w:val="single"/>
          <w:lang w:eastAsia="zh-CN"/>
        </w:rPr>
        <w:t>roposal 1:</w:t>
      </w:r>
      <w:r w:rsidRPr="00294787">
        <w:rPr>
          <w:b/>
          <w:bCs/>
          <w:lang w:eastAsia="zh-CN"/>
        </w:rPr>
        <w:t xml:space="preserve"> </w:t>
      </w:r>
      <w:r w:rsidRPr="00294787">
        <w:rPr>
          <w:rFonts w:hint="eastAsia"/>
          <w:b/>
          <w:bCs/>
          <w:lang w:eastAsia="zh-CN"/>
        </w:rPr>
        <w:t>Propose</w:t>
      </w:r>
      <w:r w:rsidRPr="00294787">
        <w:rPr>
          <w:b/>
          <w:bCs/>
          <w:lang w:eastAsia="zh-CN"/>
        </w:rPr>
        <w:t xml:space="preserve"> </w:t>
      </w:r>
      <w:r w:rsidRPr="00294787">
        <w:rPr>
          <w:rFonts w:hint="eastAsia"/>
          <w:b/>
          <w:bCs/>
          <w:lang w:eastAsia="zh-CN"/>
        </w:rPr>
        <w:t>to</w:t>
      </w:r>
      <w:r w:rsidRPr="00294787">
        <w:rPr>
          <w:b/>
          <w:bCs/>
          <w:lang w:eastAsia="zh-CN"/>
        </w:rPr>
        <w:t xml:space="preserve"> </w:t>
      </w:r>
      <w:r w:rsidRPr="00294787">
        <w:rPr>
          <w:b/>
          <w:bCs/>
        </w:rPr>
        <w:t>configure CW size as one of transmission parameters in channel congestion control</w:t>
      </w:r>
      <w:r>
        <w:rPr>
          <w:b/>
          <w:bCs/>
        </w:rPr>
        <w:t xml:space="preserve"> based on CBR measurement</w:t>
      </w:r>
      <w:r w:rsidRPr="00294787">
        <w:rPr>
          <w:b/>
          <w:bCs/>
          <w:lang w:eastAsia="zh-CN"/>
        </w:rPr>
        <w:t xml:space="preserve">, </w:t>
      </w:r>
      <w:r w:rsidRPr="00294787">
        <w:rPr>
          <w:b/>
          <w:bCs/>
        </w:rPr>
        <w:t>associated to the transmission priority or access category level to determine the CW size in case of disabled SL-HARQ feedback.</w:t>
      </w:r>
    </w:p>
    <w:p w14:paraId="72C85620" w14:textId="77777777" w:rsidR="00F1528F" w:rsidRDefault="00F1528F" w:rsidP="00F1528F">
      <w:r w:rsidRPr="00A025EC">
        <w:rPr>
          <w:b/>
          <w:bCs/>
          <w:u w:val="single"/>
          <w:lang w:eastAsia="zh-CN"/>
        </w:rPr>
        <w:t xml:space="preserve">Proposal2: </w:t>
      </w:r>
      <w:r w:rsidRPr="00A025EC">
        <w:rPr>
          <w:b/>
          <w:bCs/>
          <w:lang w:eastAsia="zh-CN"/>
        </w:rPr>
        <w:t xml:space="preserve">It is suggested to discuss the CW size determination method for groupcast with HARQ feedback after the HARQ feedback mechanism enhancement is well discussed. </w:t>
      </w:r>
    </w:p>
    <w:p w14:paraId="0A9D0C4E" w14:textId="77777777" w:rsidR="00F1528F" w:rsidRDefault="00F1528F" w:rsidP="00F1528F">
      <w:pPr>
        <w:jc w:val="both"/>
        <w:rPr>
          <w:b/>
          <w:bCs/>
          <w:lang w:eastAsia="zh-CN"/>
        </w:rPr>
      </w:pPr>
      <w:r w:rsidRPr="00A025EC">
        <w:rPr>
          <w:b/>
          <w:bCs/>
          <w:u w:val="single"/>
          <w:lang w:eastAsia="zh-CN"/>
        </w:rPr>
        <w:t>Proposal</w:t>
      </w:r>
      <w:r>
        <w:rPr>
          <w:b/>
          <w:bCs/>
          <w:u w:val="single"/>
          <w:lang w:eastAsia="zh-CN"/>
        </w:rPr>
        <w:t>3</w:t>
      </w:r>
      <w:r w:rsidRPr="00A025EC">
        <w:rPr>
          <w:b/>
          <w:bCs/>
          <w:u w:val="single"/>
          <w:lang w:eastAsia="zh-CN"/>
        </w:rPr>
        <w:t xml:space="preserve">: </w:t>
      </w:r>
      <w:r w:rsidRPr="004253E4">
        <w:rPr>
          <w:b/>
          <w:bCs/>
          <w:lang w:eastAsia="zh-CN"/>
        </w:rPr>
        <w:t>In order to avoid inter-UE blocking</w:t>
      </w:r>
      <w:r>
        <w:rPr>
          <w:b/>
          <w:bCs/>
          <w:lang w:eastAsia="zh-CN"/>
        </w:rPr>
        <w:t xml:space="preserve"> issue,</w:t>
      </w:r>
      <w:r w:rsidRPr="004253E4">
        <w:rPr>
          <w:b/>
          <w:bCs/>
          <w:lang w:eastAsia="zh-CN"/>
        </w:rPr>
        <w:t xml:space="preserve"> </w:t>
      </w:r>
      <w:r>
        <w:rPr>
          <w:b/>
          <w:bCs/>
          <w:lang w:eastAsia="zh-CN"/>
        </w:rPr>
        <w:t>it is suggested to introduce gNB-UE COT sharing or UE-UE COT sharing for Mode 1 RA, where the designed UE-UE COT sharing can also be applied to Mode 2 RA</w:t>
      </w:r>
      <w:r w:rsidRPr="00A025EC">
        <w:rPr>
          <w:b/>
          <w:bCs/>
          <w:lang w:eastAsia="zh-CN"/>
        </w:rPr>
        <w:t>.</w:t>
      </w:r>
    </w:p>
    <w:p w14:paraId="45EDB76B" w14:textId="77777777" w:rsidR="00F1528F" w:rsidRPr="00B93014" w:rsidRDefault="00F1528F" w:rsidP="00F1528F">
      <w:pPr>
        <w:jc w:val="both"/>
        <w:rPr>
          <w:b/>
          <w:bCs/>
          <w:lang w:eastAsia="zh-CN"/>
        </w:rPr>
      </w:pPr>
      <w:r w:rsidRPr="00B93014">
        <w:rPr>
          <w:rFonts w:hint="eastAsia"/>
          <w:b/>
          <w:bCs/>
          <w:u w:val="single"/>
          <w:lang w:eastAsia="zh-CN"/>
        </w:rPr>
        <w:t>O</w:t>
      </w:r>
      <w:r w:rsidRPr="00B93014">
        <w:rPr>
          <w:b/>
          <w:bCs/>
          <w:u w:val="single"/>
          <w:lang w:eastAsia="zh-CN"/>
        </w:rPr>
        <w:t>bervation1:</w:t>
      </w:r>
      <w:r w:rsidRPr="00B93014">
        <w:rPr>
          <w:b/>
          <w:bCs/>
          <w:lang w:eastAsia="zh-CN"/>
        </w:rPr>
        <w:t xml:space="preserve"> </w:t>
      </w:r>
      <w:r w:rsidRPr="00B93014">
        <w:rPr>
          <w:b/>
          <w:bCs/>
          <w:lang w:val="en-AU" w:eastAsia="zh-CN"/>
        </w:rPr>
        <w:t>A UE initiating COT sharing cannot guarantee that the shared COT can be occupied by the UE which is the target receiver of COT initiating UE’s PSSCH transmission (Alt1) or any possible transmissions (Alt2).</w:t>
      </w:r>
    </w:p>
    <w:p w14:paraId="4BA26EB8" w14:textId="77777777" w:rsidR="00F1528F" w:rsidRDefault="00F1528F" w:rsidP="00F1528F">
      <w:pPr>
        <w:jc w:val="both"/>
        <w:rPr>
          <w:lang w:val="en-AU" w:eastAsia="zh-CN"/>
        </w:rPr>
      </w:pPr>
      <w:r w:rsidRPr="00D51FE2">
        <w:rPr>
          <w:rFonts w:hint="eastAsia"/>
          <w:b/>
          <w:bCs/>
          <w:u w:val="single"/>
          <w:lang w:eastAsia="zh-CN"/>
        </w:rPr>
        <w:t>P</w:t>
      </w:r>
      <w:r w:rsidRPr="00D51FE2">
        <w:rPr>
          <w:b/>
          <w:bCs/>
          <w:u w:val="single"/>
          <w:lang w:eastAsia="zh-CN"/>
        </w:rPr>
        <w:t xml:space="preserve">roposal 4: </w:t>
      </w:r>
      <w:r w:rsidRPr="00D51FE2">
        <w:rPr>
          <w:b/>
          <w:bCs/>
          <w:lang w:val="en-AU" w:eastAsia="zh-CN"/>
        </w:rPr>
        <w:t>if one UE-UE COT sharing mechanism is introduced for both Mode 1 RA and Mode 2 RA, we suggest to support the responding UE to share the COT could be not the target receiver of the COT initiating UE’s transmission</w:t>
      </w:r>
      <w:r>
        <w:rPr>
          <w:lang w:val="en-AU" w:eastAsia="zh-CN"/>
        </w:rPr>
        <w:t>.</w:t>
      </w:r>
    </w:p>
    <w:p w14:paraId="317E636F" w14:textId="77777777" w:rsidR="00F1528F" w:rsidRPr="00B93014" w:rsidRDefault="00F1528F" w:rsidP="00F1528F">
      <w:pPr>
        <w:jc w:val="both"/>
        <w:rPr>
          <w:b/>
          <w:bCs/>
          <w:lang w:eastAsia="zh-CN"/>
        </w:rPr>
      </w:pPr>
      <w:r w:rsidRPr="00B93014">
        <w:rPr>
          <w:rFonts w:hint="eastAsia"/>
          <w:b/>
          <w:bCs/>
          <w:u w:val="single"/>
          <w:lang w:eastAsia="zh-CN"/>
        </w:rPr>
        <w:t>O</w:t>
      </w:r>
      <w:r w:rsidRPr="00B93014">
        <w:rPr>
          <w:b/>
          <w:bCs/>
          <w:u w:val="single"/>
          <w:lang w:eastAsia="zh-CN"/>
        </w:rPr>
        <w:t>bervation</w:t>
      </w:r>
      <w:r>
        <w:rPr>
          <w:b/>
          <w:bCs/>
          <w:u w:val="single"/>
          <w:lang w:eastAsia="zh-CN"/>
        </w:rPr>
        <w:t>2</w:t>
      </w:r>
      <w:r w:rsidRPr="00B93014">
        <w:rPr>
          <w:b/>
          <w:bCs/>
          <w:u w:val="single"/>
          <w:lang w:eastAsia="zh-CN"/>
        </w:rPr>
        <w:t>:</w:t>
      </w:r>
      <w:r w:rsidRPr="00B93014">
        <w:rPr>
          <w:b/>
          <w:bCs/>
          <w:lang w:eastAsia="zh-CN"/>
        </w:rPr>
        <w:t xml:space="preserve"> </w:t>
      </w:r>
      <w:r w:rsidRPr="00D35B30">
        <w:rPr>
          <w:b/>
          <w:bCs/>
          <w:lang w:val="en-AU" w:eastAsia="zh-CN"/>
        </w:rPr>
        <w:t>For a UE initiating the COT sharing, it can share its COT to one target UE by unicast or to a number of UEs by groupcast</w:t>
      </w:r>
      <w:r w:rsidRPr="00B93014">
        <w:rPr>
          <w:b/>
          <w:bCs/>
          <w:lang w:val="en-AU" w:eastAsia="zh-CN"/>
        </w:rPr>
        <w:t>.</w:t>
      </w:r>
    </w:p>
    <w:p w14:paraId="58B963F4" w14:textId="77777777" w:rsidR="00F1528F" w:rsidRDefault="00F1528F" w:rsidP="00F1528F">
      <w:pPr>
        <w:jc w:val="both"/>
        <w:rPr>
          <w:lang w:val="en-AU" w:eastAsia="zh-CN"/>
        </w:rPr>
      </w:pPr>
      <w:r w:rsidRPr="00D51FE2">
        <w:rPr>
          <w:rFonts w:hint="eastAsia"/>
          <w:b/>
          <w:bCs/>
          <w:u w:val="single"/>
          <w:lang w:eastAsia="zh-CN"/>
        </w:rPr>
        <w:t>P</w:t>
      </w:r>
      <w:r w:rsidRPr="00D51FE2">
        <w:rPr>
          <w:b/>
          <w:bCs/>
          <w:u w:val="single"/>
          <w:lang w:eastAsia="zh-CN"/>
        </w:rPr>
        <w:t xml:space="preserve">roposal </w:t>
      </w:r>
      <w:r>
        <w:rPr>
          <w:b/>
          <w:bCs/>
          <w:u w:val="single"/>
          <w:lang w:eastAsia="zh-CN"/>
        </w:rPr>
        <w:t>5</w:t>
      </w:r>
      <w:r w:rsidRPr="00D51FE2">
        <w:rPr>
          <w:b/>
          <w:bCs/>
          <w:u w:val="single"/>
          <w:lang w:eastAsia="zh-CN"/>
        </w:rPr>
        <w:t>:</w:t>
      </w:r>
      <w:r>
        <w:rPr>
          <w:lang w:val="en-AU" w:eastAsia="zh-CN"/>
        </w:rPr>
        <w:t xml:space="preserve"> </w:t>
      </w:r>
      <w:r w:rsidRPr="005703F4">
        <w:rPr>
          <w:b/>
          <w:bCs/>
          <w:lang w:val="en-AU" w:eastAsia="zh-CN"/>
        </w:rPr>
        <w:t>It is suggested to study the cast type for UE-UE COT sharing before determining the information content for COT sharing.</w:t>
      </w:r>
    </w:p>
    <w:p w14:paraId="0BA135F0" w14:textId="77777777" w:rsidR="00A84D72" w:rsidRPr="00922D2E" w:rsidRDefault="00A84D72" w:rsidP="00A84D72">
      <w:pPr>
        <w:jc w:val="both"/>
        <w:rPr>
          <w:iCs/>
          <w:lang w:val="en-US" w:eastAsia="zh-CN"/>
        </w:rPr>
      </w:pPr>
    </w:p>
    <w:p w14:paraId="429EE153" w14:textId="77777777" w:rsidR="00A84D72" w:rsidRPr="00D9625F" w:rsidRDefault="00A84D72" w:rsidP="00A84D72">
      <w:pPr>
        <w:pStyle w:val="1"/>
      </w:pPr>
      <w:r w:rsidRPr="00D9625F">
        <w:t>References</w:t>
      </w:r>
    </w:p>
    <w:p w14:paraId="6436FC46" w14:textId="3D75EC52" w:rsidR="00A84D72" w:rsidRDefault="001D6481" w:rsidP="00A84D72">
      <w:pPr>
        <w:pStyle w:val="LGTdoc"/>
        <w:numPr>
          <w:ilvl w:val="0"/>
          <w:numId w:val="2"/>
        </w:numPr>
        <w:spacing w:afterLines="0" w:after="0" w:line="300" w:lineRule="auto"/>
        <w:rPr>
          <w:rFonts w:eastAsia="宋体"/>
          <w:sz w:val="20"/>
          <w:szCs w:val="20"/>
          <w:lang w:eastAsia="zh-CN"/>
        </w:rPr>
      </w:pPr>
      <w:bookmarkStart w:id="1" w:name="OLE_LINK20"/>
      <w:r w:rsidRPr="001D6481">
        <w:rPr>
          <w:rFonts w:eastAsia="宋体"/>
          <w:sz w:val="20"/>
          <w:szCs w:val="20"/>
          <w:lang w:eastAsia="zh-CN"/>
        </w:rPr>
        <w:t>RP-220300</w:t>
      </w:r>
      <w:r w:rsidR="00A84D72">
        <w:rPr>
          <w:rFonts w:eastAsia="宋体"/>
          <w:sz w:val="20"/>
          <w:szCs w:val="20"/>
          <w:lang w:eastAsia="zh-CN"/>
        </w:rPr>
        <w:t xml:space="preserve">, </w:t>
      </w:r>
      <w:r w:rsidR="00A84D72" w:rsidRPr="00EE2CC2">
        <w:rPr>
          <w:rFonts w:eastAsia="宋体"/>
          <w:sz w:val="20"/>
          <w:szCs w:val="20"/>
          <w:lang w:eastAsia="zh-CN"/>
        </w:rPr>
        <w:t xml:space="preserve">WID revision: NR sidelink </w:t>
      </w:r>
      <w:r w:rsidR="0031113D" w:rsidRPr="0031113D">
        <w:rPr>
          <w:rFonts w:eastAsia="宋体"/>
          <w:sz w:val="20"/>
          <w:szCs w:val="20"/>
          <w:lang w:eastAsia="zh-CN"/>
        </w:rPr>
        <w:t>evolution</w:t>
      </w:r>
      <w:r w:rsidR="00A84D72">
        <w:rPr>
          <w:rFonts w:eastAsia="宋体" w:hint="eastAsia"/>
          <w:sz w:val="20"/>
          <w:szCs w:val="20"/>
          <w:lang w:eastAsia="zh-CN"/>
        </w:rPr>
        <w:t>,</w:t>
      </w:r>
      <w:r w:rsidR="00A84D72">
        <w:rPr>
          <w:rFonts w:eastAsia="宋体"/>
          <w:sz w:val="20"/>
          <w:szCs w:val="20"/>
          <w:lang w:eastAsia="zh-CN"/>
        </w:rPr>
        <w:t xml:space="preserve"> </w:t>
      </w:r>
      <w:r w:rsidR="0031113D">
        <w:rPr>
          <w:rFonts w:eastAsia="宋体"/>
          <w:sz w:val="20"/>
          <w:szCs w:val="20"/>
          <w:lang w:eastAsia="zh-CN"/>
        </w:rPr>
        <w:t>OPPO</w:t>
      </w:r>
      <w:r w:rsidR="00A84D72">
        <w:rPr>
          <w:rFonts w:eastAsia="宋体"/>
          <w:sz w:val="20"/>
          <w:szCs w:val="20"/>
          <w:lang w:eastAsia="zh-CN"/>
        </w:rPr>
        <w:t xml:space="preserve">, </w:t>
      </w:r>
      <w:r w:rsidR="0031113D">
        <w:rPr>
          <w:rFonts w:eastAsia="宋体"/>
          <w:sz w:val="20"/>
          <w:szCs w:val="20"/>
          <w:lang w:eastAsia="zh-CN"/>
        </w:rPr>
        <w:t>March</w:t>
      </w:r>
      <w:r w:rsidR="00A84D72">
        <w:rPr>
          <w:rFonts w:eastAsia="宋体"/>
          <w:sz w:val="20"/>
          <w:szCs w:val="20"/>
          <w:lang w:eastAsia="zh-CN"/>
        </w:rPr>
        <w:t xml:space="preserve"> 202</w:t>
      </w:r>
      <w:r w:rsidR="0031113D">
        <w:rPr>
          <w:rFonts w:eastAsia="宋体"/>
          <w:sz w:val="20"/>
          <w:szCs w:val="20"/>
          <w:lang w:eastAsia="zh-CN"/>
        </w:rPr>
        <w:t>2</w:t>
      </w:r>
      <w:r w:rsidR="00A84D72">
        <w:rPr>
          <w:rFonts w:eastAsia="宋体"/>
          <w:sz w:val="20"/>
          <w:szCs w:val="20"/>
          <w:lang w:eastAsia="zh-CN"/>
        </w:rPr>
        <w:t>.</w:t>
      </w:r>
    </w:p>
    <w:p w14:paraId="0C96F646" w14:textId="57E8101F" w:rsidR="003251DD" w:rsidRDefault="00B15E2E" w:rsidP="00F1528F">
      <w:pPr>
        <w:pStyle w:val="LGTdoc"/>
        <w:numPr>
          <w:ilvl w:val="0"/>
          <w:numId w:val="2"/>
        </w:numPr>
        <w:spacing w:afterLines="0" w:after="0" w:line="300" w:lineRule="auto"/>
        <w:rPr>
          <w:rFonts w:eastAsia="宋体"/>
          <w:sz w:val="20"/>
          <w:szCs w:val="20"/>
          <w:lang w:eastAsia="zh-CN"/>
        </w:rPr>
      </w:pPr>
      <w:r>
        <w:rPr>
          <w:rFonts w:eastAsia="宋体"/>
          <w:sz w:val="20"/>
          <w:szCs w:val="20"/>
          <w:lang w:eastAsia="zh-CN"/>
        </w:rPr>
        <w:t>3GPP RAN1#1</w:t>
      </w:r>
      <w:r w:rsidR="00F1528F">
        <w:rPr>
          <w:rFonts w:eastAsia="宋体"/>
          <w:sz w:val="20"/>
          <w:szCs w:val="20"/>
          <w:lang w:eastAsia="zh-CN"/>
        </w:rPr>
        <w:t>10</w:t>
      </w:r>
      <w:bookmarkEnd w:id="1"/>
      <w:r w:rsidR="00F633ED">
        <w:rPr>
          <w:rFonts w:eastAsia="宋体"/>
          <w:sz w:val="20"/>
          <w:szCs w:val="20"/>
          <w:lang w:eastAsia="zh-CN"/>
        </w:rPr>
        <w:t xml:space="preserve">, RAN1 Chair’s Notes, Aug. 2022. </w:t>
      </w:r>
    </w:p>
    <w:p w14:paraId="2A23D205" w14:textId="192BB37D" w:rsidR="00F1528F" w:rsidRPr="00F1528F" w:rsidRDefault="00F1528F" w:rsidP="00F1528F">
      <w:pPr>
        <w:pStyle w:val="LGTdoc"/>
        <w:numPr>
          <w:ilvl w:val="0"/>
          <w:numId w:val="2"/>
        </w:numPr>
        <w:spacing w:afterLines="0" w:after="0" w:line="300" w:lineRule="auto"/>
        <w:rPr>
          <w:rFonts w:eastAsia="宋体"/>
          <w:sz w:val="20"/>
          <w:szCs w:val="20"/>
          <w:lang w:eastAsia="zh-CN"/>
        </w:rPr>
      </w:pPr>
      <w:r w:rsidRPr="00F1528F">
        <w:rPr>
          <w:rFonts w:eastAsia="宋体"/>
          <w:sz w:val="20"/>
          <w:szCs w:val="20"/>
          <w:lang w:eastAsia="zh-CN"/>
        </w:rPr>
        <w:t>R1-2207793</w:t>
      </w:r>
      <w:r>
        <w:rPr>
          <w:rFonts w:eastAsia="宋体"/>
          <w:sz w:val="20"/>
          <w:szCs w:val="20"/>
          <w:lang w:eastAsia="zh-CN"/>
        </w:rPr>
        <w:t xml:space="preserve"> 3GPP RAN1#110, </w:t>
      </w:r>
      <w:r w:rsidRPr="00F1528F">
        <w:rPr>
          <w:rFonts w:eastAsia="宋体"/>
          <w:sz w:val="20"/>
          <w:szCs w:val="20"/>
          <w:lang w:eastAsia="zh-CN"/>
        </w:rPr>
        <w:t>FL summary for AI 9.4.1.1: SL-U channel access mechanism</w:t>
      </w:r>
      <w:r>
        <w:rPr>
          <w:rFonts w:eastAsia="宋体"/>
          <w:sz w:val="20"/>
          <w:szCs w:val="20"/>
          <w:lang w:eastAsia="zh-CN"/>
        </w:rPr>
        <w:t xml:space="preserve">, </w:t>
      </w:r>
      <w:r w:rsidRPr="00F1528F">
        <w:rPr>
          <w:rFonts w:eastAsia="宋体"/>
          <w:sz w:val="20"/>
          <w:szCs w:val="20"/>
          <w:lang w:eastAsia="zh-CN"/>
        </w:rPr>
        <w:t>Moderator (OPPO)</w:t>
      </w:r>
      <w:r>
        <w:rPr>
          <w:rFonts w:eastAsia="宋体"/>
          <w:sz w:val="20"/>
          <w:szCs w:val="20"/>
          <w:lang w:eastAsia="zh-CN"/>
        </w:rPr>
        <w:t>, Aug. 2022.</w:t>
      </w:r>
    </w:p>
    <w:p w14:paraId="743FC0F6" w14:textId="77777777" w:rsidR="00E51E8D" w:rsidRPr="00A84D72" w:rsidRDefault="00E51E8D"/>
    <w:sectPr w:rsidR="00E51E8D" w:rsidRPr="00A84D72"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6FC6B" w14:textId="77777777" w:rsidR="000F024E" w:rsidRDefault="000F024E" w:rsidP="00D27FB7">
      <w:pPr>
        <w:spacing w:after="0"/>
      </w:pPr>
      <w:r>
        <w:separator/>
      </w:r>
    </w:p>
  </w:endnote>
  <w:endnote w:type="continuationSeparator" w:id="0">
    <w:p w14:paraId="58248849" w14:textId="77777777" w:rsidR="000F024E" w:rsidRDefault="000F024E" w:rsidP="00D27F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4B8C9" w14:textId="77777777" w:rsidR="000F024E" w:rsidRDefault="000F024E" w:rsidP="00D27FB7">
      <w:pPr>
        <w:spacing w:after="0"/>
      </w:pPr>
      <w:r>
        <w:separator/>
      </w:r>
    </w:p>
  </w:footnote>
  <w:footnote w:type="continuationSeparator" w:id="0">
    <w:p w14:paraId="0BA6CDC5" w14:textId="77777777" w:rsidR="000F024E" w:rsidRDefault="000F024E" w:rsidP="00D27F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C7A6E"/>
    <w:multiLevelType w:val="hybridMultilevel"/>
    <w:tmpl w:val="680AC49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B47B9F"/>
    <w:multiLevelType w:val="hybridMultilevel"/>
    <w:tmpl w:val="956E05CE"/>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E36AEA"/>
    <w:multiLevelType w:val="hybridMultilevel"/>
    <w:tmpl w:val="DE54E4C6"/>
    <w:lvl w:ilvl="0" w:tplc="0409000D">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5A446BC"/>
    <w:multiLevelType w:val="hybridMultilevel"/>
    <w:tmpl w:val="BB8684F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9365C6"/>
    <w:multiLevelType w:val="hybridMultilevel"/>
    <w:tmpl w:val="546E88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D00FD7"/>
    <w:multiLevelType w:val="hybridMultilevel"/>
    <w:tmpl w:val="13DC4D18"/>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3D7A25A7"/>
    <w:multiLevelType w:val="hybridMultilevel"/>
    <w:tmpl w:val="4DB453D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6B5222"/>
    <w:multiLevelType w:val="hybridMultilevel"/>
    <w:tmpl w:val="48FC74C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6C4666"/>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5D2B038C"/>
    <w:multiLevelType w:val="hybridMultilevel"/>
    <w:tmpl w:val="C96CAA0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885278"/>
    <w:multiLevelType w:val="hybridMultilevel"/>
    <w:tmpl w:val="F6C462A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3296992"/>
    <w:multiLevelType w:val="hybridMultilevel"/>
    <w:tmpl w:val="58B205B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30CC5F44">
      <w:start w:val="1"/>
      <w:numFmt w:val="decimal"/>
      <w:lvlText w:val="%5)"/>
      <w:lvlJc w:val="left"/>
      <w:pPr>
        <w:ind w:left="2360" w:hanging="360"/>
      </w:pPr>
      <w:rPr>
        <w:rFonts w:hint="default"/>
      </w:rPr>
    </w:lvl>
    <w:lvl w:ilvl="5" w:tplc="04090011">
      <w:start w:val="1"/>
      <w:numFmt w:val="decimal"/>
      <w:lvlText w:val="%6)"/>
      <w:lvlJc w:val="left"/>
      <w:pPr>
        <w:ind w:left="2760" w:hanging="360"/>
      </w:pPr>
      <w:rPr>
        <w:rFont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5123407"/>
    <w:multiLevelType w:val="hybridMultilevel"/>
    <w:tmpl w:val="52E479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72C71936"/>
    <w:multiLevelType w:val="multilevel"/>
    <w:tmpl w:val="E8FA6B4C"/>
    <w:lvl w:ilvl="0">
      <w:start w:val="1"/>
      <w:numFmt w:val="decimal"/>
      <w:pStyle w:val="1"/>
      <w:lvlText w:val="%1"/>
      <w:lvlJc w:val="left"/>
      <w:pPr>
        <w:tabs>
          <w:tab w:val="num" w:pos="432"/>
        </w:tabs>
        <w:ind w:left="432" w:hanging="432"/>
      </w:pPr>
      <w:rPr>
        <w:rFonts w:ascii="Times New Roman" w:eastAsia="宋体" w:hAnsi="Times New Roman" w:cs="Times New Roman"/>
        <w:sz w:val="28"/>
        <w:u w:val="none"/>
        <w:lang w:val="en-AU"/>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sz w:val="24"/>
        <w:szCs w:val="22"/>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031FF2"/>
    <w:multiLevelType w:val="hybridMultilevel"/>
    <w:tmpl w:val="9E8CD67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36"/>
  </w:num>
  <w:num w:numId="3">
    <w:abstractNumId w:val="17"/>
  </w:num>
  <w:num w:numId="4">
    <w:abstractNumId w:val="7"/>
  </w:num>
  <w:num w:numId="5">
    <w:abstractNumId w:val="6"/>
  </w:num>
  <w:num w:numId="6">
    <w:abstractNumId w:val="0"/>
  </w:num>
  <w:num w:numId="7">
    <w:abstractNumId w:val="13"/>
  </w:num>
  <w:num w:numId="8">
    <w:abstractNumId w:val="37"/>
  </w:num>
  <w:num w:numId="9">
    <w:abstractNumId w:val="15"/>
  </w:num>
  <w:num w:numId="10">
    <w:abstractNumId w:val="16"/>
  </w:num>
  <w:num w:numId="11">
    <w:abstractNumId w:val="12"/>
  </w:num>
  <w:num w:numId="12">
    <w:abstractNumId w:val="26"/>
  </w:num>
  <w:num w:numId="13">
    <w:abstractNumId w:val="2"/>
  </w:num>
  <w:num w:numId="14">
    <w:abstractNumId w:val="25"/>
  </w:num>
  <w:num w:numId="15">
    <w:abstractNumId w:val="4"/>
  </w:num>
  <w:num w:numId="16">
    <w:abstractNumId w:val="0"/>
  </w:num>
  <w:num w:numId="17">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19"/>
  </w:num>
  <w:num w:numId="20">
    <w:abstractNumId w:val="28"/>
  </w:num>
  <w:num w:numId="21">
    <w:abstractNumId w:val="35"/>
  </w:num>
  <w:num w:numId="22">
    <w:abstractNumId w:val="23"/>
  </w:num>
  <w:num w:numId="23">
    <w:abstractNumId w:val="20"/>
  </w:num>
  <w:num w:numId="24">
    <w:abstractNumId w:val="9"/>
  </w:num>
  <w:num w:numId="25">
    <w:abstractNumId w:val="30"/>
  </w:num>
  <w:num w:numId="26">
    <w:abstractNumId w:val="14"/>
  </w:num>
  <w:num w:numId="27">
    <w:abstractNumId w:val="24"/>
  </w:num>
  <w:num w:numId="28">
    <w:abstractNumId w:val="27"/>
  </w:num>
  <w:num w:numId="29">
    <w:abstractNumId w:val="21"/>
  </w:num>
  <w:num w:numId="30">
    <w:abstractNumId w:val="31"/>
  </w:num>
  <w:num w:numId="31">
    <w:abstractNumId w:val="10"/>
  </w:num>
  <w:num w:numId="32">
    <w:abstractNumId w:val="34"/>
  </w:num>
  <w:num w:numId="33">
    <w:abstractNumId w:val="1"/>
  </w:num>
  <w:num w:numId="34">
    <w:abstractNumId w:val="18"/>
  </w:num>
  <w:num w:numId="35">
    <w:abstractNumId w:val="5"/>
  </w:num>
  <w:num w:numId="36">
    <w:abstractNumId w:val="29"/>
  </w:num>
  <w:num w:numId="37">
    <w:abstractNumId w:val="8"/>
  </w:num>
  <w:num w:numId="38">
    <w:abstractNumId w:val="11"/>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D72"/>
    <w:rsid w:val="000026B2"/>
    <w:rsid w:val="00035A61"/>
    <w:rsid w:val="00051E87"/>
    <w:rsid w:val="00061ACA"/>
    <w:rsid w:val="00065386"/>
    <w:rsid w:val="00071263"/>
    <w:rsid w:val="0007592E"/>
    <w:rsid w:val="00082EBC"/>
    <w:rsid w:val="00083129"/>
    <w:rsid w:val="000870C0"/>
    <w:rsid w:val="00095048"/>
    <w:rsid w:val="000A21B7"/>
    <w:rsid w:val="000A3609"/>
    <w:rsid w:val="000A3F4D"/>
    <w:rsid w:val="000B1648"/>
    <w:rsid w:val="000B2570"/>
    <w:rsid w:val="000C42D8"/>
    <w:rsid w:val="000C615E"/>
    <w:rsid w:val="000D2998"/>
    <w:rsid w:val="000D39BB"/>
    <w:rsid w:val="000E069E"/>
    <w:rsid w:val="000E08DA"/>
    <w:rsid w:val="000E4B1B"/>
    <w:rsid w:val="000F024E"/>
    <w:rsid w:val="000F1F28"/>
    <w:rsid w:val="000F20ED"/>
    <w:rsid w:val="00104F01"/>
    <w:rsid w:val="00112B19"/>
    <w:rsid w:val="00112C5C"/>
    <w:rsid w:val="001140E8"/>
    <w:rsid w:val="0011446D"/>
    <w:rsid w:val="0011593A"/>
    <w:rsid w:val="001160F2"/>
    <w:rsid w:val="00120ADE"/>
    <w:rsid w:val="001211AF"/>
    <w:rsid w:val="00121AFD"/>
    <w:rsid w:val="00124251"/>
    <w:rsid w:val="00124730"/>
    <w:rsid w:val="0012494A"/>
    <w:rsid w:val="001261D0"/>
    <w:rsid w:val="0013044F"/>
    <w:rsid w:val="00135AF3"/>
    <w:rsid w:val="00135FC3"/>
    <w:rsid w:val="00141F88"/>
    <w:rsid w:val="001424A8"/>
    <w:rsid w:val="00143674"/>
    <w:rsid w:val="00156527"/>
    <w:rsid w:val="00157C4A"/>
    <w:rsid w:val="00162DEC"/>
    <w:rsid w:val="00164410"/>
    <w:rsid w:val="00167113"/>
    <w:rsid w:val="001714D9"/>
    <w:rsid w:val="001738D5"/>
    <w:rsid w:val="0017448D"/>
    <w:rsid w:val="00175B32"/>
    <w:rsid w:val="00177503"/>
    <w:rsid w:val="00181645"/>
    <w:rsid w:val="00181DFF"/>
    <w:rsid w:val="001829CC"/>
    <w:rsid w:val="001846C5"/>
    <w:rsid w:val="001861C9"/>
    <w:rsid w:val="00190D1C"/>
    <w:rsid w:val="001B0F73"/>
    <w:rsid w:val="001B1839"/>
    <w:rsid w:val="001C0565"/>
    <w:rsid w:val="001C12B2"/>
    <w:rsid w:val="001C27AC"/>
    <w:rsid w:val="001C2E00"/>
    <w:rsid w:val="001D6481"/>
    <w:rsid w:val="001D7404"/>
    <w:rsid w:val="001E2049"/>
    <w:rsid w:val="001E365B"/>
    <w:rsid w:val="001E3A0A"/>
    <w:rsid w:val="001E3D2C"/>
    <w:rsid w:val="001E7347"/>
    <w:rsid w:val="001F7690"/>
    <w:rsid w:val="00200438"/>
    <w:rsid w:val="00212148"/>
    <w:rsid w:val="002214B8"/>
    <w:rsid w:val="00223868"/>
    <w:rsid w:val="00223C21"/>
    <w:rsid w:val="00235C7F"/>
    <w:rsid w:val="00237E8E"/>
    <w:rsid w:val="00240B7C"/>
    <w:rsid w:val="00244BA9"/>
    <w:rsid w:val="00247447"/>
    <w:rsid w:val="00247C7E"/>
    <w:rsid w:val="00250B2A"/>
    <w:rsid w:val="00256EE3"/>
    <w:rsid w:val="00261C08"/>
    <w:rsid w:val="00267CFA"/>
    <w:rsid w:val="002701B5"/>
    <w:rsid w:val="00270852"/>
    <w:rsid w:val="00273876"/>
    <w:rsid w:val="00285ABA"/>
    <w:rsid w:val="00286131"/>
    <w:rsid w:val="00294787"/>
    <w:rsid w:val="00294B4B"/>
    <w:rsid w:val="00294D7B"/>
    <w:rsid w:val="00296A61"/>
    <w:rsid w:val="002A6D0B"/>
    <w:rsid w:val="002B037D"/>
    <w:rsid w:val="002B47C7"/>
    <w:rsid w:val="002D60B9"/>
    <w:rsid w:val="002E28B2"/>
    <w:rsid w:val="002F41C6"/>
    <w:rsid w:val="002F4CCB"/>
    <w:rsid w:val="002F5A9A"/>
    <w:rsid w:val="00301FBE"/>
    <w:rsid w:val="003030A9"/>
    <w:rsid w:val="00306266"/>
    <w:rsid w:val="00307E6B"/>
    <w:rsid w:val="0031113D"/>
    <w:rsid w:val="00311225"/>
    <w:rsid w:val="00313E18"/>
    <w:rsid w:val="00324EDE"/>
    <w:rsid w:val="003251DD"/>
    <w:rsid w:val="003342B4"/>
    <w:rsid w:val="00334451"/>
    <w:rsid w:val="00337AB3"/>
    <w:rsid w:val="003409C1"/>
    <w:rsid w:val="003442F7"/>
    <w:rsid w:val="003455C6"/>
    <w:rsid w:val="003469D2"/>
    <w:rsid w:val="003514DE"/>
    <w:rsid w:val="00357987"/>
    <w:rsid w:val="003625A5"/>
    <w:rsid w:val="00364FBB"/>
    <w:rsid w:val="003650F0"/>
    <w:rsid w:val="003768AD"/>
    <w:rsid w:val="00383769"/>
    <w:rsid w:val="00386FCC"/>
    <w:rsid w:val="00397151"/>
    <w:rsid w:val="003976C8"/>
    <w:rsid w:val="003A01A9"/>
    <w:rsid w:val="003A701C"/>
    <w:rsid w:val="003B1E93"/>
    <w:rsid w:val="003B4690"/>
    <w:rsid w:val="003C0268"/>
    <w:rsid w:val="003C08C1"/>
    <w:rsid w:val="003C157E"/>
    <w:rsid w:val="003C34A7"/>
    <w:rsid w:val="003C403A"/>
    <w:rsid w:val="003C7BCD"/>
    <w:rsid w:val="003E1FFD"/>
    <w:rsid w:val="003E6F49"/>
    <w:rsid w:val="003F1F18"/>
    <w:rsid w:val="00402C45"/>
    <w:rsid w:val="0041583E"/>
    <w:rsid w:val="00421400"/>
    <w:rsid w:val="004214C5"/>
    <w:rsid w:val="00424B87"/>
    <w:rsid w:val="004253E4"/>
    <w:rsid w:val="00436629"/>
    <w:rsid w:val="00443922"/>
    <w:rsid w:val="00444F2B"/>
    <w:rsid w:val="00444FD5"/>
    <w:rsid w:val="004466FA"/>
    <w:rsid w:val="004519A6"/>
    <w:rsid w:val="004528C8"/>
    <w:rsid w:val="00465B52"/>
    <w:rsid w:val="00466B6A"/>
    <w:rsid w:val="00473B33"/>
    <w:rsid w:val="00482C69"/>
    <w:rsid w:val="00483096"/>
    <w:rsid w:val="00484D6D"/>
    <w:rsid w:val="0049085D"/>
    <w:rsid w:val="00495796"/>
    <w:rsid w:val="00495FCD"/>
    <w:rsid w:val="004A2D9C"/>
    <w:rsid w:val="004A42CD"/>
    <w:rsid w:val="004B0D1A"/>
    <w:rsid w:val="004C46B5"/>
    <w:rsid w:val="004C78EE"/>
    <w:rsid w:val="004C7965"/>
    <w:rsid w:val="004D0FE4"/>
    <w:rsid w:val="004D28B5"/>
    <w:rsid w:val="004F03E3"/>
    <w:rsid w:val="004F1D01"/>
    <w:rsid w:val="004F73A3"/>
    <w:rsid w:val="00501F8E"/>
    <w:rsid w:val="005028B1"/>
    <w:rsid w:val="005039DE"/>
    <w:rsid w:val="0052009C"/>
    <w:rsid w:val="00523BF2"/>
    <w:rsid w:val="00524A08"/>
    <w:rsid w:val="00524B3C"/>
    <w:rsid w:val="00531E12"/>
    <w:rsid w:val="00542453"/>
    <w:rsid w:val="0054255D"/>
    <w:rsid w:val="00543ACD"/>
    <w:rsid w:val="00561F9E"/>
    <w:rsid w:val="00566C62"/>
    <w:rsid w:val="005700D7"/>
    <w:rsid w:val="005703F4"/>
    <w:rsid w:val="00573246"/>
    <w:rsid w:val="005772F6"/>
    <w:rsid w:val="00581ABF"/>
    <w:rsid w:val="00584EFA"/>
    <w:rsid w:val="00596528"/>
    <w:rsid w:val="005C6138"/>
    <w:rsid w:val="005D66DA"/>
    <w:rsid w:val="005E4107"/>
    <w:rsid w:val="005E4DA4"/>
    <w:rsid w:val="005E4E02"/>
    <w:rsid w:val="006160E1"/>
    <w:rsid w:val="00620C5E"/>
    <w:rsid w:val="006231F7"/>
    <w:rsid w:val="006268D0"/>
    <w:rsid w:val="0063600B"/>
    <w:rsid w:val="00643275"/>
    <w:rsid w:val="006512F3"/>
    <w:rsid w:val="00653751"/>
    <w:rsid w:val="006621BC"/>
    <w:rsid w:val="00665877"/>
    <w:rsid w:val="00670626"/>
    <w:rsid w:val="0067140D"/>
    <w:rsid w:val="00671656"/>
    <w:rsid w:val="006839D6"/>
    <w:rsid w:val="006879FA"/>
    <w:rsid w:val="00687A0F"/>
    <w:rsid w:val="006939AA"/>
    <w:rsid w:val="006944B8"/>
    <w:rsid w:val="006949E8"/>
    <w:rsid w:val="006A0CDD"/>
    <w:rsid w:val="006B133B"/>
    <w:rsid w:val="006B238D"/>
    <w:rsid w:val="006C06CD"/>
    <w:rsid w:val="006C348B"/>
    <w:rsid w:val="006C63AC"/>
    <w:rsid w:val="006C7CC4"/>
    <w:rsid w:val="006D24A8"/>
    <w:rsid w:val="006D3F33"/>
    <w:rsid w:val="006D5881"/>
    <w:rsid w:val="006D79F5"/>
    <w:rsid w:val="006E1F95"/>
    <w:rsid w:val="006E262A"/>
    <w:rsid w:val="006E2994"/>
    <w:rsid w:val="006E39CC"/>
    <w:rsid w:val="006E4B0E"/>
    <w:rsid w:val="006E6840"/>
    <w:rsid w:val="006F733B"/>
    <w:rsid w:val="006F7B3D"/>
    <w:rsid w:val="00703D7F"/>
    <w:rsid w:val="0070623F"/>
    <w:rsid w:val="007079B1"/>
    <w:rsid w:val="00721197"/>
    <w:rsid w:val="007274D7"/>
    <w:rsid w:val="00732257"/>
    <w:rsid w:val="0073381E"/>
    <w:rsid w:val="007347AC"/>
    <w:rsid w:val="00737E27"/>
    <w:rsid w:val="007464EB"/>
    <w:rsid w:val="007510DB"/>
    <w:rsid w:val="007525EA"/>
    <w:rsid w:val="007546C7"/>
    <w:rsid w:val="00767153"/>
    <w:rsid w:val="0076789A"/>
    <w:rsid w:val="0077527B"/>
    <w:rsid w:val="00775E4A"/>
    <w:rsid w:val="00786FB4"/>
    <w:rsid w:val="00794A71"/>
    <w:rsid w:val="00794CF2"/>
    <w:rsid w:val="007A21E1"/>
    <w:rsid w:val="007A27B0"/>
    <w:rsid w:val="007A62D1"/>
    <w:rsid w:val="007B41C6"/>
    <w:rsid w:val="007B66DB"/>
    <w:rsid w:val="007B7BF3"/>
    <w:rsid w:val="007C0276"/>
    <w:rsid w:val="007C207C"/>
    <w:rsid w:val="007D161E"/>
    <w:rsid w:val="007D3980"/>
    <w:rsid w:val="007E4668"/>
    <w:rsid w:val="007E6D06"/>
    <w:rsid w:val="007E7CEE"/>
    <w:rsid w:val="007E7E2A"/>
    <w:rsid w:val="007F100F"/>
    <w:rsid w:val="007F174C"/>
    <w:rsid w:val="00805E84"/>
    <w:rsid w:val="00811EBC"/>
    <w:rsid w:val="00815FBE"/>
    <w:rsid w:val="00816161"/>
    <w:rsid w:val="00823E79"/>
    <w:rsid w:val="00840ABB"/>
    <w:rsid w:val="00845D38"/>
    <w:rsid w:val="008465C6"/>
    <w:rsid w:val="008473D4"/>
    <w:rsid w:val="00850B14"/>
    <w:rsid w:val="00851554"/>
    <w:rsid w:val="00854E42"/>
    <w:rsid w:val="00856D64"/>
    <w:rsid w:val="00861C2C"/>
    <w:rsid w:val="00863EC9"/>
    <w:rsid w:val="00866BD6"/>
    <w:rsid w:val="0087353E"/>
    <w:rsid w:val="008803AD"/>
    <w:rsid w:val="00880873"/>
    <w:rsid w:val="008823DD"/>
    <w:rsid w:val="00882942"/>
    <w:rsid w:val="00891298"/>
    <w:rsid w:val="00894453"/>
    <w:rsid w:val="008B6FD7"/>
    <w:rsid w:val="008B7983"/>
    <w:rsid w:val="008C7CC0"/>
    <w:rsid w:val="008D0E5D"/>
    <w:rsid w:val="008E0BA8"/>
    <w:rsid w:val="008E38E9"/>
    <w:rsid w:val="008E566C"/>
    <w:rsid w:val="008E6574"/>
    <w:rsid w:val="008F0C72"/>
    <w:rsid w:val="008F1400"/>
    <w:rsid w:val="008F1425"/>
    <w:rsid w:val="008F31FB"/>
    <w:rsid w:val="008F6842"/>
    <w:rsid w:val="00903EF0"/>
    <w:rsid w:val="00905F4F"/>
    <w:rsid w:val="00907813"/>
    <w:rsid w:val="00907935"/>
    <w:rsid w:val="0091080E"/>
    <w:rsid w:val="00922D2E"/>
    <w:rsid w:val="009269B3"/>
    <w:rsid w:val="00927185"/>
    <w:rsid w:val="0092783E"/>
    <w:rsid w:val="0094193B"/>
    <w:rsid w:val="00947B32"/>
    <w:rsid w:val="00971DCD"/>
    <w:rsid w:val="00974383"/>
    <w:rsid w:val="00974B26"/>
    <w:rsid w:val="009776DF"/>
    <w:rsid w:val="00981107"/>
    <w:rsid w:val="00985510"/>
    <w:rsid w:val="00986A50"/>
    <w:rsid w:val="00990F55"/>
    <w:rsid w:val="009921CE"/>
    <w:rsid w:val="0099618C"/>
    <w:rsid w:val="009A6D27"/>
    <w:rsid w:val="009B0E4B"/>
    <w:rsid w:val="009B67DC"/>
    <w:rsid w:val="009B6E9F"/>
    <w:rsid w:val="009C05BC"/>
    <w:rsid w:val="009C7B21"/>
    <w:rsid w:val="009D5440"/>
    <w:rsid w:val="009E232A"/>
    <w:rsid w:val="009E2598"/>
    <w:rsid w:val="009E2ED4"/>
    <w:rsid w:val="009E45FF"/>
    <w:rsid w:val="009E5DD1"/>
    <w:rsid w:val="009E7514"/>
    <w:rsid w:val="009E7EB4"/>
    <w:rsid w:val="009F3CE4"/>
    <w:rsid w:val="009F47E0"/>
    <w:rsid w:val="009F64DE"/>
    <w:rsid w:val="009F7716"/>
    <w:rsid w:val="00A025EC"/>
    <w:rsid w:val="00A0308F"/>
    <w:rsid w:val="00A05C4B"/>
    <w:rsid w:val="00A0757C"/>
    <w:rsid w:val="00A07790"/>
    <w:rsid w:val="00A11EBD"/>
    <w:rsid w:val="00A1486C"/>
    <w:rsid w:val="00A1524A"/>
    <w:rsid w:val="00A22551"/>
    <w:rsid w:val="00A22960"/>
    <w:rsid w:val="00A2297F"/>
    <w:rsid w:val="00A229DD"/>
    <w:rsid w:val="00A330C4"/>
    <w:rsid w:val="00A342FF"/>
    <w:rsid w:val="00A3639C"/>
    <w:rsid w:val="00A4017F"/>
    <w:rsid w:val="00A44471"/>
    <w:rsid w:val="00A44788"/>
    <w:rsid w:val="00A547FF"/>
    <w:rsid w:val="00A565F5"/>
    <w:rsid w:val="00A57DCB"/>
    <w:rsid w:val="00A60C47"/>
    <w:rsid w:val="00A62822"/>
    <w:rsid w:val="00A62B92"/>
    <w:rsid w:val="00A678F6"/>
    <w:rsid w:val="00A70661"/>
    <w:rsid w:val="00A76F9D"/>
    <w:rsid w:val="00A77701"/>
    <w:rsid w:val="00A80DFC"/>
    <w:rsid w:val="00A81A57"/>
    <w:rsid w:val="00A834D0"/>
    <w:rsid w:val="00A84D72"/>
    <w:rsid w:val="00A90AF6"/>
    <w:rsid w:val="00A912D8"/>
    <w:rsid w:val="00A9322F"/>
    <w:rsid w:val="00AA187D"/>
    <w:rsid w:val="00AA5B3B"/>
    <w:rsid w:val="00AB0B5C"/>
    <w:rsid w:val="00AB0EB0"/>
    <w:rsid w:val="00AB1FF5"/>
    <w:rsid w:val="00AB2F85"/>
    <w:rsid w:val="00AC0304"/>
    <w:rsid w:val="00AC4DC0"/>
    <w:rsid w:val="00AD15B3"/>
    <w:rsid w:val="00AD5D2F"/>
    <w:rsid w:val="00AE07EC"/>
    <w:rsid w:val="00AF0516"/>
    <w:rsid w:val="00AF1284"/>
    <w:rsid w:val="00AF155E"/>
    <w:rsid w:val="00AF172C"/>
    <w:rsid w:val="00AF1C57"/>
    <w:rsid w:val="00AF6505"/>
    <w:rsid w:val="00B00354"/>
    <w:rsid w:val="00B003C1"/>
    <w:rsid w:val="00B0119B"/>
    <w:rsid w:val="00B1276D"/>
    <w:rsid w:val="00B13878"/>
    <w:rsid w:val="00B13CD6"/>
    <w:rsid w:val="00B15E2E"/>
    <w:rsid w:val="00B20B89"/>
    <w:rsid w:val="00B27D96"/>
    <w:rsid w:val="00B4193A"/>
    <w:rsid w:val="00B44951"/>
    <w:rsid w:val="00B449B6"/>
    <w:rsid w:val="00B50E97"/>
    <w:rsid w:val="00B51D91"/>
    <w:rsid w:val="00B52E07"/>
    <w:rsid w:val="00B53D61"/>
    <w:rsid w:val="00B5644E"/>
    <w:rsid w:val="00B65948"/>
    <w:rsid w:val="00B67385"/>
    <w:rsid w:val="00B7124B"/>
    <w:rsid w:val="00B715EC"/>
    <w:rsid w:val="00B72458"/>
    <w:rsid w:val="00B9019B"/>
    <w:rsid w:val="00B91C4E"/>
    <w:rsid w:val="00B93014"/>
    <w:rsid w:val="00B976A3"/>
    <w:rsid w:val="00BA1CCC"/>
    <w:rsid w:val="00BA5A1A"/>
    <w:rsid w:val="00BB0000"/>
    <w:rsid w:val="00BB158C"/>
    <w:rsid w:val="00BB4C41"/>
    <w:rsid w:val="00BC55CC"/>
    <w:rsid w:val="00BC6046"/>
    <w:rsid w:val="00BD5425"/>
    <w:rsid w:val="00BE3C27"/>
    <w:rsid w:val="00BE6375"/>
    <w:rsid w:val="00BF0E61"/>
    <w:rsid w:val="00BF5E6D"/>
    <w:rsid w:val="00C109CF"/>
    <w:rsid w:val="00C1184A"/>
    <w:rsid w:val="00C11E53"/>
    <w:rsid w:val="00C12868"/>
    <w:rsid w:val="00C179FA"/>
    <w:rsid w:val="00C21325"/>
    <w:rsid w:val="00C30DDD"/>
    <w:rsid w:val="00C3462D"/>
    <w:rsid w:val="00C42B20"/>
    <w:rsid w:val="00C4355A"/>
    <w:rsid w:val="00C46D42"/>
    <w:rsid w:val="00C5065E"/>
    <w:rsid w:val="00C52094"/>
    <w:rsid w:val="00C566C8"/>
    <w:rsid w:val="00C57C81"/>
    <w:rsid w:val="00C62FFA"/>
    <w:rsid w:val="00C6377C"/>
    <w:rsid w:val="00C67A4F"/>
    <w:rsid w:val="00C7168B"/>
    <w:rsid w:val="00C836E8"/>
    <w:rsid w:val="00C948F6"/>
    <w:rsid w:val="00C97E27"/>
    <w:rsid w:val="00CA1C4C"/>
    <w:rsid w:val="00CA1D35"/>
    <w:rsid w:val="00CA221F"/>
    <w:rsid w:val="00CA312A"/>
    <w:rsid w:val="00CA3C0E"/>
    <w:rsid w:val="00CA5CC1"/>
    <w:rsid w:val="00CB0F0C"/>
    <w:rsid w:val="00CC21F7"/>
    <w:rsid w:val="00CC4169"/>
    <w:rsid w:val="00CC47EA"/>
    <w:rsid w:val="00CC5307"/>
    <w:rsid w:val="00CC7B11"/>
    <w:rsid w:val="00CC7EBD"/>
    <w:rsid w:val="00CD13BA"/>
    <w:rsid w:val="00CD1AFA"/>
    <w:rsid w:val="00CD3051"/>
    <w:rsid w:val="00CD6076"/>
    <w:rsid w:val="00CE0155"/>
    <w:rsid w:val="00CE31D7"/>
    <w:rsid w:val="00CE7025"/>
    <w:rsid w:val="00CF2E06"/>
    <w:rsid w:val="00CF3EE4"/>
    <w:rsid w:val="00CF5849"/>
    <w:rsid w:val="00CF7982"/>
    <w:rsid w:val="00D01C44"/>
    <w:rsid w:val="00D02E85"/>
    <w:rsid w:val="00D06D5D"/>
    <w:rsid w:val="00D22BF8"/>
    <w:rsid w:val="00D23012"/>
    <w:rsid w:val="00D242E5"/>
    <w:rsid w:val="00D26C51"/>
    <w:rsid w:val="00D279AE"/>
    <w:rsid w:val="00D27FB7"/>
    <w:rsid w:val="00D353BB"/>
    <w:rsid w:val="00D35B30"/>
    <w:rsid w:val="00D425EF"/>
    <w:rsid w:val="00D43294"/>
    <w:rsid w:val="00D51FE2"/>
    <w:rsid w:val="00D57B03"/>
    <w:rsid w:val="00D610AA"/>
    <w:rsid w:val="00D66474"/>
    <w:rsid w:val="00D66D62"/>
    <w:rsid w:val="00D8234D"/>
    <w:rsid w:val="00D8495F"/>
    <w:rsid w:val="00D85D3E"/>
    <w:rsid w:val="00D85F52"/>
    <w:rsid w:val="00D87384"/>
    <w:rsid w:val="00D92F55"/>
    <w:rsid w:val="00D95637"/>
    <w:rsid w:val="00D9741D"/>
    <w:rsid w:val="00DA0B99"/>
    <w:rsid w:val="00DA392D"/>
    <w:rsid w:val="00DA6A85"/>
    <w:rsid w:val="00DD33A0"/>
    <w:rsid w:val="00DD48FF"/>
    <w:rsid w:val="00DD5881"/>
    <w:rsid w:val="00DE19C9"/>
    <w:rsid w:val="00DE7F4B"/>
    <w:rsid w:val="00DF0807"/>
    <w:rsid w:val="00E01587"/>
    <w:rsid w:val="00E01A78"/>
    <w:rsid w:val="00E01C67"/>
    <w:rsid w:val="00E01E01"/>
    <w:rsid w:val="00E14F2B"/>
    <w:rsid w:val="00E17BEF"/>
    <w:rsid w:val="00E247D8"/>
    <w:rsid w:val="00E25DBA"/>
    <w:rsid w:val="00E271EC"/>
    <w:rsid w:val="00E357D0"/>
    <w:rsid w:val="00E410EF"/>
    <w:rsid w:val="00E51BDF"/>
    <w:rsid w:val="00E51E8D"/>
    <w:rsid w:val="00E67751"/>
    <w:rsid w:val="00E75584"/>
    <w:rsid w:val="00E76F15"/>
    <w:rsid w:val="00E7740A"/>
    <w:rsid w:val="00E812C6"/>
    <w:rsid w:val="00E824CA"/>
    <w:rsid w:val="00E8344C"/>
    <w:rsid w:val="00E90E48"/>
    <w:rsid w:val="00E94640"/>
    <w:rsid w:val="00E960C0"/>
    <w:rsid w:val="00E9672E"/>
    <w:rsid w:val="00EA0911"/>
    <w:rsid w:val="00EA7DCF"/>
    <w:rsid w:val="00EB0B66"/>
    <w:rsid w:val="00EB1E5F"/>
    <w:rsid w:val="00EB362F"/>
    <w:rsid w:val="00ED4E10"/>
    <w:rsid w:val="00ED69DE"/>
    <w:rsid w:val="00EE2E9C"/>
    <w:rsid w:val="00EE4250"/>
    <w:rsid w:val="00EF11D5"/>
    <w:rsid w:val="00F006A8"/>
    <w:rsid w:val="00F00AE3"/>
    <w:rsid w:val="00F01E6C"/>
    <w:rsid w:val="00F024A3"/>
    <w:rsid w:val="00F03DF3"/>
    <w:rsid w:val="00F04039"/>
    <w:rsid w:val="00F1121C"/>
    <w:rsid w:val="00F1528F"/>
    <w:rsid w:val="00F27D49"/>
    <w:rsid w:val="00F31201"/>
    <w:rsid w:val="00F3423E"/>
    <w:rsid w:val="00F3534D"/>
    <w:rsid w:val="00F4329C"/>
    <w:rsid w:val="00F456B7"/>
    <w:rsid w:val="00F46F3F"/>
    <w:rsid w:val="00F521D9"/>
    <w:rsid w:val="00F53AB2"/>
    <w:rsid w:val="00F5531B"/>
    <w:rsid w:val="00F56263"/>
    <w:rsid w:val="00F616E9"/>
    <w:rsid w:val="00F633ED"/>
    <w:rsid w:val="00F64031"/>
    <w:rsid w:val="00F745EA"/>
    <w:rsid w:val="00F90153"/>
    <w:rsid w:val="00F92894"/>
    <w:rsid w:val="00FA379A"/>
    <w:rsid w:val="00FA4489"/>
    <w:rsid w:val="00FA6246"/>
    <w:rsid w:val="00FA74DC"/>
    <w:rsid w:val="00FA7D63"/>
    <w:rsid w:val="00FB1922"/>
    <w:rsid w:val="00FB7EC1"/>
    <w:rsid w:val="00FD06AF"/>
    <w:rsid w:val="00FD1A5C"/>
    <w:rsid w:val="00FD7E61"/>
    <w:rsid w:val="00FE3FC3"/>
    <w:rsid w:val="00FE7646"/>
    <w:rsid w:val="00FE7E72"/>
    <w:rsid w:val="00FF0366"/>
    <w:rsid w:val="00FF16F6"/>
    <w:rsid w:val="00FF5557"/>
    <w:rsid w:val="00FF6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7CC852"/>
  <w15:chartTrackingRefBased/>
  <w15:docId w15:val="{F581F078-645D-4232-B61D-7ECDCFDC9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4D72"/>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A84D72"/>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A84D72"/>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4528C8"/>
    <w:pPr>
      <w:numPr>
        <w:ilvl w:val="2"/>
      </w:numPr>
      <w:spacing w:before="120"/>
      <w:outlineLvl w:val="2"/>
    </w:pPr>
    <w:rPr>
      <w:szCs w:val="22"/>
      <w:lang w:val="en-AU"/>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A84D72"/>
    <w:pPr>
      <w:numPr>
        <w:ilvl w:val="3"/>
      </w:numPr>
      <w:outlineLvl w:val="3"/>
    </w:pPr>
  </w:style>
  <w:style w:type="paragraph" w:styleId="5">
    <w:name w:val="heading 5"/>
    <w:basedOn w:val="4"/>
    <w:next w:val="a"/>
    <w:link w:val="50"/>
    <w:qFormat/>
    <w:rsid w:val="00A84D72"/>
    <w:pPr>
      <w:numPr>
        <w:ilvl w:val="4"/>
      </w:numPr>
      <w:outlineLvl w:val="4"/>
    </w:pPr>
    <w:rPr>
      <w:sz w:val="22"/>
    </w:rPr>
  </w:style>
  <w:style w:type="paragraph" w:styleId="6">
    <w:name w:val="heading 6"/>
    <w:basedOn w:val="a"/>
    <w:next w:val="a"/>
    <w:link w:val="60"/>
    <w:qFormat/>
    <w:rsid w:val="00A84D72"/>
    <w:pPr>
      <w:keepNext/>
      <w:keepLines/>
      <w:numPr>
        <w:ilvl w:val="5"/>
        <w:numId w:val="1"/>
      </w:numPr>
      <w:spacing w:before="120"/>
      <w:outlineLvl w:val="5"/>
    </w:pPr>
    <w:rPr>
      <w:rFonts w:ascii="Arial" w:hAnsi="Arial"/>
    </w:rPr>
  </w:style>
  <w:style w:type="paragraph" w:styleId="7">
    <w:name w:val="heading 7"/>
    <w:basedOn w:val="a"/>
    <w:next w:val="a"/>
    <w:link w:val="70"/>
    <w:qFormat/>
    <w:rsid w:val="00A84D72"/>
    <w:pPr>
      <w:keepNext/>
      <w:keepLines/>
      <w:numPr>
        <w:ilvl w:val="6"/>
        <w:numId w:val="1"/>
      </w:numPr>
      <w:spacing w:before="120"/>
      <w:outlineLvl w:val="6"/>
    </w:pPr>
    <w:rPr>
      <w:rFonts w:ascii="Arial" w:hAnsi="Arial"/>
    </w:rPr>
  </w:style>
  <w:style w:type="paragraph" w:styleId="8">
    <w:name w:val="heading 8"/>
    <w:basedOn w:val="1"/>
    <w:next w:val="a"/>
    <w:link w:val="80"/>
    <w:qFormat/>
    <w:rsid w:val="00A84D72"/>
    <w:pPr>
      <w:numPr>
        <w:ilvl w:val="7"/>
      </w:numPr>
      <w:outlineLvl w:val="7"/>
    </w:pPr>
  </w:style>
  <w:style w:type="paragraph" w:styleId="9">
    <w:name w:val="heading 9"/>
    <w:basedOn w:val="8"/>
    <w:next w:val="a"/>
    <w:link w:val="90"/>
    <w:qFormat/>
    <w:rsid w:val="00A84D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A84D72"/>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A84D72"/>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4528C8"/>
    <w:rPr>
      <w:rFonts w:ascii="Times New Roman" w:eastAsia="宋体" w:hAnsi="Times New Roman" w:cs="Times New Roman"/>
      <w:b/>
      <w:kern w:val="0"/>
      <w:sz w:val="24"/>
      <w:lang w:val="en-AU"/>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84D72"/>
    <w:rPr>
      <w:rFonts w:ascii="Times New Roman" w:eastAsia="宋体" w:hAnsi="Times New Roman" w:cs="Times New Roman"/>
      <w:b/>
      <w:kern w:val="0"/>
      <w:sz w:val="24"/>
      <w:szCs w:val="24"/>
      <w:lang w:val="en-GB"/>
    </w:rPr>
  </w:style>
  <w:style w:type="character" w:customStyle="1" w:styleId="50">
    <w:name w:val="标题 5 字符"/>
    <w:basedOn w:val="a0"/>
    <w:link w:val="5"/>
    <w:rsid w:val="00A84D72"/>
    <w:rPr>
      <w:rFonts w:ascii="Times New Roman" w:eastAsia="宋体" w:hAnsi="Times New Roman" w:cs="Times New Roman"/>
      <w:b/>
      <w:kern w:val="0"/>
      <w:sz w:val="22"/>
      <w:szCs w:val="24"/>
      <w:lang w:val="en-GB"/>
    </w:rPr>
  </w:style>
  <w:style w:type="character" w:customStyle="1" w:styleId="60">
    <w:name w:val="标题 6 字符"/>
    <w:basedOn w:val="a0"/>
    <w:link w:val="6"/>
    <w:rsid w:val="00A84D72"/>
    <w:rPr>
      <w:rFonts w:ascii="Arial" w:eastAsia="宋体" w:hAnsi="Arial" w:cs="Times New Roman"/>
      <w:kern w:val="0"/>
      <w:sz w:val="24"/>
      <w:szCs w:val="20"/>
      <w:lang w:val="en-GB" w:eastAsia="en-US"/>
    </w:rPr>
  </w:style>
  <w:style w:type="character" w:customStyle="1" w:styleId="70">
    <w:name w:val="标题 7 字符"/>
    <w:basedOn w:val="a0"/>
    <w:link w:val="7"/>
    <w:rsid w:val="00A84D72"/>
    <w:rPr>
      <w:rFonts w:ascii="Arial" w:eastAsia="宋体" w:hAnsi="Arial" w:cs="Times New Roman"/>
      <w:kern w:val="0"/>
      <w:sz w:val="24"/>
      <w:szCs w:val="20"/>
      <w:lang w:val="en-GB" w:eastAsia="en-US"/>
    </w:rPr>
  </w:style>
  <w:style w:type="character" w:customStyle="1" w:styleId="80">
    <w:name w:val="标题 8 字符"/>
    <w:basedOn w:val="a0"/>
    <w:link w:val="8"/>
    <w:rsid w:val="00A84D72"/>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A84D72"/>
    <w:rPr>
      <w:rFonts w:ascii="Times New Roman" w:eastAsia="宋体" w:hAnsi="Times New Roman" w:cs="Times New Roman"/>
      <w:b/>
      <w:kern w:val="0"/>
      <w:sz w:val="28"/>
      <w:szCs w:val="20"/>
      <w:lang w:val="en-GB" w:eastAsia="en-US"/>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列表段,—ñ弌"/>
    <w:basedOn w:val="a"/>
    <w:link w:val="a4"/>
    <w:uiPriority w:val="34"/>
    <w:qFormat/>
    <w:rsid w:val="00A84D72"/>
    <w:pPr>
      <w:ind w:firstLineChars="200" w:firstLine="420"/>
    </w:pPr>
  </w:style>
  <w:style w:type="paragraph" w:customStyle="1" w:styleId="LGTdoc">
    <w:name w:val="LGTdoc_본문"/>
    <w:basedOn w:val="a"/>
    <w:rsid w:val="00A84D72"/>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5">
    <w:name w:val="Table Grid"/>
    <w:basedOn w:val="a1"/>
    <w:qFormat/>
    <w:rsid w:val="00A8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A84D72"/>
    <w:rPr>
      <w:rFonts w:ascii="Times New Roman" w:eastAsia="宋体" w:hAnsi="Times New Roman" w:cs="Times New Roman"/>
      <w:kern w:val="0"/>
      <w:sz w:val="24"/>
      <w:szCs w:val="20"/>
      <w:lang w:val="en-GB" w:eastAsia="en-US"/>
    </w:rPr>
  </w:style>
  <w:style w:type="paragraph" w:styleId="a6">
    <w:name w:val="caption"/>
    <w:basedOn w:val="a"/>
    <w:next w:val="a"/>
    <w:uiPriority w:val="35"/>
    <w:unhideWhenUsed/>
    <w:qFormat/>
    <w:rsid w:val="00A84D72"/>
    <w:rPr>
      <w:rFonts w:asciiTheme="majorHAnsi" w:eastAsia="黑体" w:hAnsiTheme="majorHAnsi" w:cstheme="majorBidi"/>
      <w:sz w:val="20"/>
    </w:rPr>
  </w:style>
  <w:style w:type="paragraph" w:styleId="a7">
    <w:name w:val="header"/>
    <w:basedOn w:val="a"/>
    <w:link w:val="a8"/>
    <w:uiPriority w:val="99"/>
    <w:unhideWhenUsed/>
    <w:rsid w:val="00D27FB7"/>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D27FB7"/>
    <w:rPr>
      <w:rFonts w:ascii="Times New Roman" w:eastAsia="宋体" w:hAnsi="Times New Roman" w:cs="Times New Roman"/>
      <w:kern w:val="0"/>
      <w:sz w:val="18"/>
      <w:szCs w:val="18"/>
      <w:lang w:val="en-GB" w:eastAsia="en-US"/>
    </w:rPr>
  </w:style>
  <w:style w:type="paragraph" w:styleId="a9">
    <w:name w:val="footer"/>
    <w:basedOn w:val="a"/>
    <w:link w:val="aa"/>
    <w:uiPriority w:val="99"/>
    <w:unhideWhenUsed/>
    <w:rsid w:val="00D27FB7"/>
    <w:pPr>
      <w:tabs>
        <w:tab w:val="center" w:pos="4153"/>
        <w:tab w:val="right" w:pos="8306"/>
      </w:tabs>
      <w:snapToGrid w:val="0"/>
    </w:pPr>
    <w:rPr>
      <w:sz w:val="18"/>
      <w:szCs w:val="18"/>
    </w:rPr>
  </w:style>
  <w:style w:type="character" w:customStyle="1" w:styleId="aa">
    <w:name w:val="页脚 字符"/>
    <w:basedOn w:val="a0"/>
    <w:link w:val="a9"/>
    <w:uiPriority w:val="99"/>
    <w:rsid w:val="00D27FB7"/>
    <w:rPr>
      <w:rFonts w:ascii="Times New Roman" w:eastAsia="宋体" w:hAnsi="Times New Roman" w:cs="Times New Roman"/>
      <w:kern w:val="0"/>
      <w:sz w:val="18"/>
      <w:szCs w:val="18"/>
      <w:lang w:val="en-GB" w:eastAsia="en-US"/>
    </w:rPr>
  </w:style>
  <w:style w:type="character" w:styleId="ab">
    <w:name w:val="Placeholder Text"/>
    <w:basedOn w:val="a0"/>
    <w:uiPriority w:val="99"/>
    <w:semiHidden/>
    <w:rsid w:val="009E45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83579">
      <w:bodyDiv w:val="1"/>
      <w:marLeft w:val="0"/>
      <w:marRight w:val="0"/>
      <w:marTop w:val="0"/>
      <w:marBottom w:val="0"/>
      <w:divBdr>
        <w:top w:val="none" w:sz="0" w:space="0" w:color="auto"/>
        <w:left w:val="none" w:sz="0" w:space="0" w:color="auto"/>
        <w:bottom w:val="none" w:sz="0" w:space="0" w:color="auto"/>
        <w:right w:val="none" w:sz="0" w:space="0" w:color="auto"/>
      </w:divBdr>
    </w:div>
    <w:div w:id="1040976094">
      <w:bodyDiv w:val="1"/>
      <w:marLeft w:val="0"/>
      <w:marRight w:val="0"/>
      <w:marTop w:val="0"/>
      <w:marBottom w:val="0"/>
      <w:divBdr>
        <w:top w:val="none" w:sz="0" w:space="0" w:color="auto"/>
        <w:left w:val="none" w:sz="0" w:space="0" w:color="auto"/>
        <w:bottom w:val="none" w:sz="0" w:space="0" w:color="auto"/>
        <w:right w:val="none" w:sz="0" w:space="0" w:color="auto"/>
      </w:divBdr>
    </w:div>
    <w:div w:id="184570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F43B5-8209-43A6-A67D-FFF48069C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5</Pages>
  <Words>1693</Words>
  <Characters>9651</Characters>
  <Application>Microsoft Office Word</Application>
  <DocSecurity>0</DocSecurity>
  <Lines>80</Lines>
  <Paragraphs>22</Paragraphs>
  <ScaleCrop>false</ScaleCrop>
  <Company/>
  <LinksUpToDate>false</LinksUpToDate>
  <CharactersWithSpaces>11322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shenx_CAICT</dc:creator>
  <cp:keywords/>
  <dc:description/>
  <cp:lastModifiedBy>shenx_CAICT</cp:lastModifiedBy>
  <cp:revision>99</cp:revision>
  <dcterms:created xsi:type="dcterms:W3CDTF">2022-08-11T08:04:00Z</dcterms:created>
  <dcterms:modified xsi:type="dcterms:W3CDTF">2022-09-30T09:57:00Z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-1410721211</vt:i4>
  </property>
</Properties>
</file>