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after="0"/>
        <w:rPr>
          <w:rFonts w:hint="default" w:ascii="Arial" w:hAnsi="Arial" w:eastAsia="宋体" w:cs="Arial"/>
          <w:b/>
          <w:sz w:val="22"/>
          <w:szCs w:val="22"/>
          <w:highlight w:val="yellow"/>
          <w:lang w:val="en-US" w:eastAsia="zh-CN"/>
        </w:rPr>
      </w:pPr>
      <w:r>
        <w:rPr>
          <w:rFonts w:ascii="Arial" w:hAnsi="Arial" w:eastAsia="宋体" w:cs="Arial"/>
          <w:b/>
          <w:sz w:val="22"/>
          <w:szCs w:val="22"/>
          <w:lang w:eastAsia="zh-CN"/>
        </w:rPr>
        <w:t>3GPP TSG RAN WG1 #1</w:t>
      </w:r>
      <w:r>
        <w:rPr>
          <w:rFonts w:hint="eastAsia" w:ascii="Arial" w:hAnsi="Arial" w:eastAsia="宋体" w:cs="Arial"/>
          <w:b/>
          <w:sz w:val="22"/>
          <w:szCs w:val="22"/>
          <w:lang w:val="en-US" w:eastAsia="zh-CN"/>
        </w:rPr>
        <w:t>10</w:t>
      </w:r>
      <w:r>
        <w:rPr>
          <w:rFonts w:hint="default" w:ascii="Arial" w:hAnsi="Arial" w:eastAsia="宋体" w:cs="Arial"/>
          <w:b/>
          <w:sz w:val="22"/>
          <w:szCs w:val="22"/>
          <w:lang w:val="en-US" w:eastAsia="zh-CN"/>
        </w:rPr>
        <w:t>bis-e</w:t>
      </w:r>
      <w:r>
        <w:rPr>
          <w:rFonts w:ascii="Arial" w:hAnsi="Arial" w:eastAsia="宋体" w:cs="Arial"/>
          <w:b/>
          <w:sz w:val="22"/>
          <w:szCs w:val="22"/>
          <w:lang w:eastAsia="zh-CN"/>
        </w:rPr>
        <w:tab/>
      </w:r>
      <w:r>
        <w:rPr>
          <w:rFonts w:ascii="Arial" w:hAnsi="Arial" w:eastAsia="宋体" w:cs="Arial"/>
          <w:b/>
          <w:sz w:val="22"/>
          <w:szCs w:val="22"/>
          <w:lang w:eastAsia="zh-CN"/>
        </w:rPr>
        <w:tab/>
      </w:r>
      <w:r>
        <w:rPr>
          <w:rFonts w:hint="eastAsia" w:ascii="Arial" w:hAnsi="Arial" w:eastAsia="宋体"/>
          <w:b/>
          <w:sz w:val="22"/>
          <w:szCs w:val="22"/>
          <w:highlight w:val="none"/>
          <w:lang w:eastAsia="zh-CN"/>
        </w:rPr>
        <w:t>R1-220</w:t>
      </w:r>
      <w:r>
        <w:rPr>
          <w:rFonts w:hint="default" w:ascii="Arial" w:hAnsi="Arial" w:eastAsia="宋体"/>
          <w:b/>
          <w:sz w:val="22"/>
          <w:szCs w:val="22"/>
          <w:highlight w:val="none"/>
          <w:lang w:val="en-US" w:eastAsia="zh-CN"/>
        </w:rPr>
        <w:t>8837</w:t>
      </w:r>
    </w:p>
    <w:p>
      <w:pPr>
        <w:tabs>
          <w:tab w:val="center" w:pos="4536"/>
          <w:tab w:val="right" w:pos="9072"/>
        </w:tabs>
        <w:spacing w:after="0"/>
        <w:rPr>
          <w:rFonts w:hint="default" w:ascii="Arial" w:hAnsi="Arial" w:eastAsia="宋体" w:cs="Arial"/>
          <w:b/>
          <w:bCs/>
          <w:sz w:val="22"/>
          <w:szCs w:val="22"/>
          <w:lang w:val="en-US" w:eastAsia="zh-CN"/>
        </w:rPr>
      </w:pPr>
      <w:r>
        <w:rPr>
          <w:rFonts w:hint="default" w:ascii="Arial" w:hAnsi="Arial" w:eastAsia="宋体" w:cs="Arial"/>
          <w:b/>
          <w:bCs/>
          <w:sz w:val="22"/>
          <w:szCs w:val="22"/>
          <w:lang w:val="en-US" w:eastAsia="zh-CN"/>
        </w:rPr>
        <w:t>E-meeting, October 10</w:t>
      </w:r>
      <w:r>
        <w:rPr>
          <w:rFonts w:hint="default" w:ascii="Arial" w:hAnsi="Arial" w:eastAsia="宋体" w:cs="Arial"/>
          <w:b/>
          <w:bCs/>
          <w:sz w:val="22"/>
          <w:szCs w:val="22"/>
          <w:vertAlign w:val="superscript"/>
          <w:lang w:val="en-US" w:eastAsia="zh-CN"/>
        </w:rPr>
        <w:t>th</w:t>
      </w:r>
      <w:r>
        <w:rPr>
          <w:rFonts w:hint="default" w:ascii="Arial" w:hAnsi="Arial" w:eastAsia="宋体" w:cs="Arial"/>
          <w:b/>
          <w:bCs/>
          <w:sz w:val="22"/>
          <w:szCs w:val="22"/>
          <w:lang w:val="en-US" w:eastAsia="zh-CN"/>
        </w:rPr>
        <w:t>-19</w:t>
      </w:r>
      <w:r>
        <w:rPr>
          <w:rFonts w:hint="default" w:ascii="Arial" w:hAnsi="Arial" w:eastAsia="宋体" w:cs="Arial"/>
          <w:b/>
          <w:bCs/>
          <w:sz w:val="22"/>
          <w:szCs w:val="22"/>
          <w:vertAlign w:val="superscript"/>
          <w:lang w:val="en-US" w:eastAsia="zh-CN"/>
        </w:rPr>
        <w:t>th</w:t>
      </w:r>
      <w:r>
        <w:rPr>
          <w:rFonts w:hint="default" w:ascii="Arial" w:hAnsi="Arial" w:eastAsia="宋体" w:cs="Arial"/>
          <w:b/>
          <w:bCs/>
          <w:sz w:val="22"/>
          <w:szCs w:val="22"/>
          <w:lang w:val="en-US" w:eastAsia="zh-CN"/>
        </w:rPr>
        <w:t>, 2022</w:t>
      </w:r>
    </w:p>
    <w:p>
      <w:pPr>
        <w:pStyle w:val="22"/>
        <w:tabs>
          <w:tab w:val="left" w:pos="1800"/>
          <w:tab w:val="clear" w:pos="4536"/>
        </w:tabs>
        <w:spacing w:after="0"/>
        <w:ind w:left="1800" w:hanging="1800"/>
        <w:rPr>
          <w:rFonts w:cs="Arial"/>
          <w:sz w:val="22"/>
          <w:szCs w:val="22"/>
          <w:lang w:val="en-GB"/>
        </w:rPr>
      </w:pPr>
    </w:p>
    <w:p>
      <w:pPr>
        <w:pStyle w:val="22"/>
        <w:tabs>
          <w:tab w:val="left" w:pos="1800"/>
          <w:tab w:val="clear" w:pos="4536"/>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pPr>
        <w:pStyle w:val="22"/>
        <w:tabs>
          <w:tab w:val="clear" w:pos="4536"/>
        </w:tabs>
        <w:spacing w:after="0"/>
        <w:ind w:left="1800" w:hanging="1794" w:hangingChars="815"/>
        <w:rPr>
          <w:rFonts w:eastAsia="宋体" w:cs="Arial"/>
          <w:b w:val="0"/>
          <w:sz w:val="22"/>
          <w:szCs w:val="22"/>
          <w:lang w:eastAsia="zh-CN"/>
        </w:rPr>
      </w:pPr>
      <w:r>
        <w:rPr>
          <w:rFonts w:cs="Arial"/>
          <w:sz w:val="22"/>
          <w:szCs w:val="22"/>
        </w:rPr>
        <w:t>Title:</w:t>
      </w:r>
      <w:r>
        <w:rPr>
          <w:rFonts w:cs="Arial"/>
          <w:sz w:val="22"/>
          <w:szCs w:val="22"/>
        </w:rPr>
        <w:tab/>
      </w:r>
      <w:r>
        <w:rPr>
          <w:rFonts w:cs="Arial"/>
          <w:sz w:val="22"/>
          <w:szCs w:val="22"/>
        </w:rPr>
        <w:t>Discussion on improved GNSS operations for IoT NTN</w:t>
      </w:r>
    </w:p>
    <w:p>
      <w:pPr>
        <w:pStyle w:val="22"/>
        <w:tabs>
          <w:tab w:val="clear" w:pos="4536"/>
        </w:tabs>
        <w:spacing w:after="0"/>
        <w:ind w:left="1800" w:hanging="1800" w:hangingChars="815"/>
        <w:rPr>
          <w:rFonts w:hint="default" w:eastAsia="宋体" w:cs="Arial"/>
          <w:sz w:val="22"/>
          <w:szCs w:val="22"/>
          <w:lang w:val="en-US" w:eastAsia="zh-CN"/>
        </w:rPr>
      </w:pPr>
      <w:r>
        <w:rPr>
          <w:rFonts w:eastAsia="宋体" w:cs="Arial"/>
          <w:sz w:val="22"/>
          <w:szCs w:val="22"/>
          <w:lang w:eastAsia="zh-CN"/>
        </w:rPr>
        <w:t>Agenda Item:</w:t>
      </w:r>
      <w:r>
        <w:rPr>
          <w:rFonts w:eastAsia="宋体" w:cs="Arial"/>
          <w:sz w:val="22"/>
          <w:szCs w:val="22"/>
          <w:lang w:eastAsia="zh-CN"/>
        </w:rPr>
        <w:tab/>
      </w:r>
      <w:r>
        <w:rPr>
          <w:rFonts w:eastAsia="宋体" w:cs="Arial"/>
          <w:sz w:val="22"/>
          <w:szCs w:val="22"/>
          <w:lang w:eastAsia="zh-CN"/>
        </w:rPr>
        <w:t>9.12.</w:t>
      </w:r>
      <w:r>
        <w:rPr>
          <w:rFonts w:hint="eastAsia" w:eastAsia="宋体" w:cs="Arial"/>
          <w:sz w:val="22"/>
          <w:szCs w:val="22"/>
          <w:lang w:val="en-US" w:eastAsia="zh-CN"/>
        </w:rPr>
        <w:t>4</w:t>
      </w:r>
    </w:p>
    <w:p>
      <w:pPr>
        <w:pStyle w:val="22"/>
        <w:tabs>
          <w:tab w:val="left" w:pos="1800"/>
        </w:tabs>
        <w:spacing w:after="0"/>
        <w:rPr>
          <w:rFonts w:eastAsia="宋体" w:cs="Arial"/>
          <w:lang w:eastAsia="zh-CN"/>
        </w:rPr>
      </w:pPr>
      <w:r>
        <w:rPr>
          <w:rFonts w:cs="Arial"/>
          <w:sz w:val="22"/>
          <w:szCs w:val="22"/>
        </w:rPr>
        <w:t>Document for:</w:t>
      </w:r>
      <w:r>
        <w:rPr>
          <w:rFonts w:cs="Arial"/>
          <w:sz w:val="22"/>
          <w:szCs w:val="22"/>
        </w:rPr>
        <w:tab/>
      </w:r>
      <w:r>
        <w:rPr>
          <w:rFonts w:cs="Arial"/>
          <w:sz w:val="22"/>
          <w:szCs w:val="22"/>
        </w:rPr>
        <w:t>Discussio</w:t>
      </w:r>
      <w:r>
        <w:rPr>
          <w:rFonts w:eastAsia="宋体" w:cs="Arial"/>
          <w:sz w:val="22"/>
          <w:szCs w:val="22"/>
          <w:lang w:eastAsia="zh-CN"/>
        </w:rPr>
        <w:t>n and Decision</w:t>
      </w:r>
    </w:p>
    <w:p>
      <w:pPr>
        <w:pBdr>
          <w:bottom w:val="single" w:color="auto" w:sz="4" w:space="1"/>
        </w:pBdr>
        <w:tabs>
          <w:tab w:val="left" w:pos="2552"/>
        </w:tabs>
        <w:spacing w:after="0"/>
        <w:rPr>
          <w:rFonts w:eastAsia="宋体"/>
          <w:lang w:eastAsia="zh-CN"/>
        </w:rPr>
      </w:pPr>
    </w:p>
    <w:p>
      <w:pPr>
        <w:pStyle w:val="2"/>
      </w:pPr>
      <w:bookmarkStart w:id="0" w:name="_Ref85728113"/>
      <w:r>
        <w:t>Introduction</w:t>
      </w:r>
      <w:bookmarkEnd w:id="0"/>
    </w:p>
    <w:p>
      <w:pPr>
        <w:pStyle w:val="14"/>
        <w:spacing w:before="120" w:line="259" w:lineRule="auto"/>
        <w:rPr>
          <w:rFonts w:eastAsia="宋体"/>
          <w:iCs/>
          <w:szCs w:val="20"/>
          <w:lang w:eastAsia="zh-CN"/>
        </w:rPr>
      </w:pPr>
      <w:r>
        <w:rPr>
          <w:rFonts w:eastAsia="宋体"/>
          <w:iCs/>
          <w:szCs w:val="20"/>
          <w:lang w:eastAsia="zh-CN"/>
        </w:rPr>
        <w:t>In RAN #95e meeting, a new WI for study on IoT NTN enhancements was approved [1]. The objectives of the study include:</w:t>
      </w:r>
    </w:p>
    <w:p>
      <w:pPr>
        <w:overflowPunct w:val="0"/>
        <w:autoSpaceDE w:val="0"/>
        <w:autoSpaceDN w:val="0"/>
        <w:adjustRightInd w:val="0"/>
        <w:spacing w:after="180" w:line="240" w:lineRule="auto"/>
        <w:textAlignment w:val="baseline"/>
        <w:rPr>
          <w:rFonts w:eastAsia="等线"/>
          <w:i/>
          <w:szCs w:val="20"/>
          <w:lang w:val="en-GB" w:eastAsia="zh-TW"/>
        </w:rPr>
      </w:pPr>
      <w:r>
        <w:rPr>
          <w:rFonts w:eastAsia="等线"/>
          <w:i/>
          <w:szCs w:val="20"/>
          <w:lang w:val="en-GB" w:eastAsia="zh-TW"/>
        </w:rPr>
        <w:t>This work considers Rel-17 IoT-NTN as baseline as well as Rel-17 NR-NTN outcome and the further IoT-NTN performance enhancements objectives are listed below:</w:t>
      </w:r>
    </w:p>
    <w:p>
      <w:pPr>
        <w:overflowPunct w:val="0"/>
        <w:autoSpaceDE w:val="0"/>
        <w:autoSpaceDN w:val="0"/>
        <w:adjustRightInd w:val="0"/>
        <w:spacing w:after="180" w:line="240" w:lineRule="auto"/>
        <w:ind w:left="568" w:hanging="284"/>
        <w:textAlignment w:val="baseline"/>
        <w:rPr>
          <w:rFonts w:eastAsia="等线"/>
          <w:i/>
          <w:szCs w:val="20"/>
          <w:lang w:val="en-GB" w:eastAsia="zh-TW"/>
        </w:rPr>
      </w:pPr>
      <w:r>
        <w:rPr>
          <w:rFonts w:eastAsia="等线"/>
          <w:i/>
          <w:szCs w:val="20"/>
          <w:lang w:val="en-GB" w:eastAsia="zh-TW"/>
        </w:rPr>
        <w:t>-</w:t>
      </w:r>
      <w:r>
        <w:rPr>
          <w:rFonts w:eastAsia="等线"/>
          <w:i/>
          <w:szCs w:val="20"/>
          <w:lang w:val="en-GB" w:eastAsia="zh-TW"/>
        </w:rPr>
        <w:tab/>
      </w:r>
      <w:r>
        <w:rPr>
          <w:rFonts w:eastAsia="等线"/>
          <w:i/>
          <w:szCs w:val="20"/>
          <w:lang w:val="en-GB" w:eastAsia="zh-TW"/>
        </w:rPr>
        <w:t>Disabling of HARQ feedback to mitigate impact of HARQ stalling on UE data rates [RAN1,RAN2]</w:t>
      </w:r>
    </w:p>
    <w:p>
      <w:pPr>
        <w:overflowPunct w:val="0"/>
        <w:autoSpaceDE w:val="0"/>
        <w:autoSpaceDN w:val="0"/>
        <w:adjustRightInd w:val="0"/>
        <w:spacing w:after="180" w:line="240" w:lineRule="auto"/>
        <w:ind w:left="568" w:hanging="284"/>
        <w:textAlignment w:val="baseline"/>
        <w:rPr>
          <w:rFonts w:eastAsia="等线"/>
          <w:i/>
          <w:szCs w:val="20"/>
          <w:lang w:val="en-GB" w:eastAsia="zh-TW"/>
        </w:rPr>
      </w:pPr>
      <w:r>
        <w:rPr>
          <w:rFonts w:eastAsia="等线"/>
          <w:i/>
          <w:szCs w:val="20"/>
          <w:lang w:val="en-GB" w:eastAsia="zh-TW"/>
        </w:rPr>
        <w:t>-</w:t>
      </w:r>
      <w:r>
        <w:rPr>
          <w:rFonts w:eastAsia="等线"/>
          <w:i/>
          <w:szCs w:val="20"/>
          <w:lang w:val="en-GB" w:eastAsia="zh-TW"/>
        </w:rPr>
        <w:tab/>
      </w:r>
      <w:r>
        <w:rPr>
          <w:rFonts w:eastAsia="等线"/>
          <w:i/>
          <w:szCs w:val="20"/>
          <w:lang w:val="en-GB" w:eastAsia="zh-TW"/>
        </w:rPr>
        <w:t xml:space="preserve">Study and specify, if needed, improved GNSS operations for a new position fix for UE pre-compensation during long connection times and for reduced power consumption. </w:t>
      </w:r>
      <w:r>
        <w:rPr>
          <w:rFonts w:eastAsia="等线"/>
          <w:i/>
          <w:szCs w:val="20"/>
          <w:lang w:val="en-GB" w:eastAsia="zh-CN"/>
        </w:rPr>
        <w:t>Simultaneous GNSS and NTN NB-IoT/eMTC operation is not assumed</w:t>
      </w:r>
      <w:r>
        <w:rPr>
          <w:rFonts w:eastAsia="等线"/>
          <w:i/>
          <w:sz w:val="22"/>
          <w:szCs w:val="22"/>
          <w:lang w:val="en-GB" w:eastAsia="zh-CN"/>
        </w:rPr>
        <w:t>.</w:t>
      </w:r>
      <w:r>
        <w:rPr>
          <w:rFonts w:eastAsia="等线"/>
          <w:i/>
          <w:szCs w:val="20"/>
          <w:lang w:val="en-GB" w:eastAsia="zh-TW"/>
        </w:rPr>
        <w:t xml:space="preserve"> [RAN1]</w:t>
      </w:r>
    </w:p>
    <w:p>
      <w:pPr>
        <w:numPr>
          <w:ilvl w:val="0"/>
          <w:numId w:val="7"/>
        </w:numPr>
        <w:overflowPunct w:val="0"/>
        <w:autoSpaceDE w:val="0"/>
        <w:autoSpaceDN w:val="0"/>
        <w:adjustRightInd w:val="0"/>
        <w:spacing w:after="120" w:line="240" w:lineRule="auto"/>
        <w:ind w:left="1077" w:hanging="357"/>
        <w:textAlignment w:val="baseline"/>
        <w:rPr>
          <w:rFonts w:eastAsia="等线"/>
          <w:szCs w:val="20"/>
          <w:lang w:val="en-GB" w:eastAsia="zh-TW"/>
        </w:rPr>
      </w:pPr>
      <w:r>
        <w:rPr>
          <w:rFonts w:eastAsia="等线"/>
          <w:i/>
          <w:szCs w:val="20"/>
          <w:lang w:val="en-GB" w:eastAsia="zh-TW"/>
        </w:rPr>
        <w:t>NOTE: The need for RAN4 Core requirements for this objective will be identified after the conclusion on the need for improvements.</w:t>
      </w:r>
    </w:p>
    <w:p>
      <w:pPr>
        <w:pStyle w:val="14"/>
        <w:spacing w:before="120" w:line="259" w:lineRule="auto"/>
        <w:rPr>
          <w:rFonts w:eastAsia="宋体"/>
          <w:iCs/>
          <w:szCs w:val="20"/>
          <w:lang w:eastAsia="zh-CN"/>
        </w:rPr>
      </w:pPr>
      <w:r>
        <w:rPr>
          <w:rFonts w:hint="eastAsia" w:eastAsia="宋体"/>
          <w:iCs/>
          <w:szCs w:val="20"/>
          <w:lang w:eastAsia="zh-CN"/>
        </w:rPr>
        <w:t>I</w:t>
      </w:r>
      <w:r>
        <w:rPr>
          <w:rFonts w:eastAsia="宋体"/>
          <w:iCs/>
          <w:szCs w:val="20"/>
          <w:lang w:eastAsia="zh-CN"/>
        </w:rPr>
        <w:t>n this contribution, we discuss our considerations on GNSS operation enhancements.</w:t>
      </w:r>
    </w:p>
    <w:p>
      <w:pPr>
        <w:pStyle w:val="2"/>
        <w:rPr>
          <w:rFonts w:cs="Times New Roman"/>
        </w:rPr>
      </w:pPr>
      <w:r>
        <w:rPr>
          <w:rFonts w:cs="Times New Roman"/>
        </w:rPr>
        <w:t>Discussion</w:t>
      </w:r>
    </w:p>
    <w:p>
      <w:pPr>
        <w:rPr>
          <w:rFonts w:hint="eastAsia" w:eastAsia="宋体"/>
          <w:lang w:val="en-US" w:eastAsia="zh-CN"/>
        </w:rPr>
      </w:pPr>
      <w:r>
        <w:rPr>
          <w:rFonts w:hint="eastAsia" w:eastAsia="宋体"/>
          <w:lang w:val="en-US" w:eastAsia="zh-CN"/>
        </w:rPr>
        <w:t xml:space="preserve">In the last meeting RAN1#109, the group has identified several issues and in this document we provide our views on them. </w:t>
      </w:r>
    </w:p>
    <w:p>
      <w:pPr>
        <w:rPr>
          <w:b/>
          <w:bCs/>
          <w:iCs/>
        </w:rPr>
      </w:pPr>
      <w:r>
        <w:rPr>
          <w:b/>
          <w:iCs/>
          <w:highlight w:val="green"/>
        </w:rPr>
        <w:t>Agreement</w:t>
      </w:r>
    </w:p>
    <w:p>
      <w:pPr>
        <w:rPr>
          <w:bCs/>
          <w:iCs/>
        </w:rPr>
      </w:pPr>
      <w:r>
        <w:rPr>
          <w:bCs/>
          <w:iCs/>
        </w:rPr>
        <w:t>GNSS assistance information that UE reports to eNB at least consists of:</w:t>
      </w:r>
    </w:p>
    <w:p>
      <w:pPr>
        <w:pStyle w:val="67"/>
        <w:numPr>
          <w:ilvl w:val="0"/>
          <w:numId w:val="8"/>
        </w:numPr>
        <w:tabs>
          <w:tab w:val="left" w:pos="360"/>
        </w:tabs>
        <w:ind w:leftChars="0"/>
        <w:rPr>
          <w:bCs/>
          <w:iCs/>
        </w:rPr>
      </w:pPr>
      <w:r>
        <w:rPr>
          <w:rFonts w:eastAsia="宋体"/>
          <w:bCs/>
          <w:iCs/>
          <w:lang w:eastAsia="zh-CN"/>
        </w:rPr>
        <w:t xml:space="preserve">GNSS position fix time duration for measurement </w:t>
      </w:r>
    </w:p>
    <w:p>
      <w:pPr>
        <w:pStyle w:val="67"/>
        <w:numPr>
          <w:ilvl w:val="0"/>
          <w:numId w:val="8"/>
        </w:numPr>
        <w:tabs>
          <w:tab w:val="left" w:pos="360"/>
        </w:tabs>
        <w:ind w:leftChars="0"/>
        <w:jc w:val="both"/>
        <w:rPr>
          <w:bCs/>
          <w:iCs/>
          <w:lang w:eastAsia="zh-CN"/>
        </w:rPr>
      </w:pPr>
      <w:r>
        <w:rPr>
          <w:bCs/>
          <w:iCs/>
          <w:lang w:eastAsia="zh-CN"/>
        </w:rPr>
        <w:t xml:space="preserve">GNSS validity duration </w:t>
      </w:r>
    </w:p>
    <w:p>
      <w:pPr>
        <w:pStyle w:val="27"/>
        <w:spacing w:before="0" w:beforeAutospacing="0" w:after="0" w:afterAutospacing="0"/>
        <w:rPr>
          <w:b/>
          <w:sz w:val="20"/>
          <w:lang w:val="en-GB"/>
        </w:rPr>
      </w:pPr>
    </w:p>
    <w:p>
      <w:pPr>
        <w:rPr>
          <w:b/>
          <w:bCs/>
          <w:iCs/>
        </w:rPr>
      </w:pPr>
      <w:r>
        <w:rPr>
          <w:b/>
          <w:iCs/>
          <w:highlight w:val="green"/>
        </w:rPr>
        <w:t>Agreement</w:t>
      </w:r>
    </w:p>
    <w:p>
      <w:pPr>
        <w:rPr>
          <w:iCs/>
        </w:rPr>
      </w:pPr>
      <w:r>
        <w:rPr>
          <w:iCs/>
        </w:rPr>
        <w:t>When eNB triggers UE to make GNSS measurements, UE re-acquires GNSS position fix</w:t>
      </w:r>
    </w:p>
    <w:p>
      <w:pPr>
        <w:numPr>
          <w:ilvl w:val="0"/>
          <w:numId w:val="9"/>
        </w:numPr>
        <w:rPr>
          <w:iCs/>
        </w:rPr>
      </w:pPr>
      <w:r>
        <w:rPr>
          <w:rFonts w:hint="eastAsia" w:eastAsia="Times New Roman"/>
          <w:iCs/>
          <w:lang w:eastAsia="zh-CN"/>
        </w:rPr>
        <w:t>F</w:t>
      </w:r>
      <w:r>
        <w:rPr>
          <w:rFonts w:eastAsia="Times New Roman"/>
          <w:iCs/>
          <w:lang w:eastAsia="zh-CN"/>
        </w:rPr>
        <w:t>FS details of signalling</w:t>
      </w:r>
    </w:p>
    <w:p>
      <w:pPr>
        <w:numPr>
          <w:ilvl w:val="0"/>
          <w:numId w:val="9"/>
        </w:numPr>
        <w:rPr>
          <w:iCs/>
        </w:rPr>
      </w:pPr>
      <w:r>
        <w:rPr>
          <w:iCs/>
        </w:rPr>
        <w:t>FFS how UE reports GNSS assistance information after eNB trigger and the detailed content</w:t>
      </w:r>
    </w:p>
    <w:p>
      <w:pPr>
        <w:numPr>
          <w:ilvl w:val="0"/>
          <w:numId w:val="9"/>
        </w:numPr>
        <w:rPr>
          <w:iCs/>
        </w:rPr>
      </w:pPr>
      <w:r>
        <w:rPr>
          <w:iCs/>
        </w:rPr>
        <w:t>Note: further discuss whether a UE is expected to handle all eNB triggers</w:t>
      </w:r>
    </w:p>
    <w:p>
      <w:pPr>
        <w:rPr>
          <w:rFonts w:hint="default" w:eastAsia="宋体"/>
          <w:lang w:val="en-US" w:eastAsia="zh-CN"/>
        </w:rPr>
      </w:pPr>
    </w:p>
    <w:p>
      <w:pPr>
        <w:pStyle w:val="3"/>
        <w:rPr>
          <w:sz w:val="21"/>
          <w:szCs w:val="21"/>
        </w:rPr>
      </w:pPr>
      <w:r>
        <w:rPr>
          <w:rFonts w:hint="default"/>
          <w:sz w:val="21"/>
          <w:szCs w:val="21"/>
          <w:lang w:val="en-US"/>
        </w:rPr>
        <w:t>GNSS measurement triggering</w:t>
      </w:r>
    </w:p>
    <w:p>
      <w:pPr>
        <w:jc w:val="both"/>
        <w:rPr>
          <w:rFonts w:hint="default"/>
          <w:sz w:val="21"/>
          <w:szCs w:val="21"/>
          <w:lang w:val="en-US"/>
        </w:rPr>
      </w:pPr>
      <w:r>
        <w:rPr>
          <w:rFonts w:hint="default"/>
          <w:sz w:val="21"/>
          <w:szCs w:val="21"/>
          <w:lang w:val="en-US"/>
        </w:rPr>
        <w:t xml:space="preserve">In last RAN1#110 meeting we have agreed to let eNB to trigger UE to perform GNSS measurement. In addition, we had another agreement on the UE assistance information to eNB about the measurement duration and GNSS validity duration. Thus, a most straightforward way is to allow dynamic GNSS measurement triggering. First off, eNB knows the UE validity duration and then it knows when the UE GNSS data may become updated. Second, the eNB maintains the close-loop synchronization for the UE thus, it also knows at the period approaching to the UE GNSS validity duration expiry whether the close-loop synchronization procedure can still ensure a good communication between eNB and UE. Third, eNB may have a good knowledge about the UE traffic statistics. All these three points may lead the eNB to decide whether to trigger the UE to perform GNSS measurement. Therefore, dynamic triggering may be a good way to give eNB more freedom to manage the GNSS measurement timing. </w:t>
      </w:r>
    </w:p>
    <w:p>
      <w:pPr>
        <w:jc w:val="both"/>
        <w:rPr>
          <w:rFonts w:hint="default"/>
          <w:b/>
          <w:bCs/>
          <w:sz w:val="21"/>
          <w:szCs w:val="21"/>
          <w:lang w:val="en-US"/>
        </w:rPr>
      </w:pPr>
      <w:r>
        <w:rPr>
          <w:rFonts w:hint="default"/>
          <w:b/>
          <w:bCs/>
          <w:sz w:val="21"/>
          <w:szCs w:val="21"/>
          <w:lang w:val="en-US"/>
        </w:rPr>
        <w:t xml:space="preserve">Proposal 1: dynamic eNB triggering GNSS measurement should be supported. </w:t>
      </w:r>
    </w:p>
    <w:p>
      <w:pPr>
        <w:jc w:val="both"/>
        <w:rPr>
          <w:rFonts w:hint="default"/>
          <w:sz w:val="21"/>
          <w:szCs w:val="21"/>
          <w:lang w:val="en-US"/>
        </w:rPr>
      </w:pPr>
      <w:r>
        <w:rPr>
          <w:rFonts w:hint="default"/>
          <w:sz w:val="21"/>
          <w:szCs w:val="21"/>
          <w:lang w:val="en-US"/>
        </w:rPr>
        <w:t xml:space="preserve">On the other hand, dynamic triggering naturally consumes more resources and eventually reduces system spectrum efficiency. Given that NTN-IoT system already expects to support HARQ disabling, which might need for eNB to trigger blind transmissions. Moreover, given the large number of IoT devices,  optimization on the spectrum efficiency should be considered. Thus, semi-static GNSS measurement gap configured should also be supported. The network may flexibly decide the trade-off between spectrum efficiency and triggering flexibility. </w:t>
      </w:r>
    </w:p>
    <w:p>
      <w:pPr>
        <w:jc w:val="both"/>
        <w:rPr>
          <w:rFonts w:hint="default"/>
          <w:b/>
          <w:bCs/>
          <w:sz w:val="21"/>
          <w:szCs w:val="21"/>
          <w:lang w:val="en-US"/>
        </w:rPr>
      </w:pPr>
      <w:r>
        <w:rPr>
          <w:rFonts w:hint="default"/>
          <w:b/>
          <w:bCs/>
          <w:sz w:val="21"/>
          <w:szCs w:val="21"/>
          <w:lang w:val="en-US"/>
        </w:rPr>
        <w:t xml:space="preserve">Proposal 2: additionally, semi-static GNSS measurement gap configured can be considered to reduce the system signaling overhead. </w:t>
      </w:r>
    </w:p>
    <w:p>
      <w:pPr>
        <w:pStyle w:val="3"/>
        <w:rPr>
          <w:sz w:val="21"/>
          <w:szCs w:val="21"/>
        </w:rPr>
      </w:pPr>
      <w:r>
        <w:rPr>
          <w:rFonts w:hint="default"/>
          <w:sz w:val="21"/>
          <w:szCs w:val="21"/>
          <w:lang w:val="en-US"/>
        </w:rPr>
        <w:t>GNSS measurement procedure</w:t>
      </w:r>
    </w:p>
    <w:p>
      <w:pPr>
        <w:jc w:val="both"/>
        <w:rPr>
          <w:rFonts w:hint="default"/>
          <w:sz w:val="21"/>
          <w:szCs w:val="21"/>
          <w:lang w:val="en-US"/>
        </w:rPr>
      </w:pPr>
      <w:r>
        <w:rPr>
          <w:rFonts w:hint="default"/>
          <w:sz w:val="21"/>
          <w:szCs w:val="21"/>
          <w:lang w:val="en-US"/>
        </w:rPr>
        <w:t xml:space="preserve">In the previous two meetings, RAN1 has discussed GNSS measurement procedure. One issue was not yet reached consensus, i.e. after UE starts to perform GNSS measurement, if UE does not complete the GNSS measurement within a given period, what the UE behavior is to protect the UE from endless measuring. There are two proposals on the table. In option 1: proponents suggest to follow RLF procedure, that is when UE does not obtain GNSS measurement, the UE should declare RLF and then follow RLF procedure. And another option 2 is to follow the legacy UE behavior, i.e. UE goes back to idle mode. From our view, we think it would make much more sense if the UE behavior is aligned with R17. Moreover, it is hard to see any benefits for option 1 over option 2 thus such UE behavior change is not needed. </w:t>
      </w:r>
    </w:p>
    <w:p>
      <w:pPr>
        <w:jc w:val="both"/>
        <w:rPr>
          <w:rFonts w:hint="default"/>
          <w:b/>
          <w:bCs/>
          <w:sz w:val="21"/>
          <w:szCs w:val="21"/>
          <w:lang w:val="en-US"/>
        </w:rPr>
      </w:pPr>
      <w:r>
        <w:rPr>
          <w:rFonts w:hint="default"/>
          <w:b/>
          <w:bCs/>
          <w:sz w:val="21"/>
          <w:szCs w:val="21"/>
          <w:lang w:val="en-US"/>
        </w:rPr>
        <w:t xml:space="preserve">Proposal 3: If UE cannot complete the GNSS measurement, the UE should go back to idle. </w:t>
      </w:r>
    </w:p>
    <w:p>
      <w:pPr>
        <w:pStyle w:val="2"/>
      </w:pPr>
      <w:r>
        <w:t>Conclusion</w:t>
      </w:r>
    </w:p>
    <w:p>
      <w:pPr>
        <w:pStyle w:val="14"/>
        <w:spacing w:before="120" w:beforeLines="50"/>
        <w:rPr>
          <w:rFonts w:eastAsia="宋体"/>
          <w:lang w:eastAsia="zh-CN"/>
        </w:rPr>
      </w:pPr>
      <w:r>
        <w:rPr>
          <w:rFonts w:eastAsia="宋体"/>
          <w:lang w:eastAsia="zh-CN"/>
        </w:rPr>
        <w:t xml:space="preserve">This contribution </w:t>
      </w:r>
      <w:r>
        <w:rPr>
          <w:rFonts w:eastAsia="宋体"/>
          <w:iCs/>
          <w:szCs w:val="20"/>
          <w:lang w:eastAsia="zh-CN"/>
        </w:rPr>
        <w:t>discusses our considerations on GNSS operation enhancements and</w:t>
      </w:r>
      <w:r>
        <w:rPr>
          <w:rFonts w:eastAsia="宋体"/>
          <w:lang w:eastAsia="zh-CN"/>
        </w:rPr>
        <w:t xml:space="preserve"> provides the following observations and proposals.</w:t>
      </w:r>
    </w:p>
    <w:p>
      <w:pPr>
        <w:spacing w:after="120"/>
        <w:rPr>
          <w:rFonts w:hint="default"/>
          <w:b/>
          <w:bCs/>
          <w:sz w:val="21"/>
          <w:szCs w:val="21"/>
          <w:lang w:val="en-US"/>
        </w:rPr>
      </w:pPr>
      <w:r>
        <w:rPr>
          <w:rFonts w:hint="default"/>
          <w:b/>
          <w:bCs/>
          <w:sz w:val="21"/>
          <w:szCs w:val="21"/>
          <w:lang w:val="en-US"/>
        </w:rPr>
        <w:t>Proposal 1: dynamic eNB triggering GNSS measurement should be supported.</w:t>
      </w:r>
    </w:p>
    <w:p>
      <w:pPr>
        <w:jc w:val="both"/>
        <w:rPr>
          <w:rFonts w:hint="default"/>
          <w:b/>
          <w:bCs/>
          <w:sz w:val="21"/>
          <w:szCs w:val="21"/>
          <w:lang w:val="en-US"/>
        </w:rPr>
      </w:pPr>
      <w:r>
        <w:rPr>
          <w:rFonts w:hint="default"/>
          <w:b/>
          <w:bCs/>
          <w:sz w:val="21"/>
          <w:szCs w:val="21"/>
          <w:lang w:val="en-US"/>
        </w:rPr>
        <w:t xml:space="preserve">Proposal 2: additionally, semi-static GNSS measurement gap configured can be considered to reduce the system signaling overhead. </w:t>
      </w:r>
    </w:p>
    <w:p>
      <w:pPr>
        <w:jc w:val="both"/>
        <w:rPr>
          <w:rFonts w:hint="default"/>
          <w:b/>
          <w:bCs/>
          <w:sz w:val="21"/>
          <w:szCs w:val="21"/>
          <w:lang w:val="en-US"/>
        </w:rPr>
      </w:pPr>
      <w:r>
        <w:rPr>
          <w:rFonts w:hint="default"/>
          <w:b/>
          <w:bCs/>
          <w:sz w:val="21"/>
          <w:szCs w:val="21"/>
          <w:lang w:val="en-US"/>
        </w:rPr>
        <w:t xml:space="preserve">Proposal 3: If UE cannot complete the GNSS measurement, the UE should go back to idle. </w:t>
      </w:r>
      <w:bookmarkStart w:id="1" w:name="_GoBack"/>
      <w:bookmarkEnd w:id="1"/>
    </w:p>
    <w:p>
      <w:pPr>
        <w:spacing w:after="120"/>
        <w:rPr>
          <w:rFonts w:hint="default"/>
          <w:b/>
          <w:bCs/>
          <w:sz w:val="21"/>
          <w:szCs w:val="21"/>
          <w:lang w:val="en-US" w:eastAsia="zh-CN"/>
        </w:rPr>
      </w:pPr>
    </w:p>
    <w:p>
      <w:pPr>
        <w:pStyle w:val="2"/>
      </w:pPr>
      <w:r>
        <w:t>Reference</w:t>
      </w:r>
    </w:p>
    <w:p>
      <w:pPr>
        <w:spacing w:after="120"/>
        <w:rPr>
          <w:rFonts w:eastAsia="宋体"/>
          <w:color w:val="000000"/>
          <w:szCs w:val="20"/>
          <w:lang w:eastAsia="zh-CN"/>
        </w:rPr>
      </w:pPr>
      <w:r>
        <w:rPr>
          <w:rFonts w:eastAsia="宋体"/>
          <w:color w:val="000000"/>
          <w:szCs w:val="20"/>
          <w:lang w:eastAsia="zh-CN"/>
        </w:rPr>
        <w:t xml:space="preserve">[1] RP-220979, Revised WID on IoT NTN enhancements, </w:t>
      </w:r>
      <w:r>
        <w:rPr>
          <w:rFonts w:eastAsia="宋体"/>
          <w:szCs w:val="20"/>
          <w:lang w:eastAsia="zh-CN"/>
        </w:rPr>
        <w:t>MediaTek Inc</w:t>
      </w:r>
      <w:r>
        <w:rPr>
          <w:rFonts w:eastAsia="宋体"/>
          <w:color w:val="000000"/>
          <w:szCs w:val="20"/>
          <w:lang w:eastAsia="zh-CN"/>
        </w:rPr>
        <w:t>.</w:t>
      </w:r>
    </w:p>
    <w:p>
      <w:pPr>
        <w:spacing w:after="120"/>
        <w:rPr>
          <w:rFonts w:hint="eastAsia" w:eastAsia="宋体"/>
          <w:color w:val="000000"/>
          <w:szCs w:val="20"/>
          <w:lang w:eastAsia="zh-CN"/>
        </w:rPr>
      </w:pPr>
      <w:r>
        <w:rPr>
          <w:rFonts w:eastAsia="宋体"/>
          <w:color w:val="000000"/>
          <w:szCs w:val="20"/>
          <w:lang w:eastAsia="zh-CN"/>
        </w:rPr>
        <w:t xml:space="preserve">[2] </w:t>
      </w:r>
      <w:r>
        <w:rPr>
          <w:rFonts w:eastAsia="宋体"/>
          <w:szCs w:val="20"/>
          <w:lang w:eastAsia="zh-CN"/>
        </w:rPr>
        <w:t>3GPP TR36.763</w:t>
      </w:r>
      <w:r>
        <w:rPr>
          <w:rFonts w:eastAsia="宋体"/>
          <w:color w:val="000000"/>
          <w:szCs w:val="20"/>
          <w:lang w:eastAsia="zh-CN"/>
        </w:rPr>
        <w:t xml:space="preserve">, </w:t>
      </w:r>
      <w:r>
        <w:rPr>
          <w:rFonts w:eastAsia="宋体"/>
          <w:szCs w:val="20"/>
          <w:lang w:eastAsia="zh-CN"/>
        </w:rPr>
        <w:t>Study on Narrow-Band Internet of Things (NB-IoT)/enhanced Machine Type Communication (eMTC) support for Non-Terrestrial Networks (NTN).</w:t>
      </w:r>
    </w:p>
    <w:p>
      <w:pPr>
        <w:spacing w:after="120"/>
        <w:rPr>
          <w:rFonts w:eastAsia="宋体"/>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923D0"/>
    <w:multiLevelType w:val="multilevel"/>
    <w:tmpl w:val="1E892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2">
    <w:nsid w:val="4DF874E4"/>
    <w:multiLevelType w:val="multilevel"/>
    <w:tmpl w:val="4DF874E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52AE361F"/>
    <w:multiLevelType w:val="multilevel"/>
    <w:tmpl w:val="52AE36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8"/>
  </w:num>
  <w:num w:numId="2">
    <w:abstractNumId w:val="6"/>
  </w:num>
  <w:num w:numId="3">
    <w:abstractNumId w:val="7"/>
  </w:num>
  <w:num w:numId="4">
    <w:abstractNumId w:val="4"/>
  </w:num>
  <w:num w:numId="5">
    <w:abstractNumId w:val="1"/>
  </w:num>
  <w:num w:numId="6">
    <w:abstractNumId w:val="5"/>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89B4E78"/>
    <w:rsid w:val="09BF2351"/>
    <w:rsid w:val="127756B4"/>
    <w:rsid w:val="165D6AE1"/>
    <w:rsid w:val="2FFFFE55"/>
    <w:rsid w:val="32BDCB28"/>
    <w:rsid w:val="38E057E4"/>
    <w:rsid w:val="3C2D08A4"/>
    <w:rsid w:val="3CBF6E29"/>
    <w:rsid w:val="3E602708"/>
    <w:rsid w:val="4B6906A1"/>
    <w:rsid w:val="4DDD3990"/>
    <w:rsid w:val="4DF97A10"/>
    <w:rsid w:val="51E84BF0"/>
    <w:rsid w:val="57CF050A"/>
    <w:rsid w:val="58312510"/>
    <w:rsid w:val="58D01724"/>
    <w:rsid w:val="5F7B894C"/>
    <w:rsid w:val="612D2A31"/>
    <w:rsid w:val="63753E2B"/>
    <w:rsid w:val="664857EC"/>
    <w:rsid w:val="676AA382"/>
    <w:rsid w:val="6B77066F"/>
    <w:rsid w:val="6BCB0C8C"/>
    <w:rsid w:val="6C165B49"/>
    <w:rsid w:val="6F7E4B22"/>
    <w:rsid w:val="73A45645"/>
    <w:rsid w:val="75B83CCF"/>
    <w:rsid w:val="76D44AC9"/>
    <w:rsid w:val="7725122B"/>
    <w:rsid w:val="77D5EBDD"/>
    <w:rsid w:val="77FF31C3"/>
    <w:rsid w:val="7C8823A9"/>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1</TotalTime>
  <ScaleCrop>false</ScaleCrop>
  <LinksUpToDate>false</LinksUpToDate>
  <CharactersWithSpaces>6599</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FR000018</cp:lastModifiedBy>
  <cp:lastPrinted>2019-08-11T16:10:00Z</cp:lastPrinted>
  <dcterms:modified xsi:type="dcterms:W3CDTF">2022-09-29T12:23:42Z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594B8ADE68804B16AA76198432F6F585</vt:lpwstr>
  </property>
</Properties>
</file>