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b/>
          <w:bCs/>
          <w:sz w:val="22"/>
          <w:lang w:val="en-GB" w:eastAsia="zh-CN"/>
        </w:rPr>
      </w:pPr>
      <w:r>
        <w:rPr>
          <w:rFonts w:ascii="Arial" w:hAnsi="Arial" w:eastAsia="MS Mincho" w:cs="Arial"/>
          <w:b/>
          <w:sz w:val="22"/>
          <w:lang w:val="en-GB"/>
        </w:rPr>
        <w:t xml:space="preserve">3GPP TSG RAN WG1 </w:t>
      </w:r>
      <w:r>
        <w:rPr>
          <w:rFonts w:ascii="Arial" w:hAnsi="Arial" w:eastAsia="MS Mincho" w:cs="Arial"/>
          <w:b/>
          <w:bCs/>
          <w:sz w:val="22"/>
          <w:lang w:val="en-GB"/>
        </w:rPr>
        <w:t>#1</w:t>
      </w:r>
      <w:r>
        <w:rPr>
          <w:rFonts w:hint="eastAsia" w:ascii="Arial" w:hAnsi="Arial" w:cs="Arial" w:eastAsiaTheme="minorEastAsia"/>
          <w:b/>
          <w:bCs/>
          <w:sz w:val="22"/>
          <w:lang w:eastAsia="zh-CN"/>
        </w:rPr>
        <w:t>10</w:t>
      </w:r>
      <w:r>
        <w:rPr>
          <w:rFonts w:ascii="Arial" w:hAnsi="Arial" w:cs="Arial" w:eastAsiaTheme="minorEastAsia"/>
          <w:b/>
          <w:bCs/>
          <w:sz w:val="22"/>
          <w:lang w:eastAsia="zh-CN"/>
        </w:rPr>
        <w:t>bis-e</w:t>
      </w:r>
      <w:r>
        <w:rPr>
          <w:rFonts w:ascii="Arial" w:hAnsi="Arial" w:eastAsia="MS Mincho" w:cs="Arial"/>
          <w:b/>
          <w:sz w:val="22"/>
          <w:lang w:val="en-GB"/>
        </w:rPr>
        <w:tab/>
      </w:r>
      <w:r>
        <w:rPr>
          <w:rFonts w:ascii="Arial" w:hAnsi="Arial" w:eastAsia="MS Mincho" w:cs="Arial"/>
          <w:b/>
          <w:sz w:val="22"/>
          <w:lang w:val="en-GB"/>
        </w:rPr>
        <w:tab/>
      </w:r>
      <w:r>
        <w:rPr>
          <w:rFonts w:ascii="Arial" w:hAnsi="Arial" w:eastAsia="MS Mincho" w:cs="Arial"/>
          <w:b/>
          <w:sz w:val="22"/>
          <w:lang w:val="en-GB"/>
        </w:rPr>
        <w:t xml:space="preserve">                                                                 </w:t>
      </w:r>
      <w:r>
        <w:rPr>
          <w:rFonts w:hint="eastAsia" w:ascii="Arial" w:hAnsi="Arial" w:eastAsia="MS Mincho" w:cs="Arial"/>
          <w:b/>
          <w:sz w:val="22"/>
          <w:lang w:val="en-GB"/>
        </w:rPr>
        <w:t>R1-</w:t>
      </w:r>
      <w:r>
        <w:rPr>
          <w:rFonts w:ascii="Arial" w:hAnsi="Arial" w:eastAsia="MS Mincho" w:cs="Arial"/>
          <w:b/>
          <w:sz w:val="22"/>
          <w:lang w:val="en-GB"/>
        </w:rPr>
        <w:t>2208714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sz w:val="22"/>
        </w:rPr>
      </w:pPr>
      <w:r>
        <w:rPr>
          <w:rFonts w:ascii="Arial" w:hAnsi="Arial" w:eastAsia="MS Mincho" w:cs="Arial"/>
          <w:b/>
          <w:sz w:val="22"/>
        </w:rPr>
        <w:t>e-Meeting, October 10</w:t>
      </w:r>
      <w:r>
        <w:rPr>
          <w:rFonts w:ascii="Arial" w:hAnsi="Arial" w:eastAsia="MS Mincho" w:cs="Arial"/>
          <w:b/>
          <w:sz w:val="22"/>
          <w:vertAlign w:val="superscript"/>
        </w:rPr>
        <w:t>th</w:t>
      </w:r>
      <w:r>
        <w:rPr>
          <w:rFonts w:ascii="Arial" w:hAnsi="Arial" w:eastAsia="MS Mincho" w:cs="Arial"/>
          <w:b/>
          <w:sz w:val="22"/>
        </w:rPr>
        <w:t xml:space="preserve"> – 19</w:t>
      </w:r>
      <w:r>
        <w:rPr>
          <w:rFonts w:ascii="Arial" w:hAnsi="Arial" w:eastAsia="MS Mincho" w:cs="Arial"/>
          <w:b/>
          <w:sz w:val="22"/>
          <w:vertAlign w:val="superscript"/>
        </w:rPr>
        <w:t>th</w:t>
      </w:r>
      <w:r>
        <w:rPr>
          <w:rFonts w:ascii="Arial" w:hAnsi="Arial" w:eastAsia="MS Mincho" w:cs="Arial"/>
          <w:b/>
          <w:sz w:val="22"/>
        </w:rPr>
        <w:t>, 202</w:t>
      </w:r>
      <w:r>
        <w:rPr>
          <w:rFonts w:hint="eastAsia" w:ascii="Arial" w:hAnsi="Arial" w:eastAsia="MS Mincho" w:cs="Arial"/>
          <w:b/>
          <w:sz w:val="22"/>
        </w:rPr>
        <w:t>2</w:t>
      </w:r>
    </w:p>
    <w:p>
      <w:pPr>
        <w:pStyle w:val="16"/>
        <w:tabs>
          <w:tab w:val="left" w:pos="1800"/>
        </w:tabs>
        <w:ind w:left="1800" w:hanging="1800"/>
        <w:rPr>
          <w:rFonts w:ascii="Arial" w:hAnsi="Arial" w:eastAsia="宋体" w:cs="Arial"/>
          <w:b/>
          <w:sz w:val="22"/>
          <w:szCs w:val="22"/>
          <w:lang w:eastAsia="zh-CN"/>
        </w:rPr>
      </w:pPr>
    </w:p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>
      <w:pPr>
        <w:pStyle w:val="16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Draft reply LS on Pemax,c of S-SSB transmission</w:t>
      </w:r>
    </w:p>
    <w:p>
      <w:pPr>
        <w:pStyle w:val="16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R1-2208348/</w:t>
      </w:r>
      <w:r>
        <w:t xml:space="preserve"> </w:t>
      </w:r>
      <w:r>
        <w:rPr>
          <w:rFonts w:ascii="Arial" w:hAnsi="Arial" w:cs="Arial"/>
          <w:sz w:val="22"/>
          <w:szCs w:val="22"/>
        </w:rPr>
        <w:t>R4-2214421</w:t>
      </w:r>
    </w:p>
    <w:p>
      <w:pPr>
        <w:pStyle w:val="16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Rel-16</w:t>
      </w:r>
    </w:p>
    <w:p>
      <w:pPr>
        <w:pStyle w:val="16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ja-JP"/>
        </w:rPr>
        <w:t>5G_V2X_NRSL-Core</w:t>
      </w:r>
    </w:p>
    <w:p>
      <w:pPr>
        <w:pStyle w:val="16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pStyle w:val="16"/>
        <w:tabs>
          <w:tab w:val="left" w:pos="1800"/>
        </w:tabs>
        <w:ind w:left="1800" w:hanging="1800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eastAsia="zh-CN"/>
        </w:rPr>
        <w:t>ZTE, Sanechips [to be RAN1]</w:t>
      </w:r>
    </w:p>
    <w:p>
      <w:pPr>
        <w:pStyle w:val="16"/>
        <w:tabs>
          <w:tab w:val="left" w:pos="1800"/>
        </w:tabs>
        <w:ind w:left="1800" w:hanging="180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RAN4</w:t>
      </w:r>
      <w:bookmarkStart w:id="12" w:name="_GoBack"/>
      <w:bookmarkEnd w:id="12"/>
    </w:p>
    <w:p>
      <w:pPr>
        <w:pStyle w:val="16"/>
        <w:tabs>
          <w:tab w:val="left" w:pos="1800"/>
        </w:tabs>
        <w:ind w:left="1800" w:hanging="180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RAN2</w:t>
      </w:r>
    </w:p>
    <w:p>
      <w:pPr>
        <w:pStyle w:val="16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>
      <w:pPr>
        <w:tabs>
          <w:tab w:val="left" w:pos="2268"/>
        </w:tabs>
        <w:ind w:firstLine="550" w:firstLineChars="250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eastAsia="zh-CN"/>
        </w:rPr>
        <w:t>Yuzhou Hu</w:t>
      </w:r>
    </w:p>
    <w:p>
      <w:pPr>
        <w:tabs>
          <w:tab w:val="left" w:pos="2268"/>
        </w:tabs>
        <w:ind w:firstLine="550" w:firstLineChars="25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E-mail Address:</w:t>
      </w:r>
      <w:r>
        <w:rPr>
          <w:rFonts w:ascii="Arial" w:hAnsi="Arial" w:cs="Arial"/>
          <w:b/>
          <w:sz w:val="22"/>
          <w:szCs w:val="22"/>
          <w:lang w:val="en-GB"/>
        </w:rPr>
        <w:tab/>
      </w:r>
      <w:r>
        <w:fldChar w:fldCharType="begin"/>
      </w:r>
      <w:r>
        <w:instrText xml:space="preserve"> HYPERLINK "mailto:huyuzhou@zte.com.cn" </w:instrText>
      </w:r>
      <w:r>
        <w:fldChar w:fldCharType="separate"/>
      </w:r>
      <w:r>
        <w:rPr>
          <w:rStyle w:val="27"/>
          <w:rFonts w:hint="eastAsia" w:ascii="Arial" w:hAnsi="Arial" w:eastAsia="宋体" w:cs="Arial"/>
          <w:sz w:val="22"/>
          <w:szCs w:val="22"/>
          <w:lang w:val="en-GB" w:eastAsia="zh-CN"/>
        </w:rPr>
        <w:t>hu.yuzhou</w:t>
      </w:r>
      <w:r>
        <w:rPr>
          <w:rStyle w:val="27"/>
          <w:rFonts w:ascii="Arial" w:hAnsi="Arial" w:cs="Arial"/>
          <w:sz w:val="22"/>
          <w:szCs w:val="22"/>
          <w:lang w:val="en-GB"/>
        </w:rPr>
        <w:t>@</w:t>
      </w:r>
      <w:r>
        <w:rPr>
          <w:rStyle w:val="27"/>
          <w:rFonts w:hint="eastAsia" w:ascii="Arial" w:hAnsi="Arial" w:eastAsia="宋体" w:cs="Arial"/>
          <w:sz w:val="22"/>
          <w:szCs w:val="22"/>
          <w:lang w:val="en-GB" w:eastAsia="zh-CN"/>
        </w:rPr>
        <w:t>zte</w:t>
      </w:r>
      <w:r>
        <w:rPr>
          <w:rStyle w:val="27"/>
          <w:rFonts w:ascii="Arial" w:hAnsi="Arial" w:cs="Arial"/>
          <w:sz w:val="22"/>
          <w:szCs w:val="22"/>
          <w:lang w:val="en-GB"/>
        </w:rPr>
        <w:t>.com.cn</w:t>
      </w:r>
      <w:r>
        <w:rPr>
          <w:rStyle w:val="27"/>
          <w:rFonts w:ascii="Arial" w:hAnsi="Arial" w:cs="Arial"/>
          <w:sz w:val="22"/>
          <w:szCs w:val="22"/>
          <w:lang w:val="en-GB"/>
        </w:rPr>
        <w:fldChar w:fldCharType="end"/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>
      <w:pPr>
        <w:pBdr>
          <w:bottom w:val="single" w:color="auto" w:sz="4" w:space="1"/>
        </w:pBdr>
        <w:tabs>
          <w:tab w:val="left" w:pos="2552"/>
        </w:tabs>
        <w:spacing w:beforeLines="50" w:afterLines="50"/>
        <w:rPr>
          <w:rFonts w:eastAsia="宋体"/>
          <w:lang w:val="en-GB" w:eastAsia="zh-CN"/>
        </w:rPr>
      </w:pPr>
    </w:p>
    <w:p>
      <w:pPr>
        <w:pStyle w:val="2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RAN4 for the LS</w:t>
      </w:r>
      <w:r>
        <w:rPr>
          <w:rFonts w:hint="eastAsia" w:eastAsiaTheme="minorEastAsia"/>
          <w:lang w:eastAsia="zh-CN"/>
        </w:rPr>
        <w:t xml:space="preserve"> (</w:t>
      </w:r>
      <w:r>
        <w:rPr>
          <w:rFonts w:eastAsiaTheme="minorEastAsia"/>
          <w:lang w:eastAsia="zh-CN"/>
        </w:rPr>
        <w:t>R1-2208348/ R4-2214421</w:t>
      </w:r>
      <w:r>
        <w:rPr>
          <w:rFonts w:hint="eastAsia"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on </w:t>
      </w:r>
      <w:r>
        <w:rPr>
          <w:rFonts w:eastAsia="Malgun Gothic"/>
          <w:iCs/>
        </w:rPr>
        <w:t>the Pemax</w:t>
      </w:r>
      <w:r>
        <w:rPr>
          <w:rFonts w:hint="eastAsia" w:eastAsiaTheme="minorEastAsia"/>
          <w:iCs/>
          <w:lang w:eastAsia="zh-CN"/>
        </w:rPr>
        <w:t>,c</w:t>
      </w:r>
      <w:r>
        <w:rPr>
          <w:rFonts w:eastAsia="Malgun Gothic"/>
          <w:iCs/>
        </w:rPr>
        <w:t xml:space="preserve"> parameters for S-SSB transmission</w:t>
      </w:r>
      <w:r>
        <w:rPr>
          <w:rFonts w:eastAsiaTheme="minorEastAsia"/>
          <w:lang w:eastAsia="zh-CN"/>
        </w:rPr>
        <w:t xml:space="preserve">. </w:t>
      </w:r>
      <w:r>
        <w:rPr>
          <w:rFonts w:hint="eastAsia" w:eastAsiaTheme="minorEastAsia"/>
          <w:lang w:eastAsia="zh-CN"/>
        </w:rPr>
        <w:t>In the LS, RAN</w:t>
      </w:r>
      <w:r>
        <w:rPr>
          <w:rFonts w:eastAsiaTheme="minorEastAsia"/>
          <w:lang w:eastAsia="zh-CN"/>
        </w:rPr>
        <w:t>4</w:t>
      </w:r>
      <w:r>
        <w:rPr>
          <w:rFonts w:hint="eastAsia" w:eastAsiaTheme="minorEastAsia"/>
          <w:lang w:eastAsia="zh-CN"/>
        </w:rPr>
        <w:t xml:space="preserve"> raised </w:t>
      </w:r>
      <w:r>
        <w:rPr>
          <w:rFonts w:eastAsiaTheme="minorEastAsia"/>
          <w:lang w:eastAsia="zh-CN"/>
        </w:rPr>
        <w:t>a</w:t>
      </w:r>
      <w:r>
        <w:rPr>
          <w:rFonts w:hint="eastAsia" w:eastAsiaTheme="minorEastAsia"/>
          <w:lang w:eastAsia="zh-CN"/>
        </w:rPr>
        <w:t xml:space="preserve"> question</w:t>
      </w:r>
      <w:r>
        <w:rPr>
          <w:rFonts w:eastAsiaTheme="minorEastAsia"/>
          <w:lang w:eastAsia="zh-CN"/>
        </w:rPr>
        <w:t xml:space="preserve"> as follows:</w:t>
      </w:r>
    </w:p>
    <w:p>
      <w:pPr>
        <w:pStyle w:val="92"/>
        <w:spacing w:after="100" w:afterAutospacing="1"/>
        <w:jc w:val="both"/>
        <w:rPr>
          <w:rFonts w:eastAsia="Gulim"/>
        </w:rPr>
      </w:pPr>
      <w:r>
        <w:rPr>
          <w:rFonts w:cs="Arial"/>
          <w:b/>
          <w:bCs/>
          <w:sz w:val="20"/>
        </w:rPr>
        <w:t xml:space="preserve">Question 1: </w:t>
      </w:r>
      <w:r>
        <w:rPr>
          <w:rFonts w:ascii="Arial" w:hAnsi="Arial" w:eastAsia="Gulim" w:cs="Arial"/>
          <w:sz w:val="20"/>
          <w:szCs w:val="20"/>
          <w:lang w:val="en-GB"/>
        </w:rPr>
        <w:t>RAN4 agreed not to define P</w:t>
      </w:r>
      <w:r>
        <w:rPr>
          <w:rFonts w:ascii="Arial" w:hAnsi="Arial" w:eastAsia="Gulim" w:cs="Arial"/>
          <w:sz w:val="20"/>
          <w:szCs w:val="20"/>
          <w:vertAlign w:val="subscript"/>
          <w:lang w:val="en-GB"/>
        </w:rPr>
        <w:t>EMAX,c</w:t>
      </w:r>
      <w:r>
        <w:rPr>
          <w:rFonts w:ascii="Arial" w:hAnsi="Arial" w:eastAsia="Gulim" w:cs="Arial"/>
          <w:sz w:val="20"/>
          <w:szCs w:val="20"/>
          <w:lang w:val="en-GB"/>
        </w:rPr>
        <w:t xml:space="preserve"> for S-SSB configured Tx Power in TS38.101-1 as highlighted yellow below and would like to know if this can have any impact to RAN1/2, for example, Pcompensation defined in idle mode procedure in TS 38.304.</w:t>
      </w:r>
      <w:r>
        <w:rPr>
          <w:rFonts w:eastAsia="Gulim"/>
        </w:rPr>
        <w:t xml:space="preserve"> </w:t>
      </w:r>
    </w:p>
    <w:p>
      <w:pPr>
        <w:pStyle w:val="92"/>
        <w:pBdr>
          <w:top w:val="single" w:color="auto" w:sz="4" w:space="1"/>
        </w:pBdr>
        <w:spacing w:after="240"/>
        <w:ind w:left="510" w:hanging="510"/>
        <w:rPr>
          <w:rFonts w:eastAsia="Gulim"/>
          <w:i/>
          <w:iCs/>
        </w:rPr>
      </w:pPr>
      <w:r>
        <w:rPr>
          <w:rFonts w:ascii="Arial" w:hAnsi="Arial" w:eastAsia="Gulim" w:cs="Arial"/>
          <w:i/>
          <w:iCs/>
          <w:sz w:val="28"/>
          <w:szCs w:val="28"/>
        </w:rPr>
        <w:t>6.2E.4          Configured transmitted power for V2X</w:t>
      </w:r>
    </w:p>
    <w:p>
      <w:pPr>
        <w:pStyle w:val="92"/>
        <w:spacing w:after="240"/>
        <w:ind w:left="1299" w:hanging="879"/>
        <w:rPr>
          <w:rFonts w:eastAsia="Gulim"/>
          <w:i/>
          <w:iCs/>
        </w:rPr>
      </w:pPr>
      <w:bookmarkStart w:id="0" w:name="x__Toc76509171"/>
      <w:bookmarkEnd w:id="0"/>
      <w:bookmarkStart w:id="1" w:name="x__Toc45888158"/>
      <w:bookmarkEnd w:id="1"/>
      <w:bookmarkStart w:id="2" w:name="x__Toc61367402"/>
      <w:bookmarkEnd w:id="2"/>
      <w:bookmarkStart w:id="3" w:name="x__Toc69084139"/>
      <w:bookmarkEnd w:id="3"/>
      <w:bookmarkStart w:id="4" w:name="x__Toc75467149"/>
      <w:bookmarkEnd w:id="4"/>
      <w:bookmarkStart w:id="5" w:name="x__Toc76718161"/>
      <w:bookmarkEnd w:id="5"/>
      <w:bookmarkStart w:id="6" w:name="x__Toc83580471"/>
      <w:bookmarkEnd w:id="6"/>
      <w:bookmarkStart w:id="7" w:name="x__Toc84413589"/>
      <w:bookmarkEnd w:id="7"/>
      <w:bookmarkStart w:id="8" w:name="x__Toc45888757"/>
      <w:bookmarkEnd w:id="8"/>
      <w:bookmarkStart w:id="9" w:name="x__Toc84404980"/>
      <w:bookmarkEnd w:id="9"/>
      <w:bookmarkStart w:id="10" w:name="x__Toc68230726"/>
      <w:bookmarkEnd w:id="10"/>
      <w:bookmarkStart w:id="11" w:name="x__Toc61372785"/>
      <w:bookmarkEnd w:id="11"/>
      <w:r>
        <w:rPr>
          <w:rFonts w:ascii="Arial" w:hAnsi="Arial" w:eastAsia="Gulim" w:cs="Arial"/>
          <w:i/>
          <w:iCs/>
          <w:sz w:val="24"/>
          <w:szCs w:val="24"/>
        </w:rPr>
        <w:t>6.2E.4.1    General</w:t>
      </w:r>
    </w:p>
    <w:p>
      <w:pPr>
        <w:pStyle w:val="92"/>
        <w:autoSpaceDE w:val="0"/>
        <w:autoSpaceDN w:val="0"/>
        <w:spacing w:after="180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>The NR V2X UE is allowed to set its configured maximum output power P</w:t>
      </w:r>
      <w:r>
        <w:rPr>
          <w:rFonts w:ascii="Times New Roman" w:hAnsi="Times New Roman" w:eastAsia="Gulim" w:cs="Times New Roman"/>
          <w:i/>
          <w:iCs/>
          <w:sz w:val="20"/>
          <w:szCs w:val="20"/>
          <w:vertAlign w:val="subscript"/>
          <w:lang w:val="en-GB"/>
        </w:rPr>
        <w:t>CMAX,f,c</w:t>
      </w: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 xml:space="preserve"> for carrier f of serving cell c in each slot. The configured maximum output power P</w:t>
      </w:r>
      <w:r>
        <w:rPr>
          <w:rFonts w:ascii="Times New Roman" w:hAnsi="Times New Roman" w:eastAsia="Gulim" w:cs="Times New Roman"/>
          <w:i/>
          <w:iCs/>
          <w:sz w:val="20"/>
          <w:szCs w:val="20"/>
          <w:vertAlign w:val="subscript"/>
          <w:lang w:val="en-GB"/>
        </w:rPr>
        <w:t>CMAX,f,c</w:t>
      </w: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 xml:space="preserve"> is set within the following bounds:</w:t>
      </w:r>
    </w:p>
    <w:p>
      <w:pPr>
        <w:pStyle w:val="92"/>
        <w:autoSpaceDE w:val="0"/>
        <w:autoSpaceDN w:val="0"/>
        <w:spacing w:after="180"/>
        <w:jc w:val="center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>P</w:t>
      </w:r>
      <w:r>
        <w:rPr>
          <w:rFonts w:ascii="Times New Roman" w:hAnsi="Times New Roman" w:eastAsia="Gulim" w:cs="Times New Roman"/>
          <w:i/>
          <w:iCs/>
          <w:sz w:val="20"/>
          <w:szCs w:val="20"/>
          <w:vertAlign w:val="subscript"/>
          <w:lang w:val="en-GB"/>
        </w:rPr>
        <w:t>CMAX_L,f,c</w:t>
      </w: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 xml:space="preserve"> ≤  P</w:t>
      </w:r>
      <w:r>
        <w:rPr>
          <w:rFonts w:ascii="Times New Roman" w:hAnsi="Times New Roman" w:eastAsia="Gulim" w:cs="Times New Roman"/>
          <w:i/>
          <w:iCs/>
          <w:sz w:val="20"/>
          <w:szCs w:val="20"/>
          <w:vertAlign w:val="subscript"/>
          <w:lang w:val="en-GB"/>
        </w:rPr>
        <w:t xml:space="preserve">CMAX,f,c </w:t>
      </w: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> ≤  P</w:t>
      </w:r>
      <w:r>
        <w:rPr>
          <w:rFonts w:ascii="Times New Roman" w:hAnsi="Times New Roman" w:eastAsia="Gulim" w:cs="Times New Roman"/>
          <w:i/>
          <w:iCs/>
          <w:sz w:val="20"/>
          <w:szCs w:val="20"/>
          <w:vertAlign w:val="subscript"/>
          <w:lang w:val="en-GB"/>
        </w:rPr>
        <w:t>CMAX_H,f,c</w:t>
      </w: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 xml:space="preserve"> with</w:t>
      </w:r>
    </w:p>
    <w:p>
      <w:pPr>
        <w:pStyle w:val="92"/>
        <w:autoSpaceDE w:val="0"/>
        <w:autoSpaceDN w:val="0"/>
        <w:spacing w:after="180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   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CMAX_L,f, 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= MIN {P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EMAX,c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, 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PowerClass, V2X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MAX(MAX(MPR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, A-MPR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) + </w:t>
      </w: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>D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IB,c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, P-MPR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),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Regulatory,c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}</w:t>
      </w:r>
    </w:p>
    <w:p>
      <w:pPr>
        <w:pStyle w:val="92"/>
        <w:autoSpaceDE w:val="0"/>
        <w:autoSpaceDN w:val="0"/>
        <w:spacing w:after="180"/>
        <w:ind w:firstLine="300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CMAX_H,f, 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= MIN {P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EMAX,c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,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PowerClass, V2X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, 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Regulatory,c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}</w:t>
      </w:r>
    </w:p>
    <w:p>
      <w:pPr>
        <w:pStyle w:val="92"/>
        <w:autoSpaceDE w:val="0"/>
        <w:autoSpaceDN w:val="0"/>
        <w:spacing w:after="180"/>
        <w:ind w:firstLine="200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eastAsia="Gulim" w:cs="Times New Roman"/>
          <w:i/>
          <w:iCs/>
          <w:sz w:val="20"/>
          <w:szCs w:val="20"/>
          <w:lang w:val="en-GB"/>
        </w:rPr>
        <w:t>where</w:t>
      </w:r>
    </w:p>
    <w:p>
      <w:pPr>
        <w:pStyle w:val="92"/>
        <w:autoSpaceDE w:val="0"/>
        <w:autoSpaceDN w:val="0"/>
        <w:spacing w:after="180"/>
        <w:ind w:left="568" w:hanging="284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- 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 xml:space="preserve">CMAX,f,c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is configured for PSSCH\PSCCH, S-SSB and PSFCH, respectively;</w:t>
      </w:r>
    </w:p>
    <w:p>
      <w:pPr>
        <w:pStyle w:val="92"/>
        <w:autoSpaceDE w:val="0"/>
        <w:autoSpaceDN w:val="0"/>
        <w:spacing w:after="180"/>
        <w:ind w:left="568" w:hanging="284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-  For the total transmitted power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CMAX,PSSCH/PSCCH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, P</w:t>
      </w:r>
      <w:r>
        <w:rPr>
          <w:rFonts w:ascii="Times New Roman" w:hAnsi="Times New Roman" w:cs="Times New Roman"/>
          <w:i/>
          <w:iCs/>
          <w:sz w:val="20"/>
          <w:szCs w:val="20"/>
          <w:vertAlign w:val="subscript"/>
          <w:lang w:val="en-GB"/>
        </w:rPr>
        <w:t>EMAX,c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is the value given by IE sl-maxTransPower, defined by TS 38.331.</w:t>
      </w:r>
    </w:p>
    <w:p>
      <w:pPr>
        <w:pStyle w:val="92"/>
        <w:autoSpaceDE w:val="0"/>
        <w:autoSpaceDN w:val="0"/>
        <w:spacing w:after="180"/>
        <w:ind w:left="568" w:hanging="284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-  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For the total transmitted power 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CMAX,S-SSB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, the 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 xml:space="preserve">CMAX_L,f,c 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and 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CMAX_H,f,c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are defined as follows:</w:t>
      </w:r>
    </w:p>
    <w:p>
      <w:pPr>
        <w:pStyle w:val="92"/>
        <w:autoSpaceDE w:val="0"/>
        <w:autoSpaceDN w:val="0"/>
        <w:spacing w:after="180"/>
        <w:ind w:left="880" w:firstLine="100"/>
        <w:rPr>
          <w:rFonts w:ascii="Times New Roman" w:hAnsi="Times New Roman" w:eastAsia="Gulim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CMAX_L,f,c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= MIN {P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PowerClass, V2X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</w:rPr>
        <w:t>–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MAX(MAX(MPR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, A-MPR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) + </w:t>
      </w:r>
      <w:r>
        <w:rPr>
          <w:rFonts w:ascii="Times New Roman" w:hAnsi="Times New Roman" w:eastAsia="Gulim" w:cs="Times New Roman"/>
          <w:i/>
          <w:iCs/>
          <w:sz w:val="20"/>
          <w:szCs w:val="20"/>
          <w:shd w:val="clear" w:color="auto" w:fill="FFFF00"/>
          <w:lang w:val="en-GB"/>
        </w:rPr>
        <w:t>D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IB,c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, P-MPR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), 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Regulatory,c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}</w:t>
      </w:r>
    </w:p>
    <w:p>
      <w:pPr>
        <w:pStyle w:val="92"/>
        <w:pBdr>
          <w:bottom w:val="single" w:color="auto" w:sz="4" w:space="1"/>
        </w:pBdr>
        <w:autoSpaceDE w:val="0"/>
        <w:autoSpaceDN w:val="0"/>
        <w:spacing w:after="180"/>
        <w:ind w:firstLine="1000"/>
        <w:rPr>
          <w:rFonts w:ascii="Times New Roman" w:hAnsi="Times New Roman" w:eastAsia="Gulim" w:cs="Times New Roman"/>
        </w:rPr>
      </w:pP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CMAX_H,f,c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 xml:space="preserve"> = MIN {P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PowerClass, V2X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,  P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vertAlign w:val="subscript"/>
          <w:lang w:val="en-GB"/>
        </w:rPr>
        <w:t>Regulatory,c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00"/>
          <w:lang w:val="en-GB"/>
        </w:rPr>
        <w:t>}</w:t>
      </w:r>
    </w:p>
    <w:p>
      <w:pPr>
        <w:pStyle w:val="16"/>
        <w:rPr>
          <w:rFonts w:eastAsia="宋体" w:cs="Arial"/>
          <w:b/>
          <w:lang w:eastAsia="zh-CN"/>
        </w:rPr>
      </w:pPr>
      <w:r>
        <w:rPr>
          <w:rFonts w:hint="eastAsia" w:eastAsia="宋体" w:cs="Arial"/>
          <w:b/>
          <w:lang w:eastAsia="zh-CN"/>
        </w:rPr>
        <w:t>A</w:t>
      </w:r>
      <w:r>
        <w:rPr>
          <w:rFonts w:eastAsia="宋体" w:cs="Arial"/>
          <w:b/>
          <w:lang w:eastAsia="zh-CN"/>
        </w:rPr>
        <w:t>nswer 1:</w:t>
      </w:r>
    </w:p>
    <w:p>
      <w:pPr>
        <w:rPr>
          <w:rFonts w:eastAsiaTheme="minorEastAsia"/>
          <w:lang w:eastAsia="zh-CN"/>
        </w:rPr>
      </w:pPr>
      <w:r>
        <w:rPr>
          <w:rFonts w:eastAsia="Gulim"/>
          <w:lang w:val="en-GB"/>
        </w:rPr>
        <w:t>F</w:t>
      </w:r>
      <w:r>
        <w:rPr>
          <w:rFonts w:eastAsiaTheme="minorEastAsia"/>
          <w:lang w:eastAsia="zh-CN"/>
        </w:rPr>
        <w:t xml:space="preserve">rom RAN1’s perspective, </w:t>
      </w:r>
      <w:r>
        <w:rPr>
          <w:iCs/>
          <w:lang w:val="en-GB"/>
        </w:rPr>
        <w:t>the total transmitted power</w:t>
      </w:r>
      <w:r>
        <w:rPr>
          <w:i/>
          <w:iCs/>
          <w:lang w:val="en-GB"/>
        </w:rPr>
        <w:t xml:space="preserve"> P</w:t>
      </w:r>
      <w:r>
        <w:rPr>
          <w:i/>
          <w:iCs/>
          <w:vertAlign w:val="subscript"/>
          <w:lang w:val="en-GB"/>
        </w:rPr>
        <w:t>CMAX,S-SSB</w:t>
      </w:r>
      <w:r>
        <w:rPr>
          <w:rFonts w:eastAsiaTheme="minorEastAsia"/>
          <w:lang w:eastAsia="zh-CN"/>
        </w:rPr>
        <w:t xml:space="preserve">  should be defined per carrier, instead of per resource pool, thus the description of </w:t>
      </w:r>
      <w:r>
        <w:rPr>
          <w:rFonts w:eastAsia="Gulim"/>
          <w:lang w:val="en-GB"/>
        </w:rPr>
        <w:t>S-SSB configured Tx Power in TS38.101-1 as highlighted yellow above is reasonable, and</w:t>
      </w:r>
      <w:r>
        <w:rPr>
          <w:rFonts w:eastAsiaTheme="minorEastAsia"/>
          <w:lang w:eastAsia="zh-CN"/>
        </w:rPr>
        <w:t xml:space="preserve"> there is no impact on RAN1 about the agreement RAN4 made on Pemax,c of S-SSB transmission.</w:t>
      </w:r>
    </w:p>
    <w:p>
      <w:pPr>
        <w:spacing w:beforeLines="50" w:after="120"/>
        <w:rPr>
          <w:rFonts w:eastAsiaTheme="minorEastAsia"/>
          <w:lang w:eastAsia="zh-CN"/>
        </w:rPr>
      </w:pPr>
    </w:p>
    <w:p>
      <w:pPr>
        <w:pStyle w:val="2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>To RAN</w:t>
      </w:r>
      <w:r>
        <w:rPr>
          <w:rFonts w:hint="eastAsia" w:ascii="Arial" w:hAnsi="Arial" w:eastAsia="宋体" w:cs="Arial"/>
          <w:b/>
          <w:lang w:val="en-US" w:eastAsia="zh-CN"/>
        </w:rPr>
        <w:t>4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hint="eastAsia" w:eastAsiaTheme="minorEastAsia"/>
          <w:lang w:val="en-US"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o take above responses into account </w:t>
      </w:r>
      <w:r>
        <w:rPr>
          <w:rFonts w:hint="eastAsia"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future work.</w:t>
      </w:r>
    </w:p>
    <w:p>
      <w:pPr>
        <w:spacing w:beforeLines="50" w:after="120"/>
        <w:rPr>
          <w:rFonts w:eastAsiaTheme="minorEastAsia"/>
          <w:lang w:eastAsia="zh-CN"/>
        </w:rPr>
      </w:pPr>
    </w:p>
    <w:p>
      <w:pPr>
        <w:pStyle w:val="2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>
      <w:pPr>
        <w:spacing w:after="120"/>
        <w:rPr>
          <w:rFonts w:eastAsiaTheme="minorEastAsia"/>
          <w:lang w:val="en-GB" w:eastAsia="zh-CN"/>
        </w:rPr>
      </w:pPr>
      <w:r>
        <w:rPr>
          <w:rFonts w:hint="eastAsia"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hint="eastAsia" w:eastAsiaTheme="minorEastAsia"/>
          <w:lang w:eastAsia="zh-CN"/>
        </w:rPr>
        <w:t>14</w:t>
      </w:r>
      <w:r>
        <w:rPr>
          <w:rFonts w:eastAsiaTheme="minorEastAsia"/>
          <w:vertAlign w:val="superscript"/>
          <w:lang w:val="en-GB" w:eastAsia="zh-CN"/>
        </w:rPr>
        <w:t>th</w:t>
      </w:r>
      <w:r>
        <w:rPr>
          <w:rFonts w:eastAsiaTheme="minorEastAsia"/>
          <w:lang w:val="en-GB" w:eastAsia="zh-CN"/>
        </w:rPr>
        <w:t xml:space="preserve"> -</w:t>
      </w:r>
      <w:r>
        <w:rPr>
          <w:rFonts w:hint="eastAsia" w:eastAsiaTheme="minorEastAsia"/>
          <w:lang w:eastAsia="zh-CN"/>
        </w:rPr>
        <w:t>18</w:t>
      </w:r>
      <w:r>
        <w:rPr>
          <w:rFonts w:eastAsiaTheme="minorEastAsia"/>
          <w:vertAlign w:val="superscript"/>
          <w:lang w:val="en-GB" w:eastAsia="zh-CN"/>
        </w:rPr>
        <w:t>th</w:t>
      </w:r>
      <w:r>
        <w:rPr>
          <w:rFonts w:eastAsiaTheme="minorEastAsia"/>
          <w:lang w:val="en-GB"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>Toulouse, France</w:t>
      </w:r>
    </w:p>
    <w:p>
      <w:pPr>
        <w:spacing w:after="120"/>
        <w:rPr>
          <w:rFonts w:eastAsiaTheme="minorEastAsia"/>
          <w:lang w:val="en-GB" w:eastAsia="zh-CN"/>
        </w:rPr>
      </w:pPr>
      <w:r>
        <w:rPr>
          <w:rFonts w:hint="eastAsia"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eastAsia="zh-CN"/>
        </w:rPr>
        <w:t>27 February to 3 March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>Athens</w:t>
      </w:r>
      <w:r>
        <w:rPr>
          <w:rFonts w:hint="eastAsia"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Greece</w:t>
      </w:r>
    </w:p>
    <w:p>
      <w:pPr>
        <w:spacing w:after="120"/>
        <w:rPr>
          <w:rFonts w:eastAsiaTheme="minorEastAsia"/>
          <w:lang w:val="en-GB" w:eastAsia="zh-CN"/>
        </w:rPr>
      </w:pPr>
    </w:p>
    <w:p>
      <w:pPr>
        <w:spacing w:after="120"/>
        <w:rPr>
          <w:rFonts w:eastAsiaTheme="minorEastAsia"/>
          <w:lang w:val="en-GB" w:eastAsia="zh-CN"/>
        </w:rPr>
      </w:pPr>
    </w:p>
    <w:sectPr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6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 w:tentative="0">
      <w:start w:val="1"/>
      <w:numFmt w:val="bullet"/>
      <w:pStyle w:val="5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1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3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4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8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79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B88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CB6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868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AE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04E0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38B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2D8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19B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5CD9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3B50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C70D4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00F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D93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2D3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706"/>
    <w:rsid w:val="00554FAE"/>
    <w:rsid w:val="00555C86"/>
    <w:rsid w:val="00556214"/>
    <w:rsid w:val="00560E90"/>
    <w:rsid w:val="0056230A"/>
    <w:rsid w:val="00562CEA"/>
    <w:rsid w:val="00565E6E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1CBF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69C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2CB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981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1D1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4605"/>
    <w:rsid w:val="008548D6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2B6F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2DA4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5EC2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393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714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70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607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440F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001C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079B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4C50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4CC9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35F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5D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3FB"/>
    <w:rsid w:val="00D40BD4"/>
    <w:rsid w:val="00D411DB"/>
    <w:rsid w:val="00D41839"/>
    <w:rsid w:val="00D42760"/>
    <w:rsid w:val="00D427A6"/>
    <w:rsid w:val="00D43563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7B9"/>
    <w:rsid w:val="00D849AE"/>
    <w:rsid w:val="00D84FCA"/>
    <w:rsid w:val="00D8665F"/>
    <w:rsid w:val="00D86C10"/>
    <w:rsid w:val="00D93875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17DC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444B"/>
    <w:rsid w:val="00E45204"/>
    <w:rsid w:val="00E4648C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2EC4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3EE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B1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35F7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C6FE5"/>
    <w:rsid w:val="00FC7060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362351F9"/>
    <w:rsid w:val="483D4A92"/>
    <w:rsid w:val="49766908"/>
    <w:rsid w:val="49B145F3"/>
    <w:rsid w:val="57990C47"/>
    <w:rsid w:val="5DF01955"/>
    <w:rsid w:val="65F32C4F"/>
    <w:rsid w:val="67120C16"/>
    <w:rsid w:val="6B0F4841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link w:val="33"/>
    <w:qFormat/>
    <w:uiPriority w:val="0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3"/>
    <w:next w:val="1"/>
    <w:link w:val="34"/>
    <w:qFormat/>
    <w:uiPriority w:val="0"/>
    <w:pPr>
      <w:numPr>
        <w:ilvl w:val="2"/>
      </w:numPr>
      <w:tabs>
        <w:tab w:val="left" w:pos="-5500"/>
        <w:tab w:val="clear" w:pos="-806"/>
      </w:tabs>
      <w:spacing w:before="120" w:after="180"/>
      <w:outlineLvl w:val="2"/>
    </w:pPr>
    <w:rPr>
      <w:rFonts w:cs="Arial"/>
      <w:szCs w:val="24"/>
    </w:rPr>
  </w:style>
  <w:style w:type="paragraph" w:styleId="5">
    <w:name w:val="heading 4"/>
    <w:basedOn w:val="1"/>
    <w:next w:val="1"/>
    <w:link w:val="35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36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8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39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40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9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42"/>
    <w:qFormat/>
    <w:uiPriority w:val="99"/>
    <w:rPr>
      <w:lang w:val="zh-CN"/>
    </w:rPr>
  </w:style>
  <w:style w:type="paragraph" w:styleId="13">
    <w:name w:val="Body Text"/>
    <w:basedOn w:val="1"/>
    <w:link w:val="41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4">
    <w:name w:val="Balloon Text"/>
    <w:basedOn w:val="1"/>
    <w:link w:val="29"/>
    <w:unhideWhenUsed/>
    <w:qFormat/>
    <w:uiPriority w:val="99"/>
    <w:rPr>
      <w:rFonts w:ascii="宋体" w:eastAsia="宋体"/>
      <w:sz w:val="18"/>
      <w:szCs w:val="18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320"/>
        <w:tab w:val="right" w:pos="8640"/>
      </w:tabs>
    </w:pPr>
  </w:style>
  <w:style w:type="paragraph" w:styleId="16">
    <w:name w:val="header"/>
    <w:basedOn w:val="1"/>
    <w:link w:val="30"/>
    <w:unhideWhenUsed/>
    <w:qFormat/>
    <w:uiPriority w:val="0"/>
    <w:pPr>
      <w:tabs>
        <w:tab w:val="center" w:pos="4320"/>
        <w:tab w:val="right" w:pos="8640"/>
      </w:tabs>
    </w:pPr>
  </w:style>
  <w:style w:type="paragraph" w:styleId="17">
    <w:name w:val="Subtitle"/>
    <w:basedOn w:val="1"/>
    <w:next w:val="1"/>
    <w:link w:val="63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19">
    <w:name w:val="Title"/>
    <w:basedOn w:val="1"/>
    <w:next w:val="1"/>
    <w:link w:val="6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20">
    <w:name w:val="annotation subject"/>
    <w:basedOn w:val="12"/>
    <w:next w:val="12"/>
    <w:link w:val="56"/>
    <w:unhideWhenUsed/>
    <w:qFormat/>
    <w:uiPriority w:val="99"/>
    <w:rPr>
      <w:b/>
      <w:bCs/>
      <w:lang w:val="en-US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22"/>
    <w:rPr>
      <w:b/>
      <w:bCs/>
    </w:rPr>
  </w:style>
  <w:style w:type="character" w:styleId="25">
    <w:name w:val="FollowedHyperlink"/>
    <w:basedOn w:val="23"/>
    <w:semiHidden/>
    <w:unhideWhenUsed/>
    <w:qFormat/>
    <w:uiPriority w:val="99"/>
    <w:rPr>
      <w:color w:val="800080" w:themeColor="followedHyperlink"/>
      <w:u w:val="single"/>
    </w:rPr>
  </w:style>
  <w:style w:type="character" w:styleId="26">
    <w:name w:val="Emphasis"/>
    <w:basedOn w:val="23"/>
    <w:qFormat/>
    <w:uiPriority w:val="20"/>
    <w:rPr>
      <w:i/>
      <w:iCs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qFormat/>
    <w:uiPriority w:val="99"/>
    <w:rPr>
      <w:sz w:val="21"/>
    </w:rPr>
  </w:style>
  <w:style w:type="character" w:customStyle="1" w:styleId="29">
    <w:name w:val="批注框文本 Char"/>
    <w:basedOn w:val="23"/>
    <w:link w:val="14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30">
    <w:name w:val="页眉 Char"/>
    <w:basedOn w:val="23"/>
    <w:link w:val="16"/>
    <w:qFormat/>
    <w:uiPriority w:val="0"/>
  </w:style>
  <w:style w:type="character" w:customStyle="1" w:styleId="31">
    <w:name w:val="页脚 Char"/>
    <w:basedOn w:val="23"/>
    <w:link w:val="15"/>
    <w:qFormat/>
    <w:uiPriority w:val="99"/>
  </w:style>
  <w:style w:type="character" w:customStyle="1" w:styleId="32">
    <w:name w:val="标题 1 Char"/>
    <w:basedOn w:val="23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3">
    <w:name w:val="标题 2 Char"/>
    <w:basedOn w:val="23"/>
    <w:link w:val="3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4">
    <w:name w:val="标题 3 Char"/>
    <w:basedOn w:val="23"/>
    <w:link w:val="4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5">
    <w:name w:val="标题 4 Char"/>
    <w:basedOn w:val="23"/>
    <w:link w:val="5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6">
    <w:name w:val="标题 5 Char"/>
    <w:basedOn w:val="23"/>
    <w:link w:val="6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7">
    <w:name w:val="标题 6 Char"/>
    <w:basedOn w:val="23"/>
    <w:link w:val="7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8">
    <w:name w:val="标题 7 Char"/>
    <w:basedOn w:val="23"/>
    <w:link w:val="8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39">
    <w:name w:val="标题 8 Char"/>
    <w:basedOn w:val="23"/>
    <w:link w:val="9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40">
    <w:name w:val="标题 9 Char"/>
    <w:basedOn w:val="23"/>
    <w:link w:val="10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1">
    <w:name w:val="正文文本 Char"/>
    <w:link w:val="13"/>
    <w:qFormat/>
    <w:uiPriority w:val="0"/>
    <w:rPr>
      <w:rFonts w:eastAsia="MS Mincho"/>
      <w:lang w:eastAsia="en-US"/>
    </w:rPr>
  </w:style>
  <w:style w:type="character" w:customStyle="1" w:styleId="42">
    <w:name w:val="批注文字 Char"/>
    <w:basedOn w:val="23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3">
    <w:name w:val="TH"/>
    <w:basedOn w:val="1"/>
    <w:link w:val="4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4">
    <w:name w:val="TAH"/>
    <w:basedOn w:val="1"/>
    <w:link w:val="49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5">
    <w:name w:val="正文文本 Char1"/>
    <w:basedOn w:val="23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6">
    <w:name w:val="TH Char"/>
    <w:link w:val="43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7">
    <w:name w:val="列出段落1"/>
    <w:basedOn w:val="1"/>
    <w:link w:val="48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8">
    <w:name w:val="列出段落 Char"/>
    <w:link w:val="47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49">
    <w:name w:val="TAH Car"/>
    <w:link w:val="44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50">
    <w:name w:val="bullet1"/>
    <w:basedOn w:val="1"/>
    <w:link w:val="52"/>
    <w:qFormat/>
    <w:uiPriority w:val="0"/>
    <w:pPr>
      <w:numPr>
        <w:ilvl w:val="0"/>
        <w:numId w:val="2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1">
    <w:name w:val="bullet2"/>
    <w:basedOn w:val="1"/>
    <w:qFormat/>
    <w:uiPriority w:val="0"/>
    <w:pPr>
      <w:numPr>
        <w:ilvl w:val="1"/>
        <w:numId w:val="2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2">
    <w:name w:val="bullet1 Char"/>
    <w:link w:val="50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3">
    <w:name w:val="bullet3"/>
    <w:basedOn w:val="1"/>
    <w:qFormat/>
    <w:uiPriority w:val="0"/>
    <w:pPr>
      <w:numPr>
        <w:ilvl w:val="2"/>
        <w:numId w:val="2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4">
    <w:name w:val="bullet4"/>
    <w:basedOn w:val="1"/>
    <w:qFormat/>
    <w:uiPriority w:val="0"/>
    <w:pPr>
      <w:numPr>
        <w:ilvl w:val="3"/>
        <w:numId w:val="2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5">
    <w:name w:val="LGTdoc_제목1"/>
    <w:basedOn w:val="1"/>
    <w:qFormat/>
    <w:uiPriority w:val="0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6">
    <w:name w:val="批注主题 Char"/>
    <w:basedOn w:val="42"/>
    <w:link w:val="20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7">
    <w:name w:val="占位符文本1"/>
    <w:basedOn w:val="23"/>
    <w:semiHidden/>
    <w:qFormat/>
    <w:uiPriority w:val="99"/>
    <w:rPr>
      <w:color w:val="808080"/>
    </w:rPr>
  </w:style>
  <w:style w:type="paragraph" w:customStyle="1" w:styleId="58">
    <w:name w:val="TAC"/>
    <w:basedOn w:val="1"/>
    <w:link w:val="59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59">
    <w:name w:val="TAC Char"/>
    <w:link w:val="58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60">
    <w:name w:val="LGTdoc_본문"/>
    <w:basedOn w:val="1"/>
    <w:link w:val="6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1">
    <w:name w:val="LGTdoc_본문 Char"/>
    <w:link w:val="60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2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3">
    <w:name w:val="副标题 Char"/>
    <w:basedOn w:val="23"/>
    <w:link w:val="17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4">
    <w:name w:val="占位符文本2"/>
    <w:basedOn w:val="23"/>
    <w:unhideWhenUsed/>
    <w:qFormat/>
    <w:uiPriority w:val="99"/>
    <w:rPr>
      <w:color w:val="808080"/>
    </w:rPr>
  </w:style>
  <w:style w:type="paragraph" w:customStyle="1" w:styleId="65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6">
    <w:name w:val="标题 Char"/>
    <w:basedOn w:val="23"/>
    <w:link w:val="19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7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8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9">
    <w:name w:val="apple-converted-space"/>
    <w:basedOn w:val="23"/>
    <w:qFormat/>
    <w:uiPriority w:val="0"/>
  </w:style>
  <w:style w:type="paragraph" w:styleId="70">
    <w:name w:val="List Paragraph"/>
    <w:basedOn w:val="1"/>
    <w:link w:val="81"/>
    <w:unhideWhenUsed/>
    <w:qFormat/>
    <w:uiPriority w:val="34"/>
    <w:pPr>
      <w:ind w:firstLine="420" w:firstLineChars="200"/>
    </w:pPr>
  </w:style>
  <w:style w:type="paragraph" w:customStyle="1" w:styleId="71">
    <w:name w:val="修订3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2">
    <w:name w:val="Style1"/>
    <w:basedOn w:val="1"/>
    <w:link w:val="73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3">
    <w:name w:val="Style1 Char"/>
    <w:link w:val="72"/>
    <w:qFormat/>
    <w:uiPriority w:val="0"/>
    <w:rPr>
      <w:rFonts w:ascii="Times New Roman" w:hAnsi="Times New Roman" w:eastAsia="宋体" w:cs="Times New Roman"/>
    </w:rPr>
  </w:style>
  <w:style w:type="character" w:styleId="74">
    <w:name w:val="Placeholder Text"/>
    <w:basedOn w:val="23"/>
    <w:unhideWhenUsed/>
    <w:qFormat/>
    <w:uiPriority w:val="99"/>
    <w:rPr>
      <w:color w:val="808080"/>
    </w:rPr>
  </w:style>
  <w:style w:type="paragraph" w:customStyle="1" w:styleId="75">
    <w:name w:val="H6"/>
    <w:basedOn w:val="6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6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7">
    <w:name w:val="TAL"/>
    <w:basedOn w:val="1"/>
    <w:link w:val="78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8">
    <w:name w:val="TAL Car"/>
    <w:basedOn w:val="23"/>
    <w:link w:val="77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79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80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1">
    <w:name w:val="列出段落 Char1"/>
    <w:link w:val="70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2">
    <w:name w:val="B1"/>
    <w:basedOn w:val="1"/>
    <w:link w:val="84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3">
    <w:name w:val="B2"/>
    <w:basedOn w:val="1"/>
    <w:link w:val="85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4">
    <w:name w:val="B1 Zchn"/>
    <w:link w:val="82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5">
    <w:name w:val="B2 Char"/>
    <w:link w:val="83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6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7">
    <w:name w:val="NO"/>
    <w:basedOn w:val="1"/>
    <w:link w:val="88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8">
    <w:name w:val="NO Char"/>
    <w:link w:val="87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89">
    <w:name w:val="B1 Char1"/>
    <w:qFormat/>
    <w:uiPriority w:val="0"/>
    <w:rPr>
      <w:lang w:val="en-GB" w:eastAsia="ko-KR"/>
    </w:rPr>
  </w:style>
  <w:style w:type="character" w:customStyle="1" w:styleId="90">
    <w:name w:val="B1 Char"/>
    <w:qFormat/>
    <w:uiPriority w:val="0"/>
    <w:rPr>
      <w:rFonts w:eastAsia="Times New Roman"/>
    </w:rPr>
  </w:style>
  <w:style w:type="character" w:customStyle="1" w:styleId="91">
    <w:name w:val="文档结构图 Char"/>
    <w:basedOn w:val="23"/>
    <w:link w:val="11"/>
    <w:semiHidden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paragraph" w:customStyle="1" w:styleId="92">
    <w:name w:val="x_msonormal"/>
    <w:basedOn w:val="1"/>
    <w:qFormat/>
    <w:uiPriority w:val="0"/>
    <w:rPr>
      <w:rFonts w:ascii="Calibri" w:hAnsi="Calibri" w:eastAsia="宋体" w:cs="Calibri"/>
      <w:sz w:val="22"/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B5C13-29B5-42D4-9A42-88849EC235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362</Words>
  <Characters>2069</Characters>
  <Lines>17</Lines>
  <Paragraphs>4</Paragraphs>
  <TotalTime>54</TotalTime>
  <ScaleCrop>false</ScaleCrop>
  <LinksUpToDate>false</LinksUpToDate>
  <CharactersWithSpaces>2427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2022-09-22T11:54:00Z</dcterms:created>
  <dc:creator>ZTE</dc:creator>
  <cp:lastModifiedBy>10110583</cp:lastModifiedBy>
  <cp:lastPrinted>2019-08-13T07:17:00Z</cp:lastPrinted>
  <dcterms:modified xsi:type="dcterms:W3CDTF">2022-09-30T03:22:15Z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