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Hyperlink"/>
            <w:lang w:eastAsia="zh-CN"/>
          </w:rPr>
          <w:t>R1-220</w:t>
        </w:r>
        <w:r w:rsidR="00F37473" w:rsidRPr="00E04ABF">
          <w:rPr>
            <w:rStyle w:val="Hyperlink"/>
            <w:rFonts w:hint="eastAsia"/>
            <w:lang w:eastAsia="zh-CN"/>
          </w:rPr>
          <w:t>323</w:t>
        </w:r>
        <w:r w:rsidR="00F37473" w:rsidRPr="00E04ABF">
          <w:rPr>
            <w:rStyle w:val="Hyperlink"/>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TableGrid"/>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TableGrid"/>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ListParagraph"/>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ListParagraph"/>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ListParagraph"/>
              <w:ind w:left="0"/>
              <w:rPr>
                <w:rFonts w:ascii="Times New Roman" w:hAnsi="Times New Roman"/>
                <w:lang w:eastAsia="zh-CN"/>
              </w:rPr>
            </w:pPr>
            <w:r w:rsidRPr="00D8581A">
              <w:rPr>
                <w:rFonts w:ascii="Times New Roman" w:hAnsi="Times New Roman"/>
                <w:lang w:eastAsia="zh-CN"/>
              </w:rPr>
              <w:t>The NCR-MT for receiving the side control information is treated as a terminal device.  Due to there is no service data transmission between it and gNB, so we think it can be seen as a simple terminal. Then its capability is much different with that of a normal terminal. Maybe a section to capture its capability is needed.</w:t>
            </w:r>
          </w:p>
        </w:tc>
      </w:tr>
      <w:tr w:rsidR="00717ED4" w14:paraId="0F8A44CB" w14:textId="77777777" w:rsidTr="007413FD">
        <w:tc>
          <w:tcPr>
            <w:tcW w:w="2122" w:type="dxa"/>
          </w:tcPr>
          <w:p w14:paraId="244FB17E" w14:textId="18A630C0" w:rsidR="00717ED4" w:rsidRPr="00D8581A" w:rsidRDefault="00717ED4" w:rsidP="00D8581A">
            <w:pPr>
              <w:rPr>
                <w:lang w:eastAsia="zh-CN"/>
              </w:rPr>
            </w:pPr>
            <w:r>
              <w:rPr>
                <w:rFonts w:hint="eastAsia"/>
                <w:lang w:eastAsia="zh-CN"/>
              </w:rPr>
              <w:t>C</w:t>
            </w:r>
            <w:r>
              <w:rPr>
                <w:lang w:eastAsia="zh-CN"/>
              </w:rPr>
              <w:t>MCC</w:t>
            </w:r>
          </w:p>
        </w:tc>
        <w:tc>
          <w:tcPr>
            <w:tcW w:w="7509" w:type="dxa"/>
          </w:tcPr>
          <w:p w14:paraId="727FDEA6" w14:textId="77777777" w:rsidR="00717ED4" w:rsidRDefault="00785DC4" w:rsidP="00D8581A">
            <w:pPr>
              <w:pStyle w:val="ListParagraph"/>
              <w:ind w:left="0"/>
              <w:rPr>
                <w:rFonts w:ascii="Times New Roman" w:eastAsiaTheme="minorEastAsia" w:hAnsi="Times New Roman"/>
                <w:lang w:eastAsia="zh-CN"/>
              </w:rPr>
            </w:pPr>
            <w:r>
              <w:rPr>
                <w:rFonts w:ascii="Times New Roman" w:eastAsiaTheme="minorEastAsia" w:hAnsi="Times New Roman"/>
                <w:lang w:eastAsia="zh-CN"/>
              </w:rPr>
              <w:t xml:space="preserve">We share the similar idea that the cost should be considered during the study. But it may not be necessary to set up a separate session for it. </w:t>
            </w:r>
          </w:p>
          <w:p w14:paraId="2058F3B6" w14:textId="1DB827B4" w:rsidR="002F3312" w:rsidRPr="00785DC4" w:rsidRDefault="002F3312" w:rsidP="00D8581A">
            <w:pPr>
              <w:pStyle w:val="ListParagraph"/>
              <w:ind w:left="0"/>
              <w:rPr>
                <w:rFonts w:ascii="Times New Roman" w:eastAsiaTheme="minorEastAsia" w:hAnsi="Times New Roman"/>
                <w:lang w:eastAsia="zh-CN"/>
              </w:rPr>
            </w:pPr>
            <w:r>
              <w:rPr>
                <w:rFonts w:ascii="Times New Roman" w:eastAsiaTheme="minorEastAsia" w:hAnsi="Times New Roman"/>
                <w:lang w:eastAsia="zh-CN"/>
              </w:rPr>
              <w:t>For the evaluation results, we think it is clear enough to insert the evaluations results under the specific sections. Due to the limited time of SI, we may not have a 100</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aligned</w:t>
            </w:r>
            <w:r>
              <w:rPr>
                <w:rFonts w:ascii="Times New Roman" w:eastAsiaTheme="minorEastAsia" w:hAnsi="Times New Roman"/>
                <w:lang w:eastAsia="zh-CN"/>
              </w:rPr>
              <w:t xml:space="preserve"> simulation assumptions. </w:t>
            </w:r>
            <w:r w:rsidR="007328B4">
              <w:rPr>
                <w:rFonts w:ascii="Times New Roman" w:eastAsiaTheme="minorEastAsia" w:hAnsi="Times New Roman"/>
                <w:lang w:eastAsia="zh-CN"/>
              </w:rPr>
              <w:t xml:space="preserve">But the general descriptions about the using scenarios and key simulation assumptions, such as O2I or O2O, FR1 or FR2, the power assumptions, could be presented along with the results. </w:t>
            </w:r>
            <w:r w:rsidR="003F4BDE">
              <w:rPr>
                <w:rFonts w:ascii="Times New Roman" w:eastAsiaTheme="minorEastAsia" w:hAnsi="Times New Roman"/>
                <w:lang w:eastAsia="zh-CN"/>
              </w:rPr>
              <w:t xml:space="preserve">Detailed assumptions could be refer to the original contributions. </w:t>
            </w:r>
          </w:p>
        </w:tc>
      </w:tr>
      <w:tr w:rsidR="000969B7" w14:paraId="24B6E743" w14:textId="77777777" w:rsidTr="007413FD">
        <w:tc>
          <w:tcPr>
            <w:tcW w:w="2122" w:type="dxa"/>
          </w:tcPr>
          <w:p w14:paraId="28DE4812" w14:textId="2AF24467" w:rsidR="000969B7" w:rsidRPr="00BF6801" w:rsidRDefault="000969B7" w:rsidP="000969B7">
            <w:pPr>
              <w:rPr>
                <w:rFonts w:ascii="Times New Roman" w:hAnsi="Times New Roman"/>
                <w:lang w:eastAsia="zh-CN"/>
              </w:rPr>
            </w:pPr>
            <w:r w:rsidRPr="00BF6801">
              <w:rPr>
                <w:rFonts w:ascii="Times New Roman" w:hAnsi="Times New Roman"/>
                <w:lang w:eastAsia="zh-CN"/>
              </w:rPr>
              <w:t>Sony</w:t>
            </w:r>
          </w:p>
        </w:tc>
        <w:tc>
          <w:tcPr>
            <w:tcW w:w="7509" w:type="dxa"/>
          </w:tcPr>
          <w:p w14:paraId="727F9CFF" w14:textId="65FC8B2B" w:rsidR="000969B7" w:rsidRPr="00BF6801" w:rsidRDefault="000969B7" w:rsidP="000969B7">
            <w:pPr>
              <w:pStyle w:val="ListParagraph"/>
              <w:ind w:left="0"/>
              <w:rPr>
                <w:rFonts w:ascii="Times New Roman" w:eastAsiaTheme="minorEastAsia" w:hAnsi="Times New Roman"/>
                <w:lang w:eastAsia="zh-CN"/>
              </w:rPr>
            </w:pPr>
            <w:r w:rsidRPr="00BF6801">
              <w:rPr>
                <w:rFonts w:ascii="Times New Roman" w:hAnsi="Times New Roman"/>
                <w:lang w:eastAsia="zh-CN"/>
              </w:rPr>
              <w:t>We are okay in general with the TR skeleton. One topic that is not mentioned but that is important is the allocation of SS/PBCH indices for use at the NCR. In the FR2 band, associating several NCRs to the same BS may lead to SS/PBCH index depletion; see, e.g., Sec. 5 in our contribution R1-2203741 for further details. This topic does not seem to fit any of the sections in the TR skeleton. Perhaps, a new section addressing this issue is needed.</w:t>
            </w:r>
          </w:p>
        </w:tc>
      </w:tr>
      <w:tr w:rsidR="00BC67F9" w:rsidRPr="00572091" w14:paraId="605F0639" w14:textId="77777777" w:rsidTr="002D348E">
        <w:tc>
          <w:tcPr>
            <w:tcW w:w="2122" w:type="dxa"/>
          </w:tcPr>
          <w:p w14:paraId="30085062" w14:textId="77777777" w:rsidR="00BC67F9" w:rsidRDefault="00BC67F9" w:rsidP="002D348E">
            <w:pPr>
              <w:rPr>
                <w:lang w:eastAsia="zh-CN"/>
              </w:rPr>
            </w:pPr>
            <w:r>
              <w:rPr>
                <w:rFonts w:hint="eastAsia"/>
                <w:lang w:eastAsia="zh-CN"/>
              </w:rPr>
              <w:t>ZTE</w:t>
            </w:r>
          </w:p>
        </w:tc>
        <w:tc>
          <w:tcPr>
            <w:tcW w:w="7509" w:type="dxa"/>
          </w:tcPr>
          <w:p w14:paraId="4A008CB4" w14:textId="77777777" w:rsidR="00BC67F9"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hint="eastAsia"/>
                <w:lang w:eastAsia="zh-CN"/>
              </w:rPr>
              <w:t>We are fine with thi</w:t>
            </w:r>
            <w:r>
              <w:rPr>
                <w:rFonts w:ascii="Times New Roman" w:eastAsiaTheme="minorEastAsia" w:hAnsi="Times New Roman"/>
                <w:lang w:eastAsia="zh-CN"/>
              </w:rPr>
              <w:t>s skeleton.</w:t>
            </w:r>
          </w:p>
          <w:p w14:paraId="1222ABB6" w14:textId="77777777" w:rsidR="00BC67F9"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lang w:eastAsia="zh-CN"/>
              </w:rPr>
              <w:t>Regarding the cost part, it’s not necessary to capture the content if any in separately session since it’s only a reminder for the group.</w:t>
            </w:r>
          </w:p>
          <w:p w14:paraId="5722222F" w14:textId="674EC36C" w:rsidR="00BC67F9"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hint="eastAsia"/>
                <w:lang w:eastAsia="zh-CN"/>
              </w:rPr>
              <w:t xml:space="preserve">For the evaluation, if there </w:t>
            </w:r>
            <w:r w:rsidR="00F4118E">
              <w:rPr>
                <w:rFonts w:ascii="Times New Roman" w:eastAsiaTheme="minorEastAsia" w:hAnsi="Times New Roman"/>
                <w:lang w:eastAsia="zh-CN"/>
              </w:rPr>
              <w:t>are</w:t>
            </w:r>
            <w:r>
              <w:rPr>
                <w:rFonts w:ascii="Times New Roman" w:eastAsiaTheme="minorEastAsia" w:hAnsi="Times New Roman" w:hint="eastAsia"/>
                <w:lang w:eastAsia="zh-CN"/>
              </w:rPr>
              <w:t xml:space="preserve"> some results associated with the discussion on certain </w:t>
            </w:r>
            <w:r>
              <w:rPr>
                <w:rFonts w:ascii="Times New Roman" w:eastAsiaTheme="minorEastAsia" w:hAnsi="Times New Roman"/>
                <w:lang w:eastAsia="zh-CN"/>
              </w:rPr>
              <w:t>side</w:t>
            </w:r>
            <w:r>
              <w:rPr>
                <w:rFonts w:ascii="Times New Roman" w:eastAsiaTheme="minorEastAsia" w:hAnsi="Times New Roman" w:hint="eastAsia"/>
                <w:lang w:eastAsia="zh-CN"/>
              </w:rPr>
              <w:t xml:space="preserve"> control information, in general, based on the </w:t>
            </w:r>
            <w:r>
              <w:rPr>
                <w:rFonts w:ascii="Times New Roman" w:eastAsiaTheme="minorEastAsia" w:hAnsi="Times New Roman"/>
                <w:lang w:eastAsia="zh-CN"/>
              </w:rPr>
              <w:t>consensus, we are open to include it under the section for each feature instead of dedicated one. The details of simulation can directly refer to the original contribution as citation.</w:t>
            </w:r>
          </w:p>
          <w:p w14:paraId="53864056" w14:textId="77777777" w:rsidR="00BC67F9" w:rsidRPr="00572091" w:rsidRDefault="00BC67F9" w:rsidP="002D348E">
            <w:pPr>
              <w:pStyle w:val="ListParagraph"/>
              <w:ind w:left="0"/>
              <w:rPr>
                <w:rFonts w:ascii="Times New Roman" w:eastAsiaTheme="minorEastAsia" w:hAnsi="Times New Roman"/>
                <w:lang w:eastAsia="zh-CN"/>
              </w:rPr>
            </w:pPr>
            <w:r>
              <w:rPr>
                <w:rFonts w:ascii="Times New Roman" w:eastAsiaTheme="minorEastAsia" w:hAnsi="Times New Roman"/>
                <w:lang w:eastAsia="zh-CN"/>
              </w:rPr>
              <w:t>For the scope of objective, it’s already included in the section 1 as scope. For others technical aspects, it can be included in the corresponding section, e.g., signalling design or as part of details for side control information, e.g., beam related procedure for beam information.</w:t>
            </w:r>
          </w:p>
        </w:tc>
      </w:tr>
      <w:tr w:rsidR="0001474E" w:rsidRPr="00572091" w14:paraId="448517D9" w14:textId="77777777" w:rsidTr="002D348E">
        <w:tc>
          <w:tcPr>
            <w:tcW w:w="2122" w:type="dxa"/>
          </w:tcPr>
          <w:p w14:paraId="4082E6E0" w14:textId="616C1525" w:rsidR="0001474E" w:rsidRDefault="0001474E" w:rsidP="002D348E">
            <w:pPr>
              <w:rPr>
                <w:lang w:eastAsia="zh-CN"/>
              </w:rPr>
            </w:pPr>
            <w:r>
              <w:rPr>
                <w:lang w:eastAsia="zh-CN"/>
              </w:rPr>
              <w:t>CEWiT</w:t>
            </w:r>
          </w:p>
        </w:tc>
        <w:tc>
          <w:tcPr>
            <w:tcW w:w="7509" w:type="dxa"/>
          </w:tcPr>
          <w:p w14:paraId="78E000A1" w14:textId="500F4982" w:rsidR="0001474E" w:rsidRDefault="0001474E" w:rsidP="002D348E">
            <w:pPr>
              <w:pStyle w:val="ListParagraph"/>
              <w:ind w:left="0"/>
              <w:rPr>
                <w:rFonts w:ascii="Times New Roman" w:eastAsiaTheme="minorEastAsia" w:hAnsi="Times New Roman"/>
                <w:lang w:eastAsia="zh-CN"/>
              </w:rPr>
            </w:pPr>
            <w:r>
              <w:rPr>
                <w:rFonts w:ascii="Times New Roman" w:eastAsiaTheme="minorEastAsia" w:hAnsi="Times New Roman"/>
                <w:lang w:eastAsia="zh-CN"/>
              </w:rPr>
              <w:t xml:space="preserve">For NCR, the content of the channels like PDCCH, PUCCH, etc., will be different from the channels of the conventional UE. For e.g., </w:t>
            </w:r>
            <w:r w:rsidRPr="00E2095C">
              <w:rPr>
                <w:rFonts w:ascii="Times New Roman" w:eastAsiaTheme="minorEastAsia" w:hAnsi="Times New Roman"/>
                <w:lang w:val="en-GB" w:eastAsia="zh-CN"/>
              </w:rPr>
              <w:t>NCR specific feedback for side control information</w:t>
            </w:r>
            <w:r>
              <w:rPr>
                <w:rFonts w:ascii="Times New Roman" w:eastAsiaTheme="minorEastAsia" w:hAnsi="Times New Roman"/>
                <w:lang w:val="en-GB" w:eastAsia="zh-CN"/>
              </w:rPr>
              <w:t xml:space="preserve"> in PUCCH. Please clarify in which section of the TR such information will be captured.</w:t>
            </w:r>
          </w:p>
        </w:tc>
      </w:tr>
      <w:tr w:rsidR="00574F39" w:rsidRPr="00572091" w14:paraId="714BCC2A" w14:textId="77777777" w:rsidTr="002D348E">
        <w:tc>
          <w:tcPr>
            <w:tcW w:w="2122" w:type="dxa"/>
          </w:tcPr>
          <w:p w14:paraId="738CF386" w14:textId="49D3EA9A" w:rsidR="00574F39" w:rsidRPr="00574F39" w:rsidRDefault="00574F39" w:rsidP="002D348E">
            <w:pPr>
              <w:rPr>
                <w:lang w:eastAsia="zh-CN"/>
              </w:rPr>
            </w:pPr>
            <w:r>
              <w:rPr>
                <w:lang w:eastAsia="zh-CN"/>
              </w:rPr>
              <w:lastRenderedPageBreak/>
              <w:t xml:space="preserve">Huawei, </w:t>
            </w:r>
            <w:proofErr w:type="spellStart"/>
            <w:r>
              <w:rPr>
                <w:lang w:eastAsia="zh-CN"/>
              </w:rPr>
              <w:t>HiSilicon</w:t>
            </w:r>
            <w:proofErr w:type="spellEnd"/>
          </w:p>
        </w:tc>
        <w:tc>
          <w:tcPr>
            <w:tcW w:w="7509" w:type="dxa"/>
          </w:tcPr>
          <w:p w14:paraId="61383568" w14:textId="40E7790A" w:rsidR="00574F39" w:rsidRDefault="00574F39" w:rsidP="00574F39">
            <w:pPr>
              <w:pStyle w:val="ListParagraph"/>
              <w:ind w:left="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cost, we think the analysis and evaluation results from different companies should be captured into the TR given that it is clearly stated as in SID that “</w:t>
            </w:r>
            <w:r w:rsidRPr="00574F39">
              <w:rPr>
                <w:rFonts w:ascii="Times New Roman" w:eastAsiaTheme="minorEastAsia" w:hAnsi="Times New Roman"/>
                <w:lang w:eastAsia="zh-CN"/>
              </w:rPr>
              <w:t>NOTE1: Cost efficiency is a key consideration point for network-controlled repeaters.</w:t>
            </w:r>
            <w:r>
              <w:rPr>
                <w:rFonts w:ascii="Times New Roman" w:eastAsiaTheme="minorEastAsia" w:hAnsi="Times New Roman"/>
                <w:lang w:eastAsia="zh-CN"/>
              </w:rPr>
              <w:t xml:space="preserve">”. This is a clear reminder for all the designs as well as the comparison for other coverage extension solutions. We don’t understand the concern to capture such analysis. </w:t>
            </w:r>
          </w:p>
          <w:p w14:paraId="413A86AB" w14:textId="1A8106F0" w:rsidR="00574F39" w:rsidRDefault="00574F39" w:rsidP="00574F39">
            <w:pPr>
              <w:pStyle w:val="ListParagraph"/>
              <w:ind w:left="0"/>
              <w:rPr>
                <w:rFonts w:ascii="Times New Roman" w:eastAsiaTheme="minorEastAsia" w:hAnsi="Times New Roman"/>
                <w:lang w:eastAsia="zh-CN"/>
              </w:rPr>
            </w:pPr>
            <w:r>
              <w:rPr>
                <w:rFonts w:ascii="Times New Roman" w:eastAsiaTheme="minorEastAsia" w:hAnsi="Times New Roman"/>
                <w:lang w:eastAsia="zh-CN"/>
              </w:rPr>
              <w:t xml:space="preserve">In addition, on the performance evaluations, our understanding is that it may not fit into one subsection in section 6 since some performance evaluations are related to two side control information instead of one. Hence one cleaner way is to capture it in a separate section. </w:t>
            </w:r>
          </w:p>
          <w:p w14:paraId="01674196" w14:textId="7BF9E11B" w:rsidR="00574F39" w:rsidRDefault="00574F39" w:rsidP="00574F39">
            <w:pPr>
              <w:pStyle w:val="ListParagraph"/>
              <w:ind w:left="0"/>
              <w:rPr>
                <w:rFonts w:ascii="Times New Roman" w:eastAsiaTheme="minorEastAsia" w:hAnsi="Times New Roman"/>
                <w:lang w:eastAsia="zh-CN"/>
              </w:rPr>
            </w:pPr>
            <w:r>
              <w:rPr>
                <w:rFonts w:ascii="Times New Roman" w:eastAsiaTheme="minorEastAsia" w:hAnsi="Times New Roman"/>
                <w:lang w:eastAsia="zh-CN"/>
              </w:rPr>
              <w:t>Considering the two above aspects, one possible way is to have a separate section capturing both performance evaluations and cost analysis. Then section 6 and section 7 can focus on the technical details</w:t>
            </w:r>
            <w:r w:rsidR="00652C70">
              <w:rPr>
                <w:rFonts w:ascii="Times New Roman" w:eastAsiaTheme="minorEastAsia" w:hAnsi="Times New Roman"/>
                <w:lang w:eastAsia="zh-CN"/>
              </w:rPr>
              <w:t xml:space="preserve"> and signaling design possibilities.</w:t>
            </w:r>
          </w:p>
        </w:tc>
      </w:tr>
      <w:tr w:rsidR="00671774" w:rsidRPr="00572091" w14:paraId="25FA75C3" w14:textId="77777777" w:rsidTr="002D348E">
        <w:tc>
          <w:tcPr>
            <w:tcW w:w="2122" w:type="dxa"/>
          </w:tcPr>
          <w:p w14:paraId="3A54CFC7" w14:textId="0EEFDE87" w:rsidR="00671774" w:rsidRDefault="00671774" w:rsidP="002D348E">
            <w:pPr>
              <w:rPr>
                <w:lang w:eastAsia="zh-CN"/>
              </w:rPr>
            </w:pPr>
            <w:r>
              <w:rPr>
                <w:lang w:eastAsia="zh-CN"/>
              </w:rPr>
              <w:t>Qualcomm</w:t>
            </w:r>
          </w:p>
        </w:tc>
        <w:tc>
          <w:tcPr>
            <w:tcW w:w="7509" w:type="dxa"/>
          </w:tcPr>
          <w:p w14:paraId="65DAD5F3" w14:textId="174EA7D1" w:rsidR="00671774" w:rsidRDefault="00671774" w:rsidP="00574F39">
            <w:pPr>
              <w:pStyle w:val="ListParagraph"/>
              <w:ind w:left="0"/>
              <w:rPr>
                <w:rFonts w:ascii="Times New Roman" w:eastAsiaTheme="minorEastAsia" w:hAnsi="Times New Roman"/>
                <w:lang w:eastAsia="zh-CN"/>
              </w:rPr>
            </w:pPr>
            <w:r>
              <w:rPr>
                <w:rFonts w:ascii="Times New Roman" w:eastAsiaTheme="minorEastAsia" w:hAnsi="Times New Roman"/>
                <w:lang w:eastAsia="zh-CN"/>
              </w:rPr>
              <w:t>We support the TR skeleton structure.</w:t>
            </w:r>
          </w:p>
          <w:p w14:paraId="3F88BCEA" w14:textId="0E3C3976" w:rsidR="00671774" w:rsidRDefault="00671774" w:rsidP="00574F39">
            <w:pPr>
              <w:pStyle w:val="ListParagraph"/>
              <w:ind w:left="0"/>
              <w:rPr>
                <w:rFonts w:ascii="Times New Roman" w:eastAsiaTheme="minorEastAsia" w:hAnsi="Times New Roman"/>
                <w:lang w:eastAsia="zh-CN"/>
              </w:rPr>
            </w:pPr>
            <w:r>
              <w:rPr>
                <w:rFonts w:ascii="Times New Roman" w:eastAsiaTheme="minorEastAsia" w:hAnsi="Times New Roman"/>
                <w:lang w:eastAsia="zh-CN"/>
              </w:rPr>
              <w:t xml:space="preserve">On the cost subject we are supportive of </w:t>
            </w:r>
            <w:r w:rsidRPr="00671774">
              <w:rPr>
                <w:rFonts w:ascii="Times New Roman" w:eastAsiaTheme="minorEastAsia" w:hAnsi="Times New Roman"/>
                <w:lang w:eastAsia="zh-CN"/>
              </w:rPr>
              <w:t>hav</w:t>
            </w:r>
            <w:r>
              <w:rPr>
                <w:rFonts w:ascii="Times New Roman" w:eastAsiaTheme="minorEastAsia" w:hAnsi="Times New Roman"/>
                <w:lang w:eastAsia="zh-CN"/>
              </w:rPr>
              <w:t>ing</w:t>
            </w:r>
            <w:r w:rsidRPr="00671774">
              <w:rPr>
                <w:rFonts w:ascii="Times New Roman" w:eastAsiaTheme="minorEastAsia" w:hAnsi="Times New Roman"/>
                <w:lang w:eastAsia="zh-CN"/>
              </w:rPr>
              <w:t xml:space="preserve"> a </w:t>
            </w:r>
            <w:r>
              <w:rPr>
                <w:rFonts w:ascii="Times New Roman" w:eastAsiaTheme="minorEastAsia" w:hAnsi="Times New Roman"/>
                <w:lang w:eastAsia="zh-CN"/>
              </w:rPr>
              <w:t>dedicated</w:t>
            </w:r>
            <w:r w:rsidRPr="00671774">
              <w:rPr>
                <w:rFonts w:ascii="Times New Roman" w:eastAsiaTheme="minorEastAsia" w:hAnsi="Times New Roman"/>
                <w:lang w:eastAsia="zh-CN"/>
              </w:rPr>
              <w:t xml:space="preserve"> section in the TR that would include any related performance/cost analysis results submitted by  companies</w:t>
            </w:r>
            <w:r>
              <w:rPr>
                <w:rFonts w:ascii="Times New Roman" w:eastAsiaTheme="minorEastAsia" w:hAnsi="Times New Roman"/>
                <w:lang w:eastAsia="zh-CN"/>
              </w:rPr>
              <w:t>.</w:t>
            </w:r>
          </w:p>
          <w:p w14:paraId="62B3C787" w14:textId="51D7FB91" w:rsidR="00671774" w:rsidRDefault="00671774" w:rsidP="00574F39">
            <w:pPr>
              <w:pStyle w:val="ListParagraph"/>
              <w:ind w:left="0"/>
              <w:rPr>
                <w:rFonts w:ascii="Times New Roman" w:eastAsiaTheme="minorEastAsia" w:hAnsi="Times New Roman" w:hint="eastAsia"/>
                <w:lang w:eastAsia="zh-CN"/>
              </w:rPr>
            </w:pPr>
          </w:p>
        </w:tc>
      </w:tr>
    </w:tbl>
    <w:p w14:paraId="796E5A85" w14:textId="77777777" w:rsidR="00147B00" w:rsidRPr="00BC67F9" w:rsidRDefault="00147B00" w:rsidP="00147B00">
      <w:pPr>
        <w:rPr>
          <w:lang w:eastAsia="zh-CN"/>
        </w:rPr>
      </w:pPr>
    </w:p>
    <w:p w14:paraId="731F69BE" w14:textId="10F0D794" w:rsidR="009C2C49" w:rsidRDefault="00CC7F47" w:rsidP="00CC7F47">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ListParagraph"/>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SimSun" w:hAnsi="Times New Roman"/>
          <w:sz w:val="20"/>
          <w:szCs w:val="20"/>
          <w:lang w:eastAsia="zh-CN"/>
        </w:rPr>
        <w:t xml:space="preserve">, </w:t>
      </w:r>
      <w:r w:rsidRPr="001F76CE">
        <w:rPr>
          <w:rFonts w:ascii="Times New Roman" w:hAnsi="Times New Roman"/>
          <w:sz w:val="20"/>
          <w:szCs w:val="20"/>
          <w:lang w:eastAsia="zh-CN"/>
        </w:rPr>
        <w:t>RAN#94-e</w:t>
      </w:r>
      <w:bookmarkEnd w:id="2"/>
    </w:p>
    <w:p w14:paraId="5B612C60" w14:textId="0218728E" w:rsidR="008D1F1A" w:rsidRDefault="008D1F1A" w:rsidP="008D1F1A">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TableGrid"/>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Heading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Heading1"/>
              <w:snapToGrid w:val="0"/>
              <w:spacing w:before="100" w:beforeAutospacing="1" w:after="0"/>
              <w:outlineLvl w:val="0"/>
              <w:rPr>
                <w:lang w:eastAsia="zh-CN"/>
              </w:rPr>
            </w:pPr>
            <w:bookmarkStart w:id="3" w:name="_Toc102054318"/>
            <w:r>
              <w:t>5</w:t>
            </w:r>
            <w:r w:rsidRPr="004D3578">
              <w:tab/>
            </w:r>
            <w:r>
              <w:t>Modelling</w:t>
            </w:r>
            <w:r>
              <w:rPr>
                <w:lang w:eastAsia="zh-CN"/>
              </w:rPr>
              <w:t xml:space="preserve"> of Network-controlled repeater</w:t>
            </w:r>
            <w:bookmarkEnd w:id="3"/>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Heading1"/>
              <w:snapToGrid w:val="0"/>
              <w:spacing w:before="100" w:beforeAutospacing="1" w:after="0"/>
              <w:outlineLvl w:val="0"/>
            </w:pPr>
            <w:bookmarkStart w:id="4" w:name="_Toc102054319"/>
            <w:r>
              <w:t>6</w:t>
            </w:r>
            <w:r>
              <w:tab/>
              <w:t>Side control information</w:t>
            </w:r>
            <w:bookmarkEnd w:id="4"/>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Heading2"/>
              <w:snapToGrid w:val="0"/>
              <w:spacing w:before="100" w:beforeAutospacing="1" w:after="0"/>
              <w:outlineLvl w:val="1"/>
            </w:pPr>
            <w:bookmarkStart w:id="5" w:name="_Toc102054320"/>
            <w:r>
              <w:t>6</w:t>
            </w:r>
            <w:r w:rsidRPr="004D3578">
              <w:t>.1</w:t>
            </w:r>
            <w:r w:rsidRPr="004D3578">
              <w:tab/>
            </w:r>
            <w:r>
              <w:t>Beam information</w:t>
            </w:r>
            <w:bookmarkEnd w:id="5"/>
          </w:p>
          <w:p w14:paraId="435C52AA" w14:textId="77777777" w:rsidR="008D1F1A" w:rsidRDefault="008D1F1A" w:rsidP="004F2A1C">
            <w:pPr>
              <w:pStyle w:val="Heading2"/>
              <w:snapToGrid w:val="0"/>
              <w:spacing w:before="100" w:beforeAutospacing="1" w:after="0"/>
              <w:outlineLvl w:val="1"/>
            </w:pPr>
            <w:bookmarkStart w:id="6" w:name="_Toc102054321"/>
            <w:r>
              <w:t>6</w:t>
            </w:r>
            <w:r w:rsidRPr="004D3578">
              <w:t>.</w:t>
            </w:r>
            <w:r>
              <w:t>2</w:t>
            </w:r>
            <w:r w:rsidRPr="004D3578">
              <w:tab/>
            </w:r>
            <w:r>
              <w:t>Timing information</w:t>
            </w:r>
            <w:bookmarkEnd w:id="6"/>
          </w:p>
          <w:p w14:paraId="47DC17C1" w14:textId="77777777" w:rsidR="008D1F1A" w:rsidRPr="004D3578" w:rsidRDefault="008D1F1A" w:rsidP="004F2A1C">
            <w:pPr>
              <w:pStyle w:val="Heading2"/>
              <w:snapToGrid w:val="0"/>
              <w:spacing w:before="100" w:beforeAutospacing="1" w:after="0"/>
              <w:outlineLvl w:val="1"/>
            </w:pPr>
            <w:bookmarkStart w:id="7" w:name="_Toc102054322"/>
            <w:r>
              <w:t>6</w:t>
            </w:r>
            <w:r w:rsidRPr="004D3578">
              <w:t>.</w:t>
            </w:r>
            <w:r>
              <w:t>3</w:t>
            </w:r>
            <w:r w:rsidRPr="004D3578">
              <w:tab/>
            </w:r>
            <w:r>
              <w:t>Information on UL-DL TDD configuration</w:t>
            </w:r>
            <w:bookmarkEnd w:id="7"/>
          </w:p>
          <w:p w14:paraId="61881257" w14:textId="77777777" w:rsidR="008D1F1A" w:rsidRPr="004D3578" w:rsidRDefault="008D1F1A" w:rsidP="004F2A1C">
            <w:pPr>
              <w:pStyle w:val="Heading2"/>
              <w:snapToGrid w:val="0"/>
              <w:spacing w:before="100" w:beforeAutospacing="1" w:after="0"/>
              <w:outlineLvl w:val="1"/>
            </w:pPr>
            <w:bookmarkStart w:id="8" w:name="_Toc102054323"/>
            <w:r>
              <w:t>6</w:t>
            </w:r>
            <w:r w:rsidRPr="004D3578">
              <w:t>.</w:t>
            </w:r>
            <w:r>
              <w:t>4</w:t>
            </w:r>
            <w:r w:rsidRPr="004D3578">
              <w:tab/>
            </w:r>
            <w:r>
              <w:t>ON-OFF information</w:t>
            </w:r>
            <w:bookmarkEnd w:id="8"/>
          </w:p>
          <w:p w14:paraId="3C347B88" w14:textId="77777777" w:rsidR="008D1F1A" w:rsidRPr="004D3578" w:rsidRDefault="008D1F1A" w:rsidP="004F2A1C">
            <w:pPr>
              <w:pStyle w:val="Heading2"/>
              <w:snapToGrid w:val="0"/>
              <w:spacing w:before="100" w:beforeAutospacing="1" w:after="0"/>
              <w:outlineLvl w:val="1"/>
            </w:pPr>
            <w:bookmarkStart w:id="9" w:name="_Toc102054324"/>
            <w:r>
              <w:t>6</w:t>
            </w:r>
            <w:r w:rsidRPr="004D3578">
              <w:t>.</w:t>
            </w:r>
            <w:r>
              <w:t>5</w:t>
            </w:r>
            <w:r w:rsidRPr="004D3578">
              <w:tab/>
            </w:r>
            <w:r>
              <w:t>Power control information</w:t>
            </w:r>
            <w:bookmarkEnd w:id="9"/>
          </w:p>
          <w:p w14:paraId="4473E7C6" w14:textId="77777777" w:rsidR="008D1F1A" w:rsidRPr="004D3578" w:rsidRDefault="008D1F1A" w:rsidP="004F2A1C">
            <w:pPr>
              <w:pStyle w:val="Heading1"/>
              <w:snapToGrid w:val="0"/>
              <w:spacing w:before="100" w:beforeAutospacing="1" w:after="0"/>
              <w:outlineLvl w:val="0"/>
            </w:pPr>
            <w:bookmarkStart w:id="10" w:name="_Toc102054325"/>
            <w:r>
              <w:lastRenderedPageBreak/>
              <w:t>7</w:t>
            </w:r>
            <w:r>
              <w:tab/>
              <w:t>L1/L2 signalling for side control information</w:t>
            </w:r>
            <w:bookmarkEnd w:id="10"/>
          </w:p>
          <w:p w14:paraId="2D8F68D4" w14:textId="77777777" w:rsidR="008D1F1A" w:rsidRDefault="008D1F1A" w:rsidP="004F2A1C">
            <w:pPr>
              <w:pStyle w:val="Heading2"/>
              <w:snapToGrid w:val="0"/>
              <w:spacing w:before="100" w:beforeAutospacing="1" w:after="0"/>
              <w:outlineLvl w:val="1"/>
            </w:pPr>
            <w:bookmarkStart w:id="11" w:name="_Toc102054326"/>
            <w:r>
              <w:t>7</w:t>
            </w:r>
            <w:r w:rsidRPr="004D3578">
              <w:t>.1</w:t>
            </w:r>
            <w:r w:rsidRPr="004D3578">
              <w:tab/>
            </w:r>
            <w:r>
              <w:t>Signalling for side control information</w:t>
            </w:r>
            <w:bookmarkEnd w:id="11"/>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Heading2"/>
              <w:snapToGrid w:val="0"/>
              <w:spacing w:before="100" w:beforeAutospacing="1" w:after="0"/>
              <w:outlineLvl w:val="1"/>
            </w:pPr>
            <w:bookmarkStart w:id="12" w:name="_Toc102054327"/>
            <w:r>
              <w:t>7</w:t>
            </w:r>
            <w:r w:rsidRPr="004D3578">
              <w:t>.</w:t>
            </w:r>
            <w:r>
              <w:t>2</w:t>
            </w:r>
            <w:r w:rsidRPr="004D3578">
              <w:tab/>
            </w:r>
            <w:r>
              <w:t>Configuration of signalling</w:t>
            </w:r>
            <w:bookmarkEnd w:id="12"/>
            <w:r>
              <w:t xml:space="preserve"> </w:t>
            </w:r>
          </w:p>
          <w:p w14:paraId="1ADA2208" w14:textId="77777777" w:rsidR="008D1F1A" w:rsidRPr="004D3578" w:rsidRDefault="008D1F1A" w:rsidP="004F2A1C">
            <w:pPr>
              <w:pStyle w:val="Heading1"/>
              <w:snapToGrid w:val="0"/>
              <w:spacing w:before="100" w:beforeAutospacing="1" w:after="0"/>
              <w:outlineLvl w:val="0"/>
            </w:pPr>
            <w:bookmarkStart w:id="13" w:name="_Toc102054328"/>
            <w:r>
              <w:t>8</w:t>
            </w:r>
            <w:r>
              <w:tab/>
              <w:t>Repeater management</w:t>
            </w:r>
            <w:bookmarkEnd w:id="13"/>
          </w:p>
          <w:p w14:paraId="3D58554A" w14:textId="77777777" w:rsidR="008D1F1A" w:rsidRDefault="008D1F1A" w:rsidP="004F2A1C">
            <w:pPr>
              <w:pStyle w:val="Heading2"/>
              <w:snapToGrid w:val="0"/>
              <w:spacing w:before="100" w:beforeAutospacing="1" w:after="0"/>
              <w:outlineLvl w:val="1"/>
            </w:pPr>
            <w:bookmarkStart w:id="14" w:name="_Toc102054329"/>
            <w:r>
              <w:t>8</w:t>
            </w:r>
            <w:r w:rsidRPr="004D3578">
              <w:t>.1</w:t>
            </w:r>
            <w:r w:rsidRPr="004D3578">
              <w:tab/>
            </w:r>
            <w:r>
              <w:t>Solution on Repeater management</w:t>
            </w:r>
            <w:bookmarkEnd w:id="14"/>
          </w:p>
          <w:p w14:paraId="00CCBD32" w14:textId="77777777" w:rsidR="008D1F1A" w:rsidRDefault="008D1F1A" w:rsidP="004F2A1C">
            <w:pPr>
              <w:pStyle w:val="Heading2"/>
              <w:snapToGrid w:val="0"/>
              <w:spacing w:before="100" w:beforeAutospacing="1" w:after="0"/>
              <w:outlineLvl w:val="1"/>
            </w:pPr>
            <w:bookmarkStart w:id="15" w:name="_Toc102054330"/>
            <w:r>
              <w:t>8</w:t>
            </w:r>
            <w:r w:rsidRPr="004D3578">
              <w:t>.</w:t>
            </w:r>
            <w:r>
              <w:t>2</w:t>
            </w:r>
            <w:r w:rsidRPr="004D3578">
              <w:tab/>
            </w:r>
            <w:r>
              <w:t>Specification impacts</w:t>
            </w:r>
            <w:bookmarkEnd w:id="15"/>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Heading1"/>
              <w:snapToGrid w:val="0"/>
              <w:spacing w:before="100" w:beforeAutospacing="1" w:after="0"/>
              <w:outlineLvl w:val="0"/>
              <w:rPr>
                <w:lang w:eastAsia="zh-CN"/>
              </w:rPr>
            </w:pPr>
            <w:bookmarkStart w:id="16" w:name="_Toc102054331"/>
            <w:r>
              <w:t>9</w:t>
            </w:r>
            <w:r>
              <w:tab/>
              <w:t>Conclusion</w:t>
            </w:r>
            <w:bookmarkEnd w:id="16"/>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3B43" w14:textId="77777777" w:rsidR="00881B4F" w:rsidRDefault="00881B4F">
      <w:pPr>
        <w:spacing w:after="0"/>
      </w:pPr>
      <w:r>
        <w:separator/>
      </w:r>
    </w:p>
  </w:endnote>
  <w:endnote w:type="continuationSeparator" w:id="0">
    <w:p w14:paraId="55586A85" w14:textId="77777777" w:rsidR="00881B4F" w:rsidRDefault="00881B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altName w:val="Arial Unicode MS"/>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BE8" w14:textId="77777777" w:rsidR="00394C54" w:rsidRDefault="0039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394C54" w:rsidRDefault="00394C54">
    <w:pPr>
      <w:pStyle w:val="Footer"/>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773" w14:textId="5AF4CE50" w:rsidR="00394C54" w:rsidRDefault="00394C54">
    <w:pPr>
      <w:pStyle w:val="Footer"/>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FE35" w14:textId="77777777" w:rsidR="00881B4F" w:rsidRDefault="00881B4F">
      <w:pPr>
        <w:spacing w:after="0"/>
      </w:pPr>
      <w:r>
        <w:separator/>
      </w:r>
    </w:p>
  </w:footnote>
  <w:footnote w:type="continuationSeparator" w:id="0">
    <w:p w14:paraId="291F9247" w14:textId="77777777" w:rsidR="00881B4F" w:rsidRDefault="00881B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SimSun" w:eastAsia="SimSun" w:hAnsi="SimSun" w:cs="SimSun"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SimSun" w:eastAsia="SimSun" w:hAnsi="SimSun" w:cs="SimSu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4"/>
  </w:num>
  <w:num w:numId="11">
    <w:abstractNumId w:val="23"/>
  </w:num>
  <w:num w:numId="12">
    <w:abstractNumId w:val="26"/>
  </w:num>
  <w:num w:numId="13">
    <w:abstractNumId w:val="6"/>
  </w:num>
  <w:num w:numId="14">
    <w:abstractNumId w:val="20"/>
  </w:num>
  <w:num w:numId="15">
    <w:abstractNumId w:val="11"/>
  </w:num>
  <w:num w:numId="16">
    <w:abstractNumId w:val="25"/>
  </w:num>
  <w:num w:numId="17">
    <w:abstractNumId w:val="16"/>
  </w:num>
  <w:num w:numId="18">
    <w:abstractNumId w:val="12"/>
  </w:num>
  <w:num w:numId="19">
    <w:abstractNumId w:val="17"/>
  </w:num>
  <w:num w:numId="20">
    <w:abstractNumId w:val="1"/>
  </w:num>
  <w:num w:numId="21">
    <w:abstractNumId w:val="0"/>
  </w:num>
  <w:num w:numId="22">
    <w:abstractNumId w:val="4"/>
  </w:num>
  <w:num w:numId="23">
    <w:abstractNumId w:val="22"/>
  </w:num>
  <w:num w:numId="24">
    <w:abstractNumId w:val="7"/>
  </w:num>
  <w:num w:numId="25">
    <w:abstractNumId w:val="9"/>
  </w:num>
  <w:num w:numId="26">
    <w:abstractNumId w:val="15"/>
  </w:num>
  <w:num w:numId="27">
    <w:abstractNumId w:val="18"/>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74E"/>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9B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94"/>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D8C"/>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312"/>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BDE"/>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07D62"/>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4F39"/>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C70"/>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774"/>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17ED4"/>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28B4"/>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5DC4"/>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B4F"/>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7F9"/>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801"/>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49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947"/>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18E"/>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5"/>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98C"/>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1st level - Bullet List Paragraph Char,Lettre d'introduction Char,Paragrafo elenco Char,Normal bullet 2 Char,Bullet list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SimSun"/>
      <w:lang w:val="en-GB" w:eastAsia="en-US"/>
    </w:rPr>
  </w:style>
  <w:style w:type="character" w:customStyle="1" w:styleId="B4Char">
    <w:name w:val="B4 Char"/>
    <w:link w:val="B4"/>
    <w:rsid w:val="002266DE"/>
    <w:rPr>
      <w:rFonts w:eastAsia="SimSun"/>
      <w:lang w:val="en-GB" w:eastAsia="en-US"/>
    </w:rPr>
  </w:style>
  <w:style w:type="paragraph" w:customStyle="1" w:styleId="Guidance">
    <w:name w:val="Guidance"/>
    <w:basedOn w:val="Normal"/>
    <w:rsid w:val="006D2444"/>
    <w:pPr>
      <w:overflowPunct/>
      <w:autoSpaceDE/>
      <w:autoSpaceDN/>
      <w:adjustRightInd/>
      <w:textAlignment w:val="auto"/>
    </w:pPr>
    <w:rPr>
      <w:rFonts w:eastAsia="DengXi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718C17-A3A5-443C-BD3F-A6D4D539853A}">
  <ds:schemaRefs>
    <ds:schemaRef ds:uri="http://schemas.openxmlformats.org/officeDocument/2006/bibliography"/>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Luca Blessent</cp:lastModifiedBy>
  <cp:revision>11</cp:revision>
  <cp:lastPrinted>2011-11-09T07:49:00Z</cp:lastPrinted>
  <dcterms:created xsi:type="dcterms:W3CDTF">2022-05-11T06:26:00Z</dcterms:created>
  <dcterms:modified xsi:type="dcterms:W3CDTF">2022-05-11T23:43:00Z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